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188595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257175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77" w:lineRule="exact"/>
        <w:rPr>
          <w:sz w:val="24"/>
          <w:szCs w:val="24"/>
          <w:color w:val="auto"/>
        </w:rPr>
      </w:pPr>
    </w:p>
    <w:p>
      <w:pPr>
        <w:ind w:left="260" w:hanging="251"/>
        <w:spacing w:after="0"/>
        <w:tabs>
          <w:tab w:leader="none" w:pos="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2025</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260" w:hanging="251"/>
        <w:spacing w:after="0"/>
        <w:tabs>
          <w:tab w:leader="none" w:pos="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02" w:lineRule="exact"/>
        <w:rPr>
          <w:sz w:val="24"/>
          <w:szCs w:val="24"/>
          <w:color w:val="auto"/>
        </w:rPr>
      </w:pPr>
    </w:p>
    <w:p>
      <w:pPr>
        <w:ind w:left="2960"/>
        <w:spacing w:after="0"/>
        <w:tabs>
          <w:tab w:leader="none" w:pos="5980" w:val="left"/>
          <w:tab w:leader="none" w:pos="69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88-0666433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44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496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organization)</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 Mobileye B.V.</w:t>
            </w:r>
          </w:p>
        </w:tc>
        <w:tc>
          <w:tcPr>
            <w:tcW w:w="44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+972-2-541-7333</w:t>
            </w: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Har Hotzvim, 1 Shlomo Momo HaLevi Street</w:t>
            </w:r>
          </w:p>
        </w:tc>
        <w:tc>
          <w:tcPr>
            <w:tcW w:w="4440" w:type="dxa"/>
            <w:vAlign w:val="bottom"/>
          </w:tcPr>
          <w:p>
            <w:pPr>
              <w:spacing w:after="0"/>
              <w:rPr>
                <w:sz w:val="18"/>
                <w:szCs w:val="18"/>
                <w:color w:val="auto"/>
              </w:rPr>
            </w:pPr>
          </w:p>
        </w:tc>
      </w:tr>
      <w:tr>
        <w:trPr>
          <w:trHeight w:val="216"/>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Jerusalem 9777015, Israel</w:t>
            </w:r>
          </w:p>
        </w:tc>
        <w:tc>
          <w:tcPr>
            <w:tcW w:w="4440" w:type="dxa"/>
            <w:vAlign w:val="bottom"/>
          </w:tcPr>
          <w:p>
            <w:pPr>
              <w:spacing w:after="0"/>
              <w:rPr>
                <w:sz w:val="18"/>
                <w:szCs w:val="18"/>
                <w:color w:val="auto"/>
              </w:rPr>
            </w:pPr>
          </w:p>
        </w:tc>
      </w:tr>
      <w:tr>
        <w:trPr>
          <w:trHeight w:val="234"/>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444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29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40" w:type="dxa"/>
            <w:vAlign w:val="bottom"/>
          </w:tcPr>
          <w:p>
            <w:pPr>
              <w:spacing w:after="0"/>
              <w:rPr>
                <w:sz w:val="24"/>
                <w:szCs w:val="24"/>
                <w:color w:val="auto"/>
              </w:rPr>
            </w:pPr>
          </w:p>
        </w:tc>
      </w:tr>
    </w:tbl>
    <w:p>
      <w:pPr>
        <w:spacing w:after="0" w:line="99" w:lineRule="exact"/>
        <w:rPr>
          <w:sz w:val="24"/>
          <w:szCs w:val="24"/>
          <w:color w:val="auto"/>
        </w:rPr>
      </w:pPr>
    </w:p>
    <w:p>
      <w:pPr>
        <w:sectPr>
          <w:pgSz w:w="11900" w:h="16838" w:orient="portrait"/>
          <w:cols w:equalWidth="0" w:num="1">
            <w:col w:w="9920"/>
          </w:cols>
          <w:pgMar w:left="980" w:top="661" w:right="999" w:bottom="1440" w:gutter="0" w:footer="0" w:header="0"/>
        </w:sect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3">
            <w:col w:w="3580" w:space="720"/>
            <w:col w:w="1340" w:space="720"/>
            <w:col w:w="3560"/>
          </w:cols>
          <w:pgMar w:left="980" w:top="661" w:right="999" w:bottom="1440" w:gutter="0" w:footer="0" w:header="0"/>
          <w:type w:val="continuous"/>
        </w:sect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type w:val="continuous"/>
        </w:sectPr>
      </w:pPr>
    </w:p>
    <w:p>
      <w:pPr>
        <w:spacing w:after="0" w:line="2"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100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10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9"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98" w:lineRule="exact"/>
        <w:rPr>
          <w:sz w:val="24"/>
          <w:szCs w:val="24"/>
          <w:color w:val="auto"/>
        </w:rPr>
      </w:pPr>
    </w:p>
    <w:p>
      <w:pPr>
        <w:sectPr>
          <w:pgSz w:w="11900" w:h="16838" w:orient="portrait"/>
          <w:cols w:equalWidth="0" w:num="2">
            <w:col w:w="4420" w:space="720"/>
            <w:col w:w="4780"/>
          </w:cols>
          <w:pgMar w:left="980" w:top="661" w:right="99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620"/>
        <w:spacing w:after="0" w:line="28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216,005,938 shares of Class A common stock, $0.01 par value, outstanding at October 15, 2025</w:t>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925830</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94615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6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0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8"/>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1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27, 2025</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9"/>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5"/>
              </w:rPr>
              <w:t>Part I.</w:t>
            </w:r>
          </w:p>
        </w:tc>
        <w:tc>
          <w:tcPr>
            <w:tcW w:w="560" w:type="dxa"/>
            <w:vAlign w:val="bottom"/>
            <w:gridSpan w:val="4"/>
            <w:vMerge w:val="restart"/>
          </w:tcPr>
          <w:p>
            <w:pPr>
              <w:spacing w:after="0"/>
              <w:rPr>
                <w:sz w:val="24"/>
                <w:szCs w:val="24"/>
                <w:color w:val="auto"/>
              </w:rPr>
            </w:pPr>
          </w:p>
        </w:tc>
        <w:tc>
          <w:tcPr>
            <w:tcW w:w="22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5140" w:type="dxa"/>
            <w:vAlign w:val="bottom"/>
            <w:gridSpan w:val="11"/>
            <w:vMerge w:val="restart"/>
          </w:tcPr>
          <w:p>
            <w:pPr>
              <w:spacing w:after="0"/>
              <w:rPr>
                <w:sz w:val="24"/>
                <w:szCs w:val="24"/>
                <w:color w:val="auto"/>
              </w:rPr>
            </w:pPr>
          </w:p>
        </w:tc>
        <w:tc>
          <w:tcPr>
            <w:tcW w:w="12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1"/>
              </w:rPr>
              <w:t>Page</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440" w:type="dxa"/>
            <w:vAlign w:val="bottom"/>
            <w:tcBorders>
              <w:bottom w:val="single" w:sz="8" w:color="0000EE"/>
            </w:tcBorders>
            <w:vMerge w:val="continue"/>
          </w:tcPr>
          <w:p>
            <w:pPr>
              <w:spacing w:after="0"/>
              <w:rPr>
                <w:sz w:val="15"/>
                <w:szCs w:val="15"/>
                <w:color w:val="auto"/>
              </w:rPr>
            </w:pPr>
          </w:p>
        </w:tc>
        <w:tc>
          <w:tcPr>
            <w:tcW w:w="560" w:type="dxa"/>
            <w:vAlign w:val="bottom"/>
            <w:gridSpan w:val="4"/>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5140" w:type="dxa"/>
            <w:vAlign w:val="bottom"/>
            <w:gridSpan w:val="11"/>
            <w:vMerge w:val="continue"/>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w:t>
            </w:r>
          </w:p>
        </w:tc>
        <w:tc>
          <w:tcPr>
            <w:tcW w:w="500" w:type="dxa"/>
            <w:vAlign w:val="bottom"/>
            <w:gridSpan w:val="3"/>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(Unaudited)</w:t>
            </w:r>
          </w:p>
        </w:tc>
        <w:tc>
          <w:tcPr>
            <w:tcW w:w="4980" w:type="dxa"/>
            <w:vAlign w:val="bottom"/>
            <w:gridSpan w:val="9"/>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340" w:type="dxa"/>
            <w:vAlign w:val="bottom"/>
            <w:gridSpan w:val="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1040" w:type="dxa"/>
            <w:vAlign w:val="bottom"/>
            <w:gridSpan w:val="2"/>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480" w:type="dxa"/>
            <w:vAlign w:val="bottom"/>
            <w:tcBorders>
              <w:top w:val="single" w:sz="8" w:color="0000EE"/>
            </w:tcBorders>
            <w:gridSpan w:val="2"/>
          </w:tcPr>
          <w:p>
            <w:pPr>
              <w:spacing w:after="0"/>
              <w:rPr>
                <w:sz w:val="17"/>
                <w:szCs w:val="17"/>
                <w:color w:val="auto"/>
              </w:rPr>
            </w:pPr>
          </w:p>
        </w:tc>
        <w:tc>
          <w:tcPr>
            <w:tcW w:w="3080" w:type="dxa"/>
            <w:vAlign w:val="bottom"/>
            <w:gridSpan w:val="5"/>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80" w:type="dxa"/>
            <w:vAlign w:val="bottom"/>
            <w:gridSpan w:val="6"/>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460" w:type="dxa"/>
            <w:vAlign w:val="bottom"/>
            <w:gridSpan w:val="2"/>
          </w:tcPr>
          <w:p>
            <w:pPr>
              <w:spacing w:after="0"/>
              <w:rPr>
                <w:sz w:val="17"/>
                <w:szCs w:val="17"/>
                <w:color w:val="auto"/>
              </w:rPr>
            </w:pPr>
          </w:p>
        </w:tc>
        <w:tc>
          <w:tcPr>
            <w:tcW w:w="64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940" w:type="dxa"/>
            <w:vAlign w:val="bottom"/>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436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040" w:type="dxa"/>
            <w:vAlign w:val="bottom"/>
            <w:gridSpan w:val="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42</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4.</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1"/>
              </w:rPr>
              <w:t>Part II.</w:t>
            </w:r>
          </w:p>
        </w:tc>
        <w:tc>
          <w:tcPr>
            <w:tcW w:w="500" w:type="dxa"/>
            <w:vAlign w:val="bottom"/>
            <w:gridSpan w:val="3"/>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1.</w:t>
            </w:r>
          </w:p>
        </w:tc>
        <w:tc>
          <w:tcPr>
            <w:tcW w:w="460" w:type="dxa"/>
            <w:vAlign w:val="bottom"/>
            <w:gridSpan w:val="2"/>
          </w:tcPr>
          <w:p>
            <w:pPr>
              <w:spacing w:after="0"/>
              <w:rPr>
                <w:sz w:val="17"/>
                <w:szCs w:val="17"/>
                <w:color w:val="auto"/>
              </w:rPr>
            </w:pP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6060" w:type="dxa"/>
            <w:vAlign w:val="bottom"/>
            <w:gridSpan w:val="1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46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3060" w:type="dxa"/>
            <w:vAlign w:val="bottom"/>
            <w:gridSpan w:val="4"/>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45</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460" w:type="dxa"/>
            <w:vAlign w:val="bottom"/>
            <w:gridSpan w:val="2"/>
          </w:tcPr>
          <w:p>
            <w:pPr>
              <w:spacing w:after="0"/>
              <w:rPr>
                <w:sz w:val="17"/>
                <w:szCs w:val="17"/>
                <w:color w:val="auto"/>
              </w:rPr>
            </w:pPr>
          </w:p>
        </w:tc>
        <w:tc>
          <w:tcPr>
            <w:tcW w:w="74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460" w:type="dxa"/>
            <w:vAlign w:val="bottom"/>
            <w:gridSpan w:val="2"/>
          </w:tcPr>
          <w:p>
            <w:pPr>
              <w:spacing w:after="0"/>
              <w:rPr>
                <w:sz w:val="17"/>
                <w:szCs w:val="17"/>
                <w:color w:val="auto"/>
              </w:rPr>
            </w:pPr>
          </w:p>
        </w:tc>
        <w:tc>
          <w:tcPr>
            <w:tcW w:w="13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5640" w:type="dxa"/>
            <w:vAlign w:val="bottom"/>
            <w:gridSpan w:val="13"/>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0"/>
              </w:rPr>
              <w:t>Item 6.</w:t>
            </w:r>
          </w:p>
        </w:tc>
        <w:tc>
          <w:tcPr>
            <w:tcW w:w="500" w:type="dxa"/>
            <w:vAlign w:val="bottom"/>
            <w:gridSpan w:val="3"/>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6800" w:type="dxa"/>
            <w:vAlign w:val="bottom"/>
            <w:gridSpan w:val="18"/>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640" w:type="dxa"/>
            <w:vAlign w:val="bottom"/>
            <w:gridSpan w:val="17"/>
          </w:tcPr>
          <w:p>
            <w:pPr>
              <w:spacing w:after="0"/>
              <w:rPr>
                <w:sz w:val="17"/>
                <w:szCs w:val="17"/>
                <w:color w:val="auto"/>
              </w:rPr>
            </w:pPr>
          </w:p>
        </w:tc>
        <w:tc>
          <w:tcPr>
            <w:tcW w:w="1280" w:type="dxa"/>
            <w:vAlign w:val="bottom"/>
          </w:tcPr>
          <w:p>
            <w:pPr>
              <w:jc w:val="center"/>
              <w:ind w:left="890"/>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40"/>
          </w:cols>
          <w:pgMar w:left="980" w:top="500" w:right="11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prior to our initial public offering, where such terms refer to Mobileye Group, which combines the operations of Cyclops Holdings Corporation, Mobileye B.V., GG Acquisition Ltd., Moovit App Global Ltd., and their respective subsidiaries, along with certain Intel employees mainly in research and development. References to “Moovit” refer to GG Acquisition Ltd., Moovit App Global Ltd., and their consolidated subsidiaries.</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years 2024 and 2023 were a 52-week fiscal years; fiscal year 2025 is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00" w:type="dxa"/>
            <w:vAlign w:val="bottom"/>
          </w:tcPr>
          <w:p>
            <w:pPr>
              <w:spacing w:after="0"/>
              <w:rPr>
                <w:sz w:val="13"/>
                <w:szCs w:val="13"/>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2,174</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10,064</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10,405</w:t>
            </w:r>
          </w:p>
        </w:tc>
        <w:tc>
          <w:tcPr>
            <w:tcW w:w="0" w:type="dxa"/>
            <w:vAlign w:val="bottom"/>
          </w:tcPr>
          <w:p>
            <w:pPr>
              <w:spacing w:after="0"/>
              <w:rPr>
                <w:sz w:val="1"/>
                <w:szCs w:val="1"/>
                <w:color w:val="auto"/>
              </w:rPr>
            </w:pPr>
          </w:p>
        </w:tc>
      </w:tr>
      <w:tr>
        <w:trPr>
          <w:trHeight w:val="24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12,480</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197"/>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545</w:t>
            </w:r>
          </w:p>
        </w:tc>
        <w:tc>
          <w:tcPr>
            <w:tcW w:w="2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216,005,938 as of September 27, 2025 and 100,226,477 as of December 28, 2024</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7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597,768,015 as of September 27, 2025 and 711,500,000 as of December 28, 2024</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0" w:type="dxa"/>
            <w:vAlign w:val="bottom"/>
          </w:tcPr>
          <w:p>
            <w:pPr>
              <w:spacing w:after="0"/>
              <w:rPr>
                <w:sz w:val="1"/>
                <w:szCs w:val="1"/>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12,480</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12,579</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8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17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98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40" w:type="dxa"/>
            <w:vAlign w:val="bottom"/>
          </w:tcPr>
          <w:p>
            <w:pPr>
              <w:spacing w:after="0"/>
              <w:rPr>
                <w:sz w:val="10"/>
                <w:szCs w:val="10"/>
                <w:color w:val="auto"/>
              </w:rPr>
            </w:pPr>
          </w:p>
        </w:tc>
        <w:tc>
          <w:tcPr>
            <w:tcW w:w="1040" w:type="dxa"/>
            <w:vAlign w:val="bottom"/>
            <w:tcBorders>
              <w:top w:val="single" w:sz="8" w:color="auto"/>
            </w:tcBorders>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0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9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 (loss)</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 attributed to Class A and Class B stockholders (in millions):</w:t>
            </w: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Retained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1"/>
                <w:szCs w:val="11"/>
                <w:color w:val="auto"/>
              </w:rPr>
            </w:pPr>
          </w:p>
        </w:tc>
        <w:tc>
          <w:tcPr>
            <w:tcW w:w="100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 w:type="dxa"/>
            <w:vAlign w:val="bottom"/>
          </w:tcPr>
          <w:p>
            <w:pPr>
              <w:spacing w:after="0"/>
              <w:rPr>
                <w:sz w:val="11"/>
                <w:szCs w:val="11"/>
                <w:color w:val="auto"/>
              </w:rPr>
            </w:pP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4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U.S. dollars except number of shares, in millions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0" w:type="dxa"/>
            <w:vAlign w:val="bottom"/>
          </w:tcPr>
          <w:p>
            <w:pPr>
              <w:spacing w:after="0"/>
              <w:rPr>
                <w:sz w:val="13"/>
                <w:szCs w:val="13"/>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2"/>
              </w:rPr>
              <w:t>deficit)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June 28, 2025</w:t>
            </w:r>
          </w:p>
        </w:tc>
        <w:tc>
          <w:tcPr>
            <w:tcW w:w="140" w:type="dxa"/>
            <w:vAlign w:val="bottom"/>
          </w:tcPr>
          <w:p>
            <w:pPr>
              <w:spacing w:after="0"/>
              <w:rPr>
                <w:sz w:val="11"/>
                <w:szCs w:val="11"/>
                <w:color w:val="auto"/>
              </w:rPr>
            </w:pPr>
          </w:p>
        </w:tc>
        <w:tc>
          <w:tcPr>
            <w:tcW w:w="7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815</w:t>
            </w:r>
          </w:p>
        </w:tc>
        <w:tc>
          <w:tcPr>
            <w:tcW w:w="140" w:type="dxa"/>
            <w:vAlign w:val="bottom"/>
          </w:tcPr>
          <w:p>
            <w:pPr>
              <w:spacing w:after="0"/>
              <w:rPr>
                <w:sz w:val="11"/>
                <w:szCs w:val="11"/>
                <w:color w:val="auto"/>
              </w:rPr>
            </w:pPr>
          </w:p>
        </w:tc>
        <w:tc>
          <w:tcPr>
            <w:tcW w:w="680" w:type="dxa"/>
            <w:vAlign w:val="bottom"/>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15,270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(3,229)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12,066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Repurchase of common stock from Parent</w:t>
            </w: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27, 2025</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814</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15,240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(3,325)</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11,935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June 29, 2024</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809</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14,985</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(274)</w:t>
            </w:r>
          </w:p>
        </w:tc>
        <w:tc>
          <w:tcPr>
            <w:tcW w:w="1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14,719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(2,715)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bottom w:val="single" w:sz="8" w:color="CCEEFF"/>
            </w:tcBorders>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28, 2024</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w:t>
            </w:r>
          </w:p>
        </w:tc>
        <w:tc>
          <w:tcPr>
            <w:tcW w:w="14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15,059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(2,989)</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12,078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8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Nine Months Ended</w:t>
            </w:r>
          </w:p>
        </w:tc>
        <w:tc>
          <w:tcPr>
            <w:tcW w:w="14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December 28, 2024</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812</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15,137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(3,060)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Other comprehensive income (loss), net</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Tax sharing agreement with Parent</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Repurchase of common stock from Parent</w:t>
            </w:r>
          </w:p>
        </w:tc>
        <w:tc>
          <w:tcPr>
            <w:tcW w:w="90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120" w:type="dxa"/>
            <w:vAlign w:val="bottom"/>
            <w:tcBorders>
              <w:top w:val="single" w:sz="8" w:color="CCEEFF"/>
            </w:tcBorders>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27, 2025</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814</w:t>
            </w:r>
          </w:p>
        </w:tc>
        <w:tc>
          <w:tcPr>
            <w:tcW w:w="1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15,240</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(3,325)</w:t>
            </w: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11,935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Balance as of December 30, 2023</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806</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2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14,886</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gridSpan w:val="2"/>
            <w:shd w:val="clear" w:color="auto" w:fill="CCEEFF"/>
          </w:tcPr>
          <w:p>
            <w:pPr>
              <w:jc w:val="right"/>
              <w:ind w:right="6"/>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30</w:t>
            </w:r>
          </w:p>
        </w:tc>
        <w:tc>
          <w:tcPr>
            <w:tcW w:w="16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14,924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Recharge to Parent for Share-based compensation</w:t>
            </w:r>
          </w:p>
        </w:tc>
        <w:tc>
          <w:tcPr>
            <w:tcW w:w="9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1"/>
                <w:szCs w:val="11"/>
                <w:color w:val="auto"/>
              </w:rPr>
            </w:pPr>
          </w:p>
        </w:tc>
        <w:tc>
          <w:tcPr>
            <w:tcW w:w="1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Issuance of common stock under employee share-based compensation plans</w:t>
            </w:r>
          </w:p>
        </w:tc>
        <w:tc>
          <w:tcPr>
            <w:tcW w:w="7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2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September 28, 2024</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811</w:t>
            </w:r>
          </w:p>
        </w:tc>
        <w:tc>
          <w:tcPr>
            <w:tcW w:w="140" w:type="dxa"/>
            <w:vAlign w:val="bottom"/>
          </w:tcPr>
          <w:p>
            <w:pPr>
              <w:spacing w:after="0"/>
              <w:rPr>
                <w:sz w:val="11"/>
                <w:szCs w:val="11"/>
                <w:color w:val="auto"/>
              </w:rPr>
            </w:pPr>
          </w:p>
        </w:tc>
        <w:tc>
          <w:tcPr>
            <w:tcW w:w="680" w:type="dxa"/>
            <w:vAlign w:val="bottom"/>
            <w:tcBorders>
              <w:top w:val="single" w:sz="8" w:color="auto"/>
              <w:bottom w:val="single" w:sz="8" w:color="auto"/>
            </w:tcBorders>
          </w:tcPr>
          <w:p>
            <w:pPr>
              <w:jc w:val="right"/>
              <w:ind w:right="56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15,059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(2,989)</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12,078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7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80" w:type="dxa"/>
            <w:vAlign w:val="bottom"/>
            <w:tcBorders>
              <w:top w:val="single" w:sz="8" w:color="auto"/>
            </w:tcBorders>
            <w:gridSpan w:val="3"/>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1"/>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5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 from Parent</w:t>
            </w:r>
          </w:p>
        </w:tc>
        <w:tc>
          <w:tcPr>
            <w:tcW w:w="24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in cash, cash equivalents and restricted cash</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non-cash investing and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share based compensation recharge</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Conversion of Class B common stock to Class A common stock</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received (paid) for income taxes, net of refunds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holds all of the Class B common stock of Mobileye, which as of September 27, 2025, represents approximately 79.6% of our outstanding common stock and 97.3% of the voting power of our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To date, our operations have not been materially affected, although as of October 15, 2025 approximately 3.8% of our employees have been called to reserve duty in the Israel Defense Forces. We expect that the current conflict in the Gaza Strip, Lebanon, Iran and the broader region, as well as the security escalation in Israel, will not have a material impact on our business results in the short term. However, since these are events beyond our control, their continuation or cessation may affect our expectations. We continue to monitor political and military developments closely and examine the consequences for our operations and assets.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Share Repurchase and Conversion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per share, which is equal to the per share purchase price paid by the underwriters in the Secondary Offering pursuant to a share repurchase agreement with Intel (the “Share Repurchase”). The aggregate consideration paid by the Company for the Share Repurchase was $100 million and is subject to a nondeductible excise tax of 1% pursuant to the Inflation Reduction Act of 2022. Upon closing of the Share Repurchase, the Company cancelled and retired the 6,231,985 shares of Class A common stock acquired pursuant to the Share Repurchase. The excess of the repurchase price over par value was charged to additional paid in capital.</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paid the costs, which were approximately $1 million, associated with the registration of shares in connection with the Secondary Offering and Option, other than underwriting discounts, fees and commissions.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Secondary Offering, Share Repurchase, Option and Conversion and as of September 27, 2025, Intel continues to directly or indirectly hold all of the Class B common stock of Mobileye as well as 50,000,000 shares of Class A common stock, which together represent approximately 79.6% of our outstanding common stock and 97.3% of the voting power of our common stock.</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Secondary Offering, Share Repurchase, Option and Conversion, the Company has concluded that from a U.S. income tax perspective, Intel no longer holds a sufficient percentage of the Company’s issued and outstanding common stock, which resulted in the deconsolidation of the Company from Intel’s U.S. domestic income tax return on July 11, 2025 (the “Tax Deconsolidation”). Following the Tax Deconsolidation, the Company is no longer included in Intel’s U.S. domestic consolidated income tax return and will be filing its own U.S. corporate income tax returns for periods beginning July 12,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2025 is a 52-week fiscal year; fiscal year 2024 was also a 52-week fiscal year.</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27, 2025 shown in this report are not necessarily indicative of the results to be expected for the full year ending 2025. The condensed consolidated financial statements should be read in conjunction with the audited consolidated financial statements for the fiscal year ended December 28, 2024.</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28, 2024, except as detailed below regarding accounting for share repurchases. For further detail, see Note 2 in the audited consolidated financial statements for the fiscal year ended December 28,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ectPr>
          <w:pgSz w:w="11900" w:h="16838" w:orient="portrait"/>
          <w:cols w:equalWidth="0" w:num="1">
            <w:col w:w="9920"/>
          </w:cols>
          <w:pgMar w:left="980" w:top="513" w:right="99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useful lives of intangible assets, impairment assessment of intangible assets and goodwill and income taxes. A change in estimates, including a change in the overall market value of the Company, could require reassessments of the items noted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100" w:type="dxa"/>
            <w:vAlign w:val="bottom"/>
            <w:vMerge w:val="continue"/>
          </w:tcPr>
          <w:p>
            <w:pPr>
              <w:spacing w:after="0"/>
              <w:rPr>
                <w:sz w:val="12"/>
                <w:szCs w:val="12"/>
                <w:color w:val="auto"/>
              </w:rPr>
            </w:pPr>
          </w:p>
        </w:tc>
        <w:tc>
          <w:tcPr>
            <w:tcW w:w="15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60" w:type="dxa"/>
            <w:vAlign w:val="bottom"/>
            <w:tcBorders>
              <w:top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74"/>
        </w:trPr>
        <w:tc>
          <w:tcPr>
            <w:tcW w:w="710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w:t>
            </w: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46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2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value of short-term deposits classified as cash equivalents approximates their fair value due to the short maturity of these items.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September 27, 2025 and September 28, 2024 amounted to $10 million and $12 million, respectively; and $31 million and $36 million for the nine months ended September 27, 2025 and September 28, 2024, respectively.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bonds is measured at fair value within Level 1 of the fair value hierarchy because they consist of U.S. government bonds for which quoted prices are available in an active market.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designated as hedging instruments are measured at fair value within Level 2 of the fair value hierarchy.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trade accounts receivable and accounts payable approximate fair value because of their generally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$16 million and $24 million were offset against research and development costs in the three months ended September 27, 2025 and September 28, 2024, respectively; and $61 million and $72 million were offset in the nine months ended September 27, 2025 and September 28,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As of September 27, 2025,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notional amount and fair value of outstanding derivatives at the end of each period were: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2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CCEEFF"/>
            </w:tcBorders>
            <w:vMerge w:val="continue"/>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2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derivatives contracts</w:t>
            </w:r>
          </w:p>
        </w:tc>
        <w:tc>
          <w:tcPr>
            <w:tcW w:w="2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268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accumulated other comprehensive income (loss) relating to gains (losses) on derivatives used for hedging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40" w:type="dxa"/>
            <w:vAlign w:val="bottom"/>
          </w:tcPr>
          <w:p>
            <w:pPr>
              <w:spacing w:after="0"/>
              <w:rPr>
                <w:sz w:val="12"/>
                <w:szCs w:val="12"/>
                <w:color w:val="auto"/>
              </w:rPr>
            </w:pPr>
          </w:p>
        </w:tc>
        <w:tc>
          <w:tcPr>
            <w:tcW w:w="13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2"/>
                <w:szCs w:val="12"/>
                <w:color w:val="auto"/>
              </w:rPr>
            </w:pP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out of accumulated other</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78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w:t>
            </w:r>
          </w:p>
        </w:tc>
        <w:tc>
          <w:tcPr>
            <w:tcW w:w="1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54610</wp:posOffset>
            </wp:positionV>
            <wp:extent cx="15684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ind w:left="340" w:hanging="8"/>
        <w:spacing w:after="0" w:line="282" w:lineRule="auto"/>
        <w:tabs>
          <w:tab w:leader="none" w:pos="4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gains (losses) reclassified from other comprehensive income (loss) into profit or loss are recorded in cost of revenue and operating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Less than $1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provision for income tax consists of income taxes in the various jurisdictions where the Company is subject to taxation, primarily the United States and Israel. For interim periods, the Company recognizes an income tax benefit (provision) based on the estimated annual effective tax rate, calculated on a worldwide consolidated basis, expected for the entire year. The Company applies this rate to the year-to-date pre-tax income. The overall effective tax rate is influenced by valuation allowances on tax assets for which no benefit can be recognized due to the Company’s recent history of pretax losses sustained. Tax jurisdictions with forecasted pretax losses for the year for which no benefit can be recognized are excluded from the calculation of the worldwide estimated annual effective tax rate, and any associated tax provision or benefit for those jurisdictions is recorded separately.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periods presented in the condensed consolidated financial statements, certain components of the Company’s business operations were included in the Parent’s consolidated U.S. domestic income tax return while the Company continued to file various foreign income tax returns separately from the Parent. Following the Secondary Offering, which resulted in the Tax Deconsolidation (see also Note 1), the Company is no longer included in the Parent’s U.S. domestic consolidated income tax return and will be filing its own U.S. corporate income tax returns for periods beginning July 12, 2025 onwards. Prior to the Tax Deconsolidation event, the income tax provision included in the Company’s condensed consolidated financial statements was calculated using the separate return method, as if the Company had filed its own U.S. corporate income tax returns. However, the Tax Deconsolidation event does not have a material impact on the Company’s income tax provision for the nine months ended September 27, 2025.</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had previously entered into a Tax Sharing Agreement, which was amended and restated on August 14, 2024 (the “TSA”) with its Parent to establish the amount of cash payable for the Company’s share of the tax liability owed on consolidated tax return filings with its Parent. For periods prior to the Tax Deconsolidation, any differences between taxes currently payable to the Company’s Parent under the TSA and the current tax provision computed on a separate return basis, were reflected as adjustments to additional paid-in capital in the condensed consolidated statement of changes in equity and financing activities within the condensed consolidated statement of cash flows. As a result of the Tax Deconsolidation, starting July 12, 2025 the computation of cash payable between the Company and Intel, under the TSA, is no longer applicable with respect to U.S. federal income taxes. Accordingly, starting July 12, 2025, Mobileye calculates and reports its U.S. federal and applicable state income tax liabilities as a standalone taxpayer and will no longer allocate or share tax attributes, liabilities nor benefits with its Parent as previously required under the TSA. For periods prior to Tax Deconsolidation, Mobileye and its Parent will continue to account for any outstanding tax sharing obligations in accordance with the terms of the TSA.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elected to retire shares repurchased to date. The retired shares are equivalent to authorized, unissued shares and are no longer considered to be outstanding or held in treasury. The excess purchase price of the shares over the par value is recorded as a reduction to additional paid-in-capital or to retained earnings if the balance in additional paid-in capital is not sufficient.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and money market funds, U.S. government bonds, derivative financial instruments, and also trade accounts receivable.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Short-term bank deposits are held in the aforementioned banks. The money market funds consist of institutional investors money market funds and are readily redeemable to cash, and the U.S. government bonds are also highly liquid. Derivative financial instruments are forward contracts entered into with major banks in Israel to hedge the Company’s foreign exchange rate risk. Accordingly, management believes that these bank deposits, money market funds, U.S. government bonds and derivative financial instruments have minimal credit risk.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As of September 27, 2025 and December 28, 2024, the credit loss allowance for trade accounts receivable was not material. For the three and nine months ended September 27, 2025 and September 28, 2024, the charge-offs and recoveries in relation to the credit losses were not material.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on a single supplier or limited suppliers risk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effect the Company’s business, results of operations and financial condition. See below regarding a shortage in EyeQ™ SoCs that the Company experienced during 2021 and 2022 and may experience in the future, including in ECUs for SuperVision™ and other components for our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fiscal years 2021 and 2022, the semiconductor industry experienced widespread shortages of substrates and other components and available foundry manufacturing capacity. During 2021 and 2022, STMicroelectronics, our sole supplier of EyeQ™ SoCs, was not able to meet our demand for EyeQ™ SoCs, causing a significant reduction in the Company’s inventory levels. Starting in late 2022 and early 2023, such supply disruptions, raw material shortages and manufacturing limitations abated and during 2023, we successfully increased levels of EyeQ™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 SoCs or SuperVision™ ECUs on hand.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Since our EyeQ™ SoC is the core of our ADAS and autonomous driving solutions, continued, acute shortages in the supply of sufficient EyeQ™ SoCs to meet our production needs would impair our ability to meet our customers’ requirements in a timely manner, and would affect our business, results of operations, and financial condition potentially in an adverse manner.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improves the transparency of income tax disclosures by requiring (1) consistent categories and greater disaggregation of information in the rate reconciliation and</w:t>
      </w:r>
    </w:p>
    <w:p>
      <w:pPr>
        <w:jc w:val="both"/>
        <w:ind w:firstLine="8"/>
        <w:spacing w:after="0" w:line="255" w:lineRule="auto"/>
        <w:tabs>
          <w:tab w:leader="none" w:pos="2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 paid disaggregated by jurisdiction. It also includes certain other amendments to improve the effectiveness of income tax disclosures. For public business entities, the ASU is effective for annual periods beginning after December 15, 2024. The Company will be implementing the new income tax disclosures retrospectively.</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 (Subtopic 220-40): Disaggregation of Income Statement Expense, and ASU 2025-01, Income Statement - Reporting Comprehensive Income - Expense Disaggregation Disclosures (Subtopic 220-40): Clarifying the Effective Date.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general and administrative, and research and development). The ASU is effective for annual reporting periods beginning after December 15, 2026, and interim periods within annual reporting periods beginning after December 15, 2027. Early adoption is permitted. The Company is evaluating the potential impact of this guidance on its consolidated financial statement disclosures.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Standards Update 2025-05, Financial Instruments – Credit Losses (Topic 326): Measurement of Credit Losses for Accounts Receivable and Contract Assets (“ASU 2025-05”). ASU 2025-05 provides a practical 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and interim reporting periods in those years. Entities that elect the practical expedient and, if applicable, make the accounting policy election are required to apply the amendments prospectively. The Company is currently evaluating the potential impact of this guidance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Inventory write-downs and write-offs totaled zero and $1 million for the three months ended September 27, 2025 and September 28, 2024, respectively; and $2 million and $2 million for the nine months ended September 27, 2025 and September 28,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635</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Depreciation expenses totaled $18 million and $16 million for the three months ended September 27, 2025 and September 28, 2024, respectively; and $54 million and $46 million for the nine months ended September 27, 2025 and September 28, 2024, respectively. During the nine months ended September 27, 2025 and September 28, 2024, the Company derecognized the cost and accumulated depreciation of fully depreciated assets in the amount of $1 million and $7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2025, the stockholders of the Company approved the Amended and Restated Mobileye Global Inc. 2022 Equity Incentive Plan (the “2022 Plan”). Equity awards under the 2022 Plan are granted for Class A shares and vest upon the satisfaction of a service-based vesting condition, mostly over service periods of three years.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nine months ended September 27, 2025 for RSUs granted to Company’s employees under the 2022 Plan was as follows: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28, 2024</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27,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RSUs activity for the three months ended September 27, 2025 for RSUs granted to Company’s employees under the 2022 Plan was as follows: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0" w:type="dxa"/>
            <w:vAlign w:val="bottom"/>
          </w:tcPr>
          <w:p>
            <w:pPr>
              <w:spacing w:after="0"/>
              <w:rPr>
                <w:sz w:val="13"/>
                <w:szCs w:val="13"/>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28, 2025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9"/>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27, 2025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33,934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27, 2025, the unrecognized compensation cost related to all unvested RSUs granted under the 2022 Plan, was $509 million, which is expected to be recognized as an expense over a weighted-average period of 2.34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Intel Plan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Mobileye IPO, since 2017, employees of the Company had been incentivized and rewarded through the grant of Intel equity awards under Intel’s equity incentive plan which contains only a service condition. The equity awards granted generally vest over the course of three years from the grant date. The activity of the Company’s employees for Intel’s options and RSUs was immaterial for the current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 (for both Mobileye and Intel Plans)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4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earnings (loss) per share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4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88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10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0" w:type="dxa"/>
            <w:vAlign w:val="bottom"/>
          </w:tcPr>
          <w:p>
            <w:pPr>
              <w:spacing w:after="0"/>
              <w:rPr>
                <w:sz w:val="1"/>
                <w:szCs w:val="1"/>
                <w:color w:val="auto"/>
              </w:rPr>
            </w:pPr>
          </w:p>
        </w:tc>
      </w:tr>
      <w:tr>
        <w:trPr>
          <w:trHeight w:val="173"/>
        </w:trPr>
        <w:tc>
          <w:tcPr>
            <w:tcW w:w="484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0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36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8"/>
                <w:szCs w:val="18"/>
                <w:color w:val="auto"/>
              </w:rPr>
            </w:pPr>
          </w:p>
        </w:tc>
        <w:tc>
          <w:tcPr>
            <w:tcW w:w="2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8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27, 2025 and September 28, 2024, the computation of diluted earnings (loss) per share attributable to common stockholders does not include 32.3 million and 20.4 million potential common shares, respectively; and 25.3 million and 17.0 million potential common shares for the nine months ended September 27, 2025 and September 28, 2024, respectively, related to restricted stock units granted under the 2022 Plan to the Company’s employees, as the effect of their inclusion would have been anti-dilutive.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Prior to the Tax Deconsolidation, the income tax benefit (provision) included in these condensed consolidated financial statements had been calculated using the separate return method, as if the Company had filed its own tax returns. Following the Tax Deconsolidation, Mobileye becomes a standalone taxpayer from a U.S. federal and applicable state income tax perspective for the period starting July 12, 2025. As such, the Company now calculates and report its U.S. federal and applicable state income tax liabilities as a standalone taxpayer. Additionally, the Tax Deconsolidation results in an adjustment to the Company’s deferred income tax assets and liabilities, primarily with respect to its net operating losses, reflecting attributes that the Company will retain as a result of its status as a standalone taxpayer. Most of the net operating losses were utilized by the Company’s Parent on its historic income tax returns. These deferred adjustments are offset with a change in deferred tax asset valuation allowance.</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the historical valuation allowance position is maintained on net deferred tax assets for which no benefit can be currently realized.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Provision for income tax in the nine months ended September 27, 2025 was $13 million compared to a benefit for income tax of $76 million in the nine months ended September 28, 2024. The provision for income tax in the three months ended September 27, 2025, was $4 million compared to a benefit for income tax of $78 million in the three months ended September 28, 2024. In both periods, the change is mainly due to the deferred tax effect of $82 million attributed to goodwill impairment of the Mobileye reporting unit which was recognized in the prior 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28,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$2 million and $5 million for the three months ended September 27, 2025 and September 28, 2024, respectively, and $6 million and $30 million for the nine months ended September 27, 2025 and September 28, 2024,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September 27, 2025 and September 28, 2024, were $0.6 million and $0.9 million, respectively, and $1.9 million and $2.1 million for the nine months ended September 27, 2025 and September 28, 2024,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services to a related party</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as well as paid for certain security related costs. Travel-related reimbursements and security-related costs totaled $0.8 million and $0.6 million for the three months ended September 27, 2025 and September 28, 2024, respectively, and $2.1 million and $1.9 million for the nine months ended September 27, 2025 and September 28, 2024, respectively.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September 27, 2025 and September 28, 2024 were $0.5 million and $0.6 million, respectively, and $1.8 million and $2.3 million for the nine months ended September 27, 2025 and September 28, 2024,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which the LiDAR Product Collaboration Agreement that we entered into in connection with the Mobileye IPO previously covered. Pursuant to the Technology and Services Agreement, the Company and Intel will agree to statements of work with additional terms for Technology Projects.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amounts incurred under this agreement for the three months ended September 27, 2025 and September 28, 2024 were $0.6 million and $1.1 million, respectively, and $1.7 million and $3.3 million for the nine months ended September 27, 2025 and September 28, 2024, respectively.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income taxes. However, other obligations of the parties under the Amended and Restated Tax Sharing Agreement remain in effect. As of September 27, 2025 and December 28, 2024, the related party payable to Intel, pursuant to the Tax Sharing Agreement were $0 million and $3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0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220" w:type="dxa"/>
            <w:vAlign w:val="bottom"/>
            <w:gridSpan w:val="4"/>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Net</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80" w:type="dxa"/>
            <w:vAlign w:val="bottom"/>
          </w:tcPr>
          <w:p>
            <w:pPr>
              <w:spacing w:after="0"/>
              <w:rPr>
                <w:sz w:val="10"/>
                <w:szCs w:val="10"/>
                <w:color w:val="auto"/>
              </w:rPr>
            </w:pPr>
          </w:p>
        </w:tc>
        <w:tc>
          <w:tcPr>
            <w:tcW w:w="10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0"/>
                <w:szCs w:val="10"/>
                <w:color w:val="auto"/>
              </w:rPr>
            </w:pPr>
          </w:p>
        </w:tc>
        <w:tc>
          <w:tcPr>
            <w:tcW w:w="64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73"/>
        </w:trPr>
        <w:tc>
          <w:tcPr>
            <w:tcW w:w="3200" w:type="dxa"/>
            <w:vAlign w:val="bottom"/>
            <w:vMerge w:val="continue"/>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8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17"/>
        </w:trPr>
        <w:tc>
          <w:tcPr>
            <w:tcW w:w="3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27,</w:t>
            </w:r>
          </w:p>
        </w:tc>
        <w:tc>
          <w:tcPr>
            <w:tcW w:w="180" w:type="dxa"/>
            <w:vAlign w:val="bottom"/>
          </w:tcPr>
          <w:p>
            <w:pPr>
              <w:spacing w:after="0"/>
              <w:rPr>
                <w:sz w:val="10"/>
                <w:szCs w:val="10"/>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346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282</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333</w:t>
            </w:r>
          </w:p>
        </w:tc>
        <w:tc>
          <w:tcPr>
            <w:tcW w:w="1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27, 2025, the Company derecognized the cost and accumulated depreciation of fully depreciated intangible assets in the amount of $9 million.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3"/>
        </w:trPr>
        <w:tc>
          <w:tcPr>
            <w:tcW w:w="3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of 2025</w:t>
            </w: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80" w:type="dxa"/>
            <w:vAlign w:val="bottom"/>
          </w:tcPr>
          <w:p>
            <w:pPr>
              <w:spacing w:after="0"/>
              <w:rPr>
                <w:sz w:val="15"/>
                <w:szCs w:val="15"/>
                <w:color w:val="auto"/>
              </w:rPr>
            </w:pP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60" w:type="dxa"/>
            <w:vAlign w:val="bottom"/>
          </w:tcPr>
          <w:p>
            <w:pPr>
              <w:spacing w:after="0"/>
              <w:rPr>
                <w:sz w:val="15"/>
                <w:szCs w:val="15"/>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0"/>
        </w:trPr>
        <w:tc>
          <w:tcPr>
            <w:tcW w:w="3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CODM uses segment performance to allocate resources to segments in the annual budget and forecasting process and also uses that measure to assess the segment performance.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performance is the operating income (loss) reported excluding the amortization of acquisition-related intangible assets, share-based compensation expense and impairment of goodwill. Starting in 2025, the measure of segment performance used by the CODM changed and as a result, the Company’s segment performance measure was updated to also exclude share-based compensation expenses (that were previously included in segment performance). The change aligns with segment information that is now regularly</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the CODM and reflects how the CODM assesses segment performance and makes strategic decisions about the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period amounts have been recast as a result of the change in segment measure.</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measure of assets has not been disclosed for each segment as it is not regularly provided to the CODM.</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28, 2024.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15"/>
                <w:szCs w:val="15"/>
                <w:color w:val="auto"/>
              </w:rPr>
            </w:pPr>
          </w:p>
        </w:tc>
        <w:tc>
          <w:tcPr>
            <w:tcW w:w="3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940" w:type="dxa"/>
            <w:vAlign w:val="bottom"/>
            <w:gridSpan w:val="2"/>
            <w:shd w:val="clear" w:color="auto" w:fill="CCEEFF"/>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24"/>
                <w:szCs w:val="24"/>
                <w:color w:val="auto"/>
              </w:rPr>
            </w:pPr>
          </w:p>
        </w:tc>
        <w:tc>
          <w:tcPr>
            <w:tcW w:w="3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28, 2024</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6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24"/>
                <w:szCs w:val="24"/>
                <w:color w:val="auto"/>
              </w:rPr>
            </w:pPr>
          </w:p>
        </w:tc>
        <w:tc>
          <w:tcPr>
            <w:tcW w:w="3360" w:type="dxa"/>
            <w:vAlign w:val="bottom"/>
            <w:gridSpan w:val="8"/>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vMerge w:val="continue"/>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cente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940" w:type="dxa"/>
            <w:vAlign w:val="bottom"/>
            <w:gridSpan w:val="2"/>
            <w:shd w:val="clear" w:color="auto" w:fill="CCEEFF"/>
          </w:tcPr>
          <w:p>
            <w:pPr>
              <w:jc w:val="right"/>
              <w:ind w:right="5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7"/>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28, 2024</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vMerge w:val="continue"/>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0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7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(10)</w:t>
            </w:r>
          </w:p>
        </w:tc>
        <w:tc>
          <w:tcPr>
            <w:tcW w:w="2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196"/>
        </w:trPr>
        <w:tc>
          <w:tcPr>
            <w:tcW w:w="4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1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7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9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6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17"/>
        </w:trPr>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40" w:type="dxa"/>
            <w:vAlign w:val="bottom"/>
          </w:tcPr>
          <w:p>
            <w:pPr>
              <w:spacing w:after="0"/>
              <w:rPr>
                <w:sz w:val="10"/>
                <w:szCs w:val="10"/>
                <w:color w:val="auto"/>
              </w:rPr>
            </w:pP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160" w:type="dxa"/>
            <w:vAlign w:val="bottom"/>
          </w:tcPr>
          <w:p>
            <w:pPr>
              <w:spacing w:after="0"/>
              <w:rPr>
                <w:sz w:val="10"/>
                <w:szCs w:val="10"/>
                <w:color w:val="auto"/>
              </w:rPr>
            </w:pPr>
          </w:p>
        </w:tc>
        <w:tc>
          <w:tcPr>
            <w:tcW w:w="9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160" w:type="dxa"/>
            <w:vAlign w:val="bottom"/>
          </w:tcPr>
          <w:p>
            <w:pPr>
              <w:spacing w:after="0"/>
              <w:rPr>
                <w:sz w:val="10"/>
                <w:szCs w:val="10"/>
                <w:color w:val="auto"/>
              </w:rPr>
            </w:pPr>
          </w:p>
        </w:tc>
        <w:tc>
          <w:tcPr>
            <w:tcW w:w="110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20" w:type="dxa"/>
            <w:vAlign w:val="bottom"/>
          </w:tcPr>
          <w:p>
            <w:pPr>
              <w:spacing w:after="0"/>
              <w:rPr>
                <w:sz w:val="10"/>
                <w:szCs w:val="10"/>
                <w:color w:val="auto"/>
              </w:rPr>
            </w:pPr>
          </w:p>
        </w:tc>
        <w:tc>
          <w:tcPr>
            <w:tcW w:w="9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September 28,</w:t>
            </w: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2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486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324"/>
        <w:spacing w:after="0" w:line="21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89% and 86% of our revenue for each of the three months ended September 27, 2025 and September 28, 2024, respectively, and 91% and 83% of our revenue for each of the nine months ended September 27, 2025 and September 28, 2024,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2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8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46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88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60" w:type="dxa"/>
            <w:vAlign w:val="bottom"/>
          </w:tcPr>
          <w:p>
            <w:pPr>
              <w:spacing w:after="0"/>
              <w:rPr>
                <w:sz w:val="11"/>
                <w:szCs w:val="11"/>
                <w:color w:val="auto"/>
              </w:rPr>
            </w:pPr>
          </w:p>
        </w:tc>
        <w:tc>
          <w:tcPr>
            <w:tcW w:w="1120" w:type="dxa"/>
            <w:vAlign w:val="bottom"/>
            <w:tcBorders>
              <w:top w:val="single" w:sz="8" w:color="auto"/>
            </w:tcBorders>
            <w:gridSpan w:val="2"/>
          </w:tcPr>
          <w:p>
            <w:pPr>
              <w:jc w:val="right"/>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9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60" w:type="dxa"/>
            <w:vAlign w:val="bottom"/>
          </w:tcPr>
          <w:p>
            <w:pPr>
              <w:spacing w:after="0"/>
              <w:rPr>
                <w:sz w:val="11"/>
                <w:szCs w:val="11"/>
                <w:color w:val="auto"/>
              </w:rPr>
            </w:pPr>
          </w:p>
        </w:tc>
      </w:tr>
      <w:tr>
        <w:trPr>
          <w:trHeight w:val="173"/>
        </w:trPr>
        <w:tc>
          <w:tcPr>
            <w:tcW w:w="546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19 %</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Customer E</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F</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10 %</w:t>
            </w:r>
          </w:p>
        </w:tc>
      </w:tr>
      <w:tr>
        <w:trPr>
          <w:trHeight w:val="234"/>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3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418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34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September 27,</w:t>
            </w:r>
          </w:p>
        </w:tc>
        <w:tc>
          <w:tcPr>
            <w:tcW w:w="980" w:type="dxa"/>
            <w:vAlign w:val="bottom"/>
          </w:tcPr>
          <w:p>
            <w:pPr>
              <w:jc w:val="right"/>
              <w:ind w:right="17"/>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80" w:type="dxa"/>
            <w:vAlign w:val="bottom"/>
          </w:tcPr>
          <w:p>
            <w:pPr>
              <w:spacing w:after="0"/>
              <w:rPr>
                <w:sz w:val="10"/>
                <w:szCs w:val="10"/>
                <w:color w:val="auto"/>
              </w:rPr>
            </w:pPr>
          </w:p>
        </w:tc>
      </w:tr>
      <w:tr>
        <w:trPr>
          <w:trHeight w:val="173"/>
        </w:trPr>
        <w:tc>
          <w:tcPr>
            <w:tcW w:w="4180" w:type="dxa"/>
            <w:vAlign w:val="bottom"/>
          </w:tcPr>
          <w:p>
            <w:pPr>
              <w:spacing w:after="0"/>
              <w:rPr>
                <w:sz w:val="15"/>
                <w:szCs w:val="15"/>
                <w:color w:val="auto"/>
              </w:rPr>
            </w:pPr>
          </w:p>
        </w:tc>
        <w:tc>
          <w:tcPr>
            <w:tcW w:w="4300" w:type="dxa"/>
            <w:vAlign w:val="bottom"/>
            <w:gridSpan w:val="2"/>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32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Customer A</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45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5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r>
      <w:tr>
        <w:trPr>
          <w:trHeight w:val="234"/>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*Less than 10%</w:t>
            </w:r>
          </w:p>
        </w:tc>
        <w:tc>
          <w:tcPr>
            <w:tcW w:w="3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859"/>
        </w:trPr>
        <w:tc>
          <w:tcPr>
            <w:tcW w:w="4180" w:type="dxa"/>
            <w:vAlign w:val="bottom"/>
          </w:tcPr>
          <w:p>
            <w:pPr>
              <w:spacing w:after="0"/>
              <w:rPr>
                <w:sz w:val="24"/>
                <w:szCs w:val="24"/>
                <w:color w:val="auto"/>
              </w:rPr>
            </w:pPr>
          </w:p>
        </w:tc>
        <w:tc>
          <w:tcPr>
            <w:tcW w:w="3240" w:type="dxa"/>
            <w:vAlign w:val="bottom"/>
          </w:tcPr>
          <w:p>
            <w:pPr>
              <w:jc w:val="right"/>
              <w:ind w:right="2273"/>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4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INVESTMENTS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Debt investments include U.S. government bonds and money market funds. U.S. government bonds are for original maturities of up to six months and are classified as available for sale and measured at fair value with the related unrealized gains and losses included in other comprehensive income (expense), net. Money market funds, measured at fair value, consist of institutional investors money market funds and are readily redeemable to cash.</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Cash and cash</w:t>
            </w:r>
          </w:p>
        </w:tc>
        <w:tc>
          <w:tcPr>
            <w:tcW w:w="10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Other current</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Unrealized gain</w:t>
            </w: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55</w:t>
            </w:r>
          </w:p>
        </w:tc>
        <w:tc>
          <w:tcPr>
            <w:tcW w:w="0" w:type="dxa"/>
            <w:vAlign w:val="bottom"/>
          </w:tcPr>
          <w:p>
            <w:pPr>
              <w:spacing w:after="0"/>
              <w:rPr>
                <w:sz w:val="1"/>
                <w:szCs w:val="1"/>
                <w:color w:val="auto"/>
              </w:rPr>
            </w:pPr>
          </w:p>
        </w:tc>
      </w:tr>
      <w:tr>
        <w:trPr>
          <w:trHeight w:val="378"/>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U.S. dollars in millions</w:t>
            </w: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ind w:left="480"/>
              <w:spacing w:after="0" w:line="142" w:lineRule="exact"/>
              <w:rPr>
                <w:sz w:val="20"/>
                <w:szCs w:val="20"/>
                <w:color w:val="auto"/>
              </w:rPr>
            </w:pPr>
            <w:r>
              <w:rPr>
                <w:rFonts w:ascii="Times New Roman" w:cs="Times New Roman" w:eastAsia="Times New Roman" w:hAnsi="Times New Roman"/>
                <w:sz w:val="14"/>
                <w:szCs w:val="14"/>
                <w:b w:val="1"/>
                <w:bCs w:val="1"/>
                <w:color w:val="auto"/>
              </w:rPr>
              <w:t>Reported as</w:t>
            </w:r>
          </w:p>
        </w:tc>
        <w:tc>
          <w:tcPr>
            <w:tcW w:w="2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06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Unrealized gain</w:t>
            </w:r>
          </w:p>
        </w:tc>
        <w:tc>
          <w:tcPr>
            <w:tcW w:w="1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10"/>
                <w:szCs w:val="1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9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Cash and cash</w:t>
            </w:r>
          </w:p>
        </w:tc>
        <w:tc>
          <w:tcPr>
            <w:tcW w:w="100" w:type="dxa"/>
            <w:vAlign w:val="bottom"/>
          </w:tcPr>
          <w:p>
            <w:pPr>
              <w:spacing w:after="0"/>
              <w:rPr>
                <w:sz w:val="10"/>
                <w:szCs w:val="10"/>
                <w:color w:val="auto"/>
              </w:rPr>
            </w:pPr>
          </w:p>
        </w:tc>
        <w:tc>
          <w:tcPr>
            <w:tcW w:w="90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Other current</w:t>
            </w:r>
          </w:p>
        </w:tc>
        <w:tc>
          <w:tcPr>
            <w:tcW w:w="0" w:type="dxa"/>
            <w:vAlign w:val="bottom"/>
          </w:tcPr>
          <w:p>
            <w:pPr>
              <w:spacing w:after="0"/>
              <w:rPr>
                <w:sz w:val="1"/>
                <w:szCs w:val="1"/>
                <w:color w:val="auto"/>
              </w:rPr>
            </w:pPr>
          </w:p>
        </w:tc>
      </w:tr>
      <w:tr>
        <w:trPr>
          <w:trHeight w:val="173"/>
        </w:trPr>
        <w:tc>
          <w:tcPr>
            <w:tcW w:w="406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w w:val="99"/>
              </w:rPr>
              <w:t>assets</w:t>
            </w:r>
          </w:p>
        </w:tc>
        <w:tc>
          <w:tcPr>
            <w:tcW w:w="2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435"/>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center"/>
              <w:ind w:left="435"/>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33</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Non-marketable equity securities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2024, the Company entered into a series of investment agreements with a privately held company, pursuant to which the Company agreed to purchase up to $25 million of preferred stock. In October 2024, the Company purchased $10 million of preferred stock in the privately held company. The Company no longer has an obligation to purchase additional preferred stock pursuant to the terms of the applicable preferred stock investment agreements.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July 2025, the privately held company entered into an agreement and plan of merger, pursuant to which a buyer agreed to acquire the privately held company and merge the foregoing with a wholly-owned subsidiary of the buyer, subject to satisfaction by the parties of certain closing conditions. Upon closing of the merger in August 2025, the Company received consideration in the amount of $10.3 million for its shares of preferred stock. The Company may receive additional consideration, subject to the release of additional amounts held in escrow pursuant to the terms of the agreement and plan of merger. In connection with the agreement and plan of merger, the Company entered into an amendment of certain preferred stock investment agreements pursuant to which the Company had the option but not the obligation, to purchase additional preferred stock prior to the closing of the agreement and plan of merger. With the closing of the merger, the Company no longer has this option.</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investment did not provide the Company the ability to control or have significant influence over the operations of the privately held company. We have accounted for the investment using the measurement alternative because the securities are not publicly traded and do not have a readily determinable fair value. Under the measurement alternative, the equity investment is initially recorded at its cost, but the carrying value may be adjusted through earnings upon an impairment or when there is an observable price change involving the same or a similar investment with the same issuer. Upon closing of the merger and the sale of our investment, the Company recognized financing income of $0.3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We intend to defend the matter vigorously. No provision was recorded in the condensed consolidated financial statements as of September 27,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U.S. District Court for the Southern District of New York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condensed consolidated financial statements as of September 27,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State of Delaware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We intend to defend the matter vigorously. No provision was recorded in the condensed consolidated financial statements as of September 27, 2025.</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Inter Parte Review (IPR) proceedings filed by Mobileye Vision Technologies Ltd. against the patents asserted by Facet. On March 15, 2025, the parties agreed and the relevant courts entered orders staying all litigation pending the outcome of the both IPRs. On March 19, 2025, Facet filed requests for reconsideration of both institution decisions. On April 22, 2025, the Patent Trial and Appeal Board denied Facet’s request for reconsideration in respect of one of the institution decisions. On May 2, 2025, the U.S. Patent and Trademark Office denied Facet’s request for Director Review of the second institution decision. We intend to defend the matter vigorously. No provision was recorded in the condensed consolidated financial statements as of September 27,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Share - based compensation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2025, the Company’s compensation committee approved the issuance of restricted stock units to be issued under our 2022 Plan. The total aggregate fair value of RSUs granted was $15.1 million, which consisted of 1,060 thousand RSUs, which will vest over a service period of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As of September 27, 2025, our solutions had been installed in approximately 1,200 vehicle models (including local country, year, and other vehicle model variations), and our System-on-Chips (“SoCs”) had been deployed in approximately 230 million vehicles. We are actively working with more than 50 Original Equipment Manufacturers (“OEMs”) worldwide on the implementation of our ADAS solutions. In the nine months ended September 27, 2025, we shipped approximately 27.4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an increase from the approximately 19.8 million of our systems that we shipped in the nine months ended September 28, 2024, primarily due to the normalization of excess inventory at our Tier 1 customers that was previously used to satisfy demand during 2024.</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have responded. In addition, both Hezbollah and the Houthi movement have attacked military and civilian targets in Israel, to which Israel has responded, including through increased air and ground operations in Lebanon. In addition, the Houthi movement has attacked international shipping lanes in the Red Sea, to which both Israel and the United States have responded. Further, on April 13, 2024 and October 1, 2024, Iran launched a series of drone and missile strikes against Israel, to which Israel has responded. Most recently, on June 13, 2025, Israel launched a preemptive attack on Iran, to which Iran responded with ballistic missile and drone attacks. On June 23, 2025, Israel and Iran agreed to a ceasefire, although there is no assurance that the ceasefire will continue. On October 9, 2025, Israel, Hamas, the United States and other countries in the region agreed to a framework for a ceasefire in Gaza between Israel and Hamas. 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 To date, our operations have not been materially affected, although as of October 15, 2025 approximately 3.8% of our employees have been called to reserve duty in the Israel Defense Forces. We expect that the current conflict in the Gaza Strip, Lebanon, Iran and the broader region as well as the security escalation in Israel will not have a material impact on our business results in the short term. However, since these are events beyond our control, their continuation or cessation may affect our expectations. We continue to monitor political and military developments closely and examine the consequences for our operations and assets.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Share Repurchase, Option and Conversion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9, 2025, the Company announced the pricing of a public secondary offering of 50,000,000 shares of Class A common stock (which shares were received upon the conversion of 50,000,000 shares of Class B common stock into Class A common stock) by Intel at a public offering price of $16.50 per share (the “Secondary Offering”), with Intel granting the underwriters a 30-day option to purchase up to an additional 7,500,000 shares of Class A common stock (the “Option”). The Secondary Offering closed on July 11, 2025.</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and conditional upon the closing of the Secondary Offering, on July 11, 2025 the Company purchased from Intel 6,231,985 shares of Class A common stock (which shares were received upon the conversion of 6,231,985 shares of Class B common stock into Class A common stock) at a price of $16.04625 share, which is equal to the per share purchase price paid by the underwriters in the Secondary Offering pursuant to a share repurchase agreement with Intel (the “Share Repurchase”). The aggregate consideration paid by the Company for the Share Repurchase was $100 million. Upon closing of the Share Repurchase, the Company cancelled and retired the 6,231,985 shares of Class A common stock acquired pursuant to the Share Repurchase.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closing of the Share Repurchase, the underwriters exercised the Option (which shares were received upon the conversion of 7,500,000 shares of Class B common stock into Class A common stock), which closed on July 11, 2025. The Company did not sell any shares of Class A common stock in the Secondary Offering or in respect of the exercise of the Option, and did not receive any proceeds from the sale of shares offered by Intel in each instance.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and conditional upon the closing of the Secondary Offering, Intel voluntarily converted pursuant to the Company’s Amended and Restated Certificate of Incorporation an additional 50,000,000 shares of Class B common stock to Class A common stock (the “Conversion”). The shares issued to Intel pursuant to the Conversion were issued pursuant to an exemption from registration pursuant to Section 3(a)(9) of the U.S. Securities Act of 1933. The Company received no proceeds from issuance of shares in the Conversion.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paid the costs associated with the registration of shares in connection with the Secondary Offering and the Option, other than underwriting discounts, fees and commissions.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completion of the Secondary Offering, Share Repurchase, Option and Conversion and as of September 27, 2025, Intel continues to directly or indirectly hold all of the Class B common stock of Mobileye as well as 50,000,000 shares of Class A common stock, which together represent approximately 79.6% of our outstanding common stock and 97.3% of the voting power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In the future, propelled by our next generation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including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SoC, our Compound AI system architecture, including True Redundancy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surround computer vision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solution, and our software-defined imaging radars, we believe that we will be positioned to deliver an autonomous driving solution that can enable the mass adoption of AV.</w:t>
      </w:r>
    </w:p>
    <w:p>
      <w:pPr>
        <w:spacing w:after="0" w:line="19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10"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and potentially other future products.</w:t>
      </w:r>
    </w:p>
    <w:p>
      <w:pPr>
        <w:spacing w:after="0" w:line="3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167"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 term. While automotive production has now recovered to approximately 2019 levels, current uncertain economic conditions and inflation may contribute to a reduction in consumer demand. In addition to economic conditions, in prior periods, including during the supply chain crisis and semi-conductor shortage of 2021 and 2022, certain Tier 1 customers increased their orders for components and parts, including our solutions, to counteract the impact of supply chain shortages for auto parts. As a result, some demand for our solutions and the corresponding revenue from these customers were shifted to earlier time periods than otherwise would have occurred absent a general supply chain shortage and inflationary environment. As a result of our standard planning process for 2024, including discussions with our Tier 1 customers, we became aware in late 2023 of significant excess inventory at our customers. This as well as lower than expected production at certain OEMs during 2023 led to the decision by our Tier 1 customers to prioritize in the first quarter of 2024 the utilization of excess inventory on hand before using new shipments to meet the demand of OEMs. We estimate our customers used the vast majority of this excess customer inventory in 2024, in accordance with our expectations, but there is no guarantee that orders will remain normalized or that customers won’t build up excess inventory in the future. ADAS volumes have grown faster in recent years than the overall automotive market as ADAS penetration rates have increased, and we believe that we will continue to benefit from that trend. Our revenue of $1,448 million in the nine months ended September 27, 2025 was up 24% year-over-year, primarily due to the unusually low volume caused by the usage of meaningful excess inventory at our Tier 1 customers to satisfy demand in the first half of 2024.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policies, sanctions and import and export controls. </w:t>
      </w:r>
      <w:r>
        <w:rPr>
          <w:rFonts w:ascii="Times New Roman" w:cs="Times New Roman" w:eastAsia="Times New Roman" w:hAnsi="Times New Roman"/>
          <w:sz w:val="18"/>
          <w:szCs w:val="18"/>
          <w:color w:val="auto"/>
        </w:rPr>
        <w:t>Trade policies, sanctions and import and export controls. Trade policies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international disputes at times result in increased tariffs, trade barriers and other restrictions, which can increase our manufacturing costs, make our solutions less competitive, reduce demand for our solutions, limit our ability to sell to certain customers, limit our ability to procure raw components or raw materials or impede or slow the movement of our goods across borders. In addition, tariffs could lead to higher prices for finished automobiles, which would reduce demand for automobiles and thus the market for our products. On March 26, 2025, the United States imposed an additional 25% tariff on all imports of passenger vehicles, light vehicles, and certain automotive parts, such as engines, transmissions, powertrain parts and electrical components. The tariff on finished vehicles went into effect on April 3, 2025 and the tariffs on automobile parts entered into effect on May 3, 2025. Further, on April 2, 2025, the United States announced a 10% tariff on all countries effective on April 5, 2025 as well as individualized higher tariff rates on countries with which the United States has proportionately large trade deficits in goods. The United States paused these “reciprocal tariffs” on certain countries as individual bilateral trade deals were negotiated, and increased reciprocal tariff rates and other restrictions on countries that responded with increased tariffs of their own. Subsequently, the United States announced trade deals with certain countries, such as Indonesia, and interim trade deals with others, including China, as negotiations with such countries for definitive trade deals continued. In July 2025, the United States announced tariffs on certain countries and other entities, including Mexico, Canada and the European Union, that failed to make substantial progress on trade negotiations with the United States following the pause on reciprocal tariffs; such tariffs are scheduled to become effective on August 1, 2025. Further, the United States announced on July 8, 2025 additional sector tariffs, including on copper imports. In response to export controls imposed by China, the United States announced on October 10, 2025 the possible resumption of significant tariffs and other export controls on China. 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prior to the automotive tariffs going into effect on May 3, 2025 or certain country or regional tariffs going into effect on August 1, 2025, thereby shifting demand for our solutions and corresponding revenue to earlier periods. While we continually evaluate changes in U.S. trade policy and global reactions thereto, as well as our ability to mitigate their impact, these recent changes may negatively impact our customers and our business. For additional information, see “Item IA - Risk Factors - We are subject to risk related to trade policies, sanctions, and import and export controls” in our 2024 Form 10-K, as filed with the SEC on February 13, 2025 (the “2024 Form 10-K”).</w:t>
      </w:r>
    </w:p>
    <w:p>
      <w:pPr>
        <w:spacing w:after="0" w:line="204"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 For example, in the third quarter of 2024 Zeekr announced their decision to utilize their in-house system instead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for at least a major portion of production for their 001 model going forward.</w:t>
      </w:r>
    </w:p>
    <w:p>
      <w:pPr>
        <w:spacing w:after="0" w:line="143"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 margin,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9" w:lineRule="exact"/>
        <w:rPr>
          <w:sz w:val="20"/>
          <w:szCs w:val="20"/>
          <w:color w:val="auto"/>
        </w:rPr>
      </w:pPr>
    </w:p>
    <w:p>
      <w:pPr>
        <w:jc w:val="both"/>
        <w:ind w:firstLine="324"/>
        <w:spacing w:after="0" w:line="23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and manufacturing capacity. </w:t>
      </w:r>
      <w:r>
        <w:rPr>
          <w:rFonts w:ascii="Times New Roman" w:cs="Times New Roman" w:eastAsia="Times New Roman" w:hAnsi="Times New Roman"/>
          <w:sz w:val="17"/>
          <w:szCs w:val="17"/>
          <w:color w:val="auto"/>
        </w:rPr>
        <w:t>Our solutions are dependent on the global semiconductor supply chain. The continued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During 2021 and 2022, the semiconductor industry experienced widespread shortages of substrates and other components and available foundry manufacturing capacity. We entered 2022 with significantly lower inventories of our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on our balance sheet as a result of the limited supply during 2021. Further, STMicroelectronics, our sole supplier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was not able to meet our demand for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during 2022, causing a further significant reduction in our company-owned inventory level. Starting in late 2022 and early 2023, such supply chain disruptions, raw material shortages, and manufacturing limitations abated and during 2023, we successfully increased levels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 inventory on hand, mitigating the potential for future supply constraints to cause a shortfall of chips. However, in the event of a reoccurrence of supply chain constraints, and subject to the duration and severity thereof, we may be required to operate with minimal or no inventory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or SuperVision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ECUs on hand. As a result, we are substantially reliant on timely shipments of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anticipate that our current supply chain constraints would materially adversely affect our results of operations, capital resources, sales, profits, and liquidity on a long-term basis.</w:t>
      </w:r>
    </w:p>
    <w:p>
      <w:pPr>
        <w:spacing w:after="0" w:line="14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expenses. </w:t>
      </w:r>
      <w:r>
        <w:rPr>
          <w:rFonts w:ascii="Times New Roman" w:cs="Times New Roman" w:eastAsia="Times New Roman" w:hAnsi="Times New Roman"/>
          <w:sz w:val="18"/>
          <w:szCs w:val="18"/>
          <w:color w:val="auto"/>
        </w:rPr>
        <w:t>In connection with the Mobileye IPO, we established an equity incentive plan for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share-based compensation awards to certain members of our senior management, to our non-employee directors and to employees, to incentivize their performance and align their interests with ours. Historically, grants of share-based compensation to our employees were made pursuant to Intel’s employee equity incentive plans, and such historical grants will continue to be based on their original vesting schedules. Equity compensation has been, and will continue to be, an important part of our future compensation strategy and a significant component of our future expenses, which we expect to increase over time.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94"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89% and 86% of our revenue for the three months ended September 27, 2025 and September 28, 2024, respectively, and 91% and 83% of our revenue in the nine months ended September 27, 2025 and September 28, 2024, respectively. Sales of our SuperVision™ product represented more than half of the remainder of our revenue for the three months ended September 27, 2025, less than half of the remainder of our revenue for the nine months ended September 27, 2025 and the majority of the remainder of our revenue for the three and nine months ended September 28, 2024.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firstLine="324"/>
        <w:spacing w:after="0" w:line="209"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investment in software and hardware infrastructure for our AV solutions and active sensor suite.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increased premiums for directors’ and officers’ insurance and the increased use of share-based compensation for general and administrative personnel.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impairment expenses consist of a non-cash impairment loss recognized for the goodwill of the “Mobileye” reporting unit in the three and nine months ended September 28, 2024, as a result of the impairment analysis the Company performed during the third quarter of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income (expense), net, consists primarily of income related to investments in money market funds, as well as income from short term deposits and fluctuations in value due to foreign exchange differences between our monetary assets and liabilities denominated in New Israeli Shekels and to a much lesser extent, the Euro, the Chinese Yuan, the Japanese Yen, and other currencies.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We are continuing to evaluate the impacts of enacted legislation and pending legislation to enact Pillar Two Model Rules in the non-U.S. tax jurisdictions in which we operate. The Company is a constituent entity of its Parent for Pillar Two purposes.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July 2025, the United States enacted tax reform through the One Big Beautiful Bill Act (“OBBBA”). Included in this legislation are provisions that allow for the immediate expensing of research and development costs conducted in the United States, immediate expensing of certain capital expenditures, and other changes to the U.S. taxation of profits derived from foreign operations. The Company is monitoring developments related to the implementation of the OBBBA and any additional guidance issued by the U.S. Department of the Treasury, the Internal Revenue Service, or other standard-setting bodies that may affect the Company’s accounting for income taxes. Based on information available at the end of the reporting period and management’s assessment of that information, the OBBBA does not have and is not expected to have a material impact on the Company’s consolidated financial statements.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the periods presented in our condensed consolidated financial statements, certain components of our business operations were included in the consolidated U.S. federal tax return filed by Intel. We also file certain foreign income tax returns on a separate basis, distinct from Intel. Following the Secondary Offering, which resulted in the Tax Deconsolidation (see Note 1 to the condensed consolidated financial statements), the Company is no longer included in Intel’s U.S. federal consolidated income tax return and will be filing its own U.S. federal income tax returns for periods beginning July 12, 2025 onwards. Since prior to the Tax Deconsolidation, the Company’s income tax provision was calculated using the separate return method, as if the Company had filed its own U.S. federal income tax returns, the Tax Deconsolidation event does not have a material impact on the Company’s tax provision for the nine months ended September 27, 2025. Additionally, the Tax Deconsolidation results in an adjustment to the Company’s deferred income tax assets and liabilities, primarily with respect to its net operating losses, reflecting attributes that the Company will not retain as a result of its status as a standalone taxpayer. These changes are offset with a change in valuation allowance.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2021, Mobileye’s Israeli operations became taxable in the United States as a branch entity. In 2022, Moovit’s Israeli operations became taxable in the United States as a branch entity. As a result, these operations are taxed both in the United States and Israel. For U.S. tax purposes, there are favorable future tax deductions that we have not benefited from due to a valuation allowance position. If warranted, based on the assessment of verifiable evidence in support of the realization of deferred tax assets, the valuation allowances may be released, resulting in a tax benefit.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 based on the separate return method.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0" w:type="dxa"/>
            <w:vAlign w:val="bottom"/>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40" w:type="dxa"/>
            <w:vAlign w:val="bottom"/>
            <w:gridSpan w:val="3"/>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4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tcBorders>
              <w:top w:val="single" w:sz="8" w:color="auto"/>
            </w:tcBorders>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top w:val="single" w:sz="8" w:color="auto"/>
            </w:tcBorders>
          </w:tcPr>
          <w:p>
            <w:pPr>
              <w:jc w:val="right"/>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9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2"/>
            <w:vMerge w:val="continue"/>
          </w:tcPr>
          <w:p>
            <w:pPr>
              <w:spacing w:after="0"/>
              <w:rPr>
                <w:sz w:val="15"/>
                <w:szCs w:val="15"/>
                <w:color w:val="auto"/>
              </w:rPr>
            </w:pPr>
          </w:p>
        </w:tc>
        <w:tc>
          <w:tcPr>
            <w:tcW w:w="9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gridSpan w:val="2"/>
            <w:vMerge w:val="continue"/>
          </w:tcPr>
          <w:p>
            <w:pPr>
              <w:spacing w:after="0"/>
              <w:rPr>
                <w:sz w:val="15"/>
                <w:szCs w:val="15"/>
                <w:color w:val="auto"/>
              </w:rPr>
            </w:pPr>
          </w:p>
        </w:tc>
        <w:tc>
          <w:tcPr>
            <w:tcW w:w="98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780" w:type="dxa"/>
            <w:vAlign w:val="bottom"/>
            <w:gridSpan w:val="2"/>
            <w:vMerge w:val="continue"/>
          </w:tcPr>
          <w:p>
            <w:pPr>
              <w:spacing w:after="0"/>
              <w:rPr>
                <w:sz w:val="15"/>
                <w:szCs w:val="15"/>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8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555 %</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4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10"/>
        </w:trPr>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3,639</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(3,139)</w:t>
            </w: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(3,095)</w:t>
            </w: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(266)%</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14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4"/>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2"/>
                <w:szCs w:val="12"/>
                <w:color w:val="auto"/>
              </w:rPr>
            </w:pPr>
          </w:p>
        </w:tc>
        <w:tc>
          <w:tcPr>
            <w:tcW w:w="122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1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0"/>
        </w:trPr>
        <w:tc>
          <w:tcPr>
            <w:tcW w:w="45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27, 2025 and September 28, 2024</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firstLine="324"/>
        <w:spacing w:after="0" w:line="212" w:lineRule="auto"/>
        <w:rPr>
          <w:sz w:val="20"/>
          <w:szCs w:val="20"/>
          <w:color w:val="auto"/>
        </w:rPr>
      </w:pPr>
      <w:r>
        <w:rPr>
          <w:rFonts w:ascii="Times New Roman" w:cs="Times New Roman" w:eastAsia="Times New Roman" w:hAnsi="Times New Roman"/>
          <w:sz w:val="18"/>
          <w:szCs w:val="18"/>
          <w:color w:val="auto"/>
        </w:rPr>
        <w:t>In the three months ended September 27, 2025, revenue increased by $18 million, or 4%, compared to the three months ended September 28, 2024. This increase in revenue was primarily due to an increase of $29 million or 7%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mostly attributable to a 8% increase in volume, resulting from higher customer demand. This was partially offset by a decrease of $8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resulting from a decrease in volume.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approximately 3%, primarily due to the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third quarter of 2024.</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192" w:lineRule="auto"/>
        <w:rPr>
          <w:sz w:val="20"/>
          <w:szCs w:val="20"/>
          <w:color w:val="auto"/>
        </w:rPr>
      </w:pPr>
      <w:r>
        <w:rPr>
          <w:rFonts w:ascii="Times New Roman" w:cs="Times New Roman" w:eastAsia="Times New Roman" w:hAnsi="Times New Roman"/>
          <w:sz w:val="18"/>
          <w:szCs w:val="18"/>
          <w:color w:val="auto"/>
        </w:rPr>
        <w:t>In the nine months ended September 27, 2025, revenue increased by $284 million, or 24%, compared to the nine months ended September 28, 2024. This increase was primarily due to an increase of $359 million, or 37%,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attributable mainly to a 39% increase in volume, resulting mainly from the normalization of excess inventory by our Tier 1 customers that was previously used to satisfy demand during the first half of 2024. This was partially offset by a decrease of $74 million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resulting from a decrease in volume.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9%, mainly due to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nine months ended September 28, 2024.</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8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In the three months ended September 27, 2025, our cost of revenue increased by $12 million, or 5% compared to the three months ended September 28, 2024. In the nine months ended September 27, 2025, our cost of revenue increased by $82 million, or 12%, compared to the nine months ended September 28, 2024. In both periods, the increase is attributed to manufacturing costs, mainly resulting from the growth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which was partially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189" w:lineRule="exact"/>
        <w:rPr>
          <w:sz w:val="20"/>
          <w:szCs w:val="20"/>
          <w:color w:val="auto"/>
        </w:rPr>
      </w:pPr>
    </w:p>
    <w:p>
      <w:pPr>
        <w:jc w:val="both"/>
        <w:ind w:firstLine="324"/>
        <w:spacing w:after="0" w:line="235" w:lineRule="auto"/>
        <w:rPr>
          <w:sz w:val="20"/>
          <w:szCs w:val="20"/>
          <w:color w:val="auto"/>
        </w:rPr>
      </w:pPr>
      <w:r>
        <w:rPr>
          <w:rFonts w:ascii="Times New Roman" w:cs="Times New Roman" w:eastAsia="Times New Roman" w:hAnsi="Times New Roman"/>
          <w:sz w:val="18"/>
          <w:szCs w:val="18"/>
          <w:color w:val="auto"/>
        </w:rPr>
        <w:t>In the three months ended September 27 2025, our gross profit increased by $6 million, or 3% compared to the three months ended September 28, 2024. In the nine months ended September 27 2025, our gross profit increased by $202 million, or 40%, compared to the nine months ended September 28, 2024. The increase in both periods was primarily due to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which was slightly offset by the decrease in sales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w:t>
      </w:r>
    </w:p>
    <w:p>
      <w:pPr>
        <w:spacing w:after="0" w:line="49"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In the three months ended September 27 2025, our gross margin decreased to 48% compared to 49% in the three months ended September 28, 2024. This decrease was due to a modest reduction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ASP mainly due to higher volumes in China which carry lower ASP, and a higher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-related cost per unit given a different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sold. In the nine months ended September 27, 2025, our gross margin increased to 48% compared to 43% in the nine months ended September 28, 2024. This increase was primarily due to the lower impact of amortization of intangible assets as a percentage of revenue as well as an increase in the percentage of revenue attributable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w:t>
      </w:r>
    </w:p>
    <w:p>
      <w:pPr>
        <w:spacing w:after="0" w:line="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September 27, 2025, increased by $1 million, or 0%, compared to the three months ended September 28, 2024. This increase was primarily due to an increase in payroll and related expenses, resulting mainly from an increase in average research and development headcount of 140 employees and a decrease in NRE reimbursements influenced by projects progress and timing. This was partially offset by a decrease in R&amp;D direct expenses including professional services mostly related to the wind-down of the Lidar division that took place during 2024, as well as lower share-based compensation expenses.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net, in the nine months ended September 27, 2025 increased by $59 million, or 7%, compared to the nine months ended September 28, 2024. This increase was mainly due to an increase in payroll and related expenses, resulting from an increase in average research and development headcount of 137 employees, a decrease in NRE reimbursements influenced by projects progress and timing and higher depreciation expenses. This was partially offset by a decrease in R&amp;D direct expenses including professional services mostly related to the wind-down of the Lidar division that took place during 2024.</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Sales and marketing expenses in the three months ended September 27, 2025, increased by $1 million or 4% compared to the three months ended September 28, 2024, mainly due to higher marketing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in the nine months ended September 27, 2025, decreased by $5 million or 6% compared to the nine months ended September 28, 2024. This decrease is mainly associated with a decrease in payroll and related expenses due to the wind down of the after market division that took place in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September 27, 2025 increased by $1 million or 6% compared to the three months ended September 28, 2024 due to higher share-based compensation expenses.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September 27, 2025 increased by $4 million or 8%, compared to the nine months ended September 28, 2024, primarily due to an increase in share-based compensation expenses as well as legal and corporate expenses.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impairment expenses were zero in the three and nine months ended September 27, 2025 and $2,695 million in the three and nine months ended September 28, 2024. During the third quarter of 2024, the Company performed an interim quantitative goodwill impairment analysis for the “Mobileye” reporting unit, resulting in a non-cash impairment loss. For further details, refer to Note 10 to the audited consolidated financial statements for the fiscal year ended December 28, 2024.</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income, net, in the three months ended September 27, 2025 increased by $3 million, or 21%, compared to the three months ended September 28, 2024, mainly due to an increase in interest income and the impact of fluctuations in foreign exchange rates. Financial income, net, in the nine months ended September 27, 2025 increased by $4 million, or 9%, compared to the nine months ended September 28, 2024, due to an increase in interest income, which was partially offset by the impact of fluctuations in foreign exchange rates.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three months ended September 27, 2025 provision for income tax was $4 million, compared to a benefit for income tax of $78 million in the three months ended September 28, 2024. In the nine months ended September 27, 2025, provision for income tax was $13 million, compared to a benefit for income tax of $76 million in the nine months ended September 28, 2024. In both periods, the change is mainly due to the deferred tax effect of $82 million attributed to goodwill impairment of the Mobileye reporting unit which was recognised in the prior year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as well as for funding our capital expenditures. Our capital expenditures have related mainly to data storage and other computer related equipment, expenditure related to research and development projects and to the construction of new sites, and were $52 million and $68 million for the nine months ended September 27, 2025 and September 28, 2024, respectively.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2025 to be similar compared to our total capital expenditures in 2024.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5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w:t>
            </w: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in cash, cash equivalents and restricted cash</w:t>
            </w:r>
          </w:p>
        </w:tc>
        <w:tc>
          <w:tcPr>
            <w:tcW w:w="106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27, 2025 compared to the nine months ended September 28, 2024, the $293 million increase in cash provided by operating activities was mainly due to a decrease of $2,754 million in net loss, partially offset by $2,695 million ($2,613 million, net of tax) of non-cash goodwill impairment loss recognized in the nine months ended September 28, 2024, as well as a decrease in inventories compared to an increase in prior year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27, 2025 and September 28, 2024 was $64 million and $98 million, respectively, consisting of capital expenditures and debt investments.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September 27, 2025 was $102 million consisting of $100 million repurchase of common stock from Intel and share-based compensation recharge payments made to Intel. Net cash used in financing activities in the nine months ended September 28, 2024 was $16 million consisting of share-based compensation recharge payments made to Intel.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Severance pay liability increased from $62 million as of December 28, 2024, to $74 million as of September 27, 2025, reflecting the impact of annual salary increases and fluctuations in foreign exchange rates.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USA, Germany and China. All leases are operating leases with fixed payment terms where some of the leases include annual increases to lease payments based on an index or a rate. Lease liabilities, representing the present value of future lease payments, have increased from $50 million as of December 28, 2024 to $61 million as of September 27, 2025, reflecting mainly new lease contracts and foreign currency exchange effects, partially offset by the progress in lease payments for existing arrangements.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$19 million as of September 27, 2025 (denominated in New Israeli Shekels) mainly in connection with lease agreements and import of vehicles.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for our acquisition-related intangible assets, share-based compensation expense, impairment of goodwill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spacing w:after="0"/>
              <w:rPr>
                <w:sz w:val="12"/>
                <w:szCs w:val="12"/>
                <w:color w:val="auto"/>
              </w:rPr>
            </w:pPr>
          </w:p>
        </w:tc>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4"/>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80" w:type="dxa"/>
            <w:vAlign w:val="bottom"/>
          </w:tcPr>
          <w:p>
            <w:pPr>
              <w:spacing w:after="0"/>
              <w:rPr>
                <w:sz w:val="12"/>
                <w:szCs w:val="12"/>
                <w:color w:val="auto"/>
              </w:rPr>
            </w:pPr>
          </w:p>
        </w:tc>
        <w:tc>
          <w:tcPr>
            <w:tcW w:w="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and Margin</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 acquired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11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19 %</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20"/>
                <w:szCs w:val="20"/>
                <w:color w:val="auto"/>
              </w:rPr>
            </w:pPr>
          </w:p>
        </w:tc>
        <w:tc>
          <w:tcPr>
            <w:tcW w:w="1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198"/>
        </w:trPr>
        <w:tc>
          <w:tcPr>
            <w:tcW w:w="2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 compensation</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expense</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Gross Profit and</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460" w:type="dxa"/>
            <w:vAlign w:val="bottom"/>
            <w:vMerge w:val="continue"/>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60" w:type="dxa"/>
            <w:vAlign w:val="bottom"/>
          </w:tcPr>
          <w:p>
            <w:pPr>
              <w:spacing w:after="0"/>
              <w:rPr>
                <w:sz w:val="15"/>
                <w:szCs w:val="15"/>
                <w:color w:val="auto"/>
              </w:rPr>
            </w:pPr>
          </w:p>
        </w:tc>
        <w:tc>
          <w:tcPr>
            <w:tcW w:w="128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67 %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160" w:type="dxa"/>
            <w:vAlign w:val="bottom"/>
          </w:tcPr>
          <w:p>
            <w:pPr>
              <w:spacing w:after="0"/>
              <w:rPr>
                <w:sz w:val="15"/>
                <w:szCs w:val="15"/>
                <w:color w:val="auto"/>
              </w:rPr>
            </w:pPr>
          </w:p>
        </w:tc>
        <w:tc>
          <w:tcPr>
            <w:tcW w:w="1280" w:type="dxa"/>
            <w:vAlign w:val="bottom"/>
            <w:gridSpan w:val="4"/>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68 %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985</w:t>
            </w:r>
          </w:p>
        </w:tc>
        <w:tc>
          <w:tcPr>
            <w:tcW w:w="160" w:type="dxa"/>
            <w:vAlign w:val="bottom"/>
          </w:tcPr>
          <w:p>
            <w:pPr>
              <w:spacing w:after="0"/>
              <w:rPr>
                <w:sz w:val="15"/>
                <w:szCs w:val="15"/>
                <w:color w:val="auto"/>
              </w:rPr>
            </w:pPr>
          </w:p>
        </w:tc>
        <w:tc>
          <w:tcPr>
            <w:tcW w:w="1300" w:type="dxa"/>
            <w:vAlign w:val="bottom"/>
            <w:gridSpan w:val="4"/>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68 % $</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160" w:type="dxa"/>
            <w:vAlign w:val="bottom"/>
          </w:tcPr>
          <w:p>
            <w:pPr>
              <w:spacing w:after="0"/>
              <w:rPr>
                <w:sz w:val="15"/>
                <w:szCs w:val="15"/>
                <w:color w:val="auto"/>
              </w:rPr>
            </w:pPr>
          </w:p>
        </w:tc>
        <w:tc>
          <w:tcPr>
            <w:tcW w:w="11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b w:val="1"/>
                <w:bCs w:val="1"/>
                <w:color w:val="auto"/>
              </w:rPr>
              <w:t>67 %</w:t>
            </w:r>
          </w:p>
        </w:tc>
        <w:tc>
          <w:tcPr>
            <w:tcW w:w="0" w:type="dxa"/>
            <w:vAlign w:val="bottom"/>
          </w:tcPr>
          <w:p>
            <w:pPr>
              <w:spacing w:after="0"/>
              <w:rPr>
                <w:sz w:val="1"/>
                <w:szCs w:val="1"/>
                <w:color w:val="auto"/>
              </w:rPr>
            </w:pPr>
          </w:p>
        </w:tc>
      </w:tr>
      <w:tr>
        <w:trPr>
          <w:trHeight w:val="225"/>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Margin</w:t>
            </w:r>
          </w:p>
        </w:tc>
        <w:tc>
          <w:tcPr>
            <w:tcW w:w="200" w:type="dxa"/>
            <w:vAlign w:val="bottom"/>
            <w:gridSpan w:val="2"/>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Our Adjusted Gross Margin decreased from 68% in the three months ended September 28, 2024 to 67% for to the three months ended September 27, 2025. This decrease was due to a modest reduction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ASP mainly due to higher volumes in China which carry lower ASP, and a higher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-related cost per unit given a different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sold.</w:t>
      </w:r>
    </w:p>
    <w:p>
      <w:pPr>
        <w:spacing w:after="0" w:line="86" w:lineRule="exact"/>
        <w:rPr>
          <w:sz w:val="20"/>
          <w:szCs w:val="20"/>
          <w:color w:val="auto"/>
        </w:rPr>
      </w:pPr>
    </w:p>
    <w:p>
      <w:pPr>
        <w:jc w:val="both"/>
        <w:ind w:right="20" w:firstLine="324"/>
        <w:spacing w:after="0" w:line="285" w:lineRule="auto"/>
        <w:rPr>
          <w:sz w:val="20"/>
          <w:szCs w:val="20"/>
          <w:color w:val="auto"/>
        </w:rPr>
      </w:pPr>
      <w:r>
        <w:rPr>
          <w:rFonts w:ascii="Times New Roman" w:cs="Times New Roman" w:eastAsia="Times New Roman" w:hAnsi="Times New Roman"/>
          <w:sz w:val="18"/>
          <w:szCs w:val="18"/>
          <w:color w:val="auto"/>
        </w:rPr>
        <w:t>Our Adjusted Gross Margin increased from 67% for the nine months ended September 28, 2024 to 68% for the nine months ended September 27, 2025. This increase was primarily due to an increase in the percentage of revenue attributable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w:t>
      </w:r>
    </w:p>
    <w:p>
      <w:pPr>
        <w:spacing w:after="0" w:line="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and share-based compensation expenses. Operating Margin is calculated as operating income (loss) divided by total revenue, and Adjusted Operating Margin is calculated as Adjusted Operating Income (Loss) divided by total revenue.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0" w:type="dxa"/>
            <w:vAlign w:val="bottom"/>
          </w:tcPr>
          <w:p>
            <w:pPr>
              <w:spacing w:after="0"/>
              <w:rPr>
                <w:sz w:val="12"/>
                <w:szCs w:val="12"/>
                <w:color w:val="auto"/>
              </w:rPr>
            </w:pPr>
          </w:p>
        </w:tc>
        <w:tc>
          <w:tcPr>
            <w:tcW w:w="1720" w:type="dxa"/>
            <w:vAlign w:val="bottom"/>
            <w:gridSpan w:val="4"/>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2"/>
                <w:szCs w:val="12"/>
                <w:color w:val="auto"/>
              </w:rPr>
            </w:pPr>
          </w:p>
        </w:tc>
        <w:tc>
          <w:tcPr>
            <w:tcW w:w="1580" w:type="dxa"/>
            <w:vAlign w:val="bottom"/>
            <w:gridSpan w:val="3"/>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2"/>
                <w:szCs w:val="12"/>
                <w:color w:val="auto"/>
              </w:rPr>
            </w:pPr>
          </w:p>
        </w:tc>
        <w:tc>
          <w:tcPr>
            <w:tcW w:w="162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vMerge w:val="continue"/>
          </w:tcPr>
          <w:p>
            <w:pPr>
              <w:spacing w:after="0"/>
              <w:rPr>
                <w:sz w:val="12"/>
                <w:szCs w:val="12"/>
                <w:color w:val="auto"/>
              </w:rPr>
            </w:pPr>
          </w:p>
        </w:tc>
        <w:tc>
          <w:tcPr>
            <w:tcW w:w="660" w:type="dxa"/>
            <w:vAlign w:val="bottom"/>
            <w:tcBorders>
              <w:top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80" w:type="dxa"/>
            <w:vAlign w:val="bottom"/>
          </w:tcPr>
          <w:p>
            <w:pPr>
              <w:spacing w:after="0"/>
              <w:rPr>
                <w:sz w:val="12"/>
                <w:szCs w:val="12"/>
                <w:color w:val="auto"/>
              </w:rPr>
            </w:pPr>
          </w:p>
        </w:tc>
        <w:tc>
          <w:tcPr>
            <w:tcW w:w="82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2"/>
                <w:szCs w:val="12"/>
                <w:color w:val="auto"/>
              </w:rPr>
            </w:pPr>
          </w:p>
        </w:tc>
        <w:tc>
          <w:tcPr>
            <w:tcW w:w="68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Operating Income (Loss) and</w:t>
            </w: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Margin</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(2,807)</w:t>
            </w: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(3,139)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0"/>
                <w:szCs w:val="20"/>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555 %</w:t>
            </w: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0"/>
        </w:trPr>
        <w:tc>
          <w:tcPr>
            <w:tcW w:w="238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Adjusted Operating Income</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380" w:type="dxa"/>
            <w:vAlign w:val="bottom"/>
            <w:vMerge w:val="continue"/>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40" w:type="dxa"/>
            <w:vAlign w:val="bottom"/>
            <w:shd w:val="clear" w:color="auto" w:fill="CCEEFF"/>
          </w:tcPr>
          <w:p>
            <w:pPr>
              <w:spacing w:after="0"/>
              <w:rPr>
                <w:sz w:val="15"/>
                <w:szCs w:val="15"/>
                <w:color w:val="auto"/>
              </w:rPr>
            </w:pPr>
          </w:p>
        </w:tc>
        <w:tc>
          <w:tcPr>
            <w:tcW w:w="12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15 %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16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16 % $</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140" w:type="dxa"/>
            <w:vAlign w:val="bottom"/>
            <w:shd w:val="clear" w:color="auto" w:fill="CCEEFF"/>
          </w:tcPr>
          <w:p>
            <w:pPr>
              <w:spacing w:after="0"/>
              <w:rPr>
                <w:sz w:val="15"/>
                <w:szCs w:val="15"/>
                <w:color w:val="auto"/>
              </w:rPr>
            </w:pP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17 % $</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8 %</w:t>
            </w:r>
          </w:p>
        </w:tc>
        <w:tc>
          <w:tcPr>
            <w:tcW w:w="0" w:type="dxa"/>
            <w:vAlign w:val="bottom"/>
          </w:tcPr>
          <w:p>
            <w:pPr>
              <w:spacing w:after="0"/>
              <w:rPr>
                <w:sz w:val="1"/>
                <w:szCs w:val="1"/>
                <w:color w:val="auto"/>
              </w:rPr>
            </w:pPr>
          </w:p>
        </w:tc>
      </w:tr>
      <w:tr>
        <w:trPr>
          <w:trHeight w:val="225"/>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and Margin</w:t>
            </w:r>
          </w:p>
        </w:tc>
        <w:tc>
          <w:tcPr>
            <w:tcW w:w="100" w:type="dxa"/>
            <w:vAlign w:val="bottom"/>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3"/>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3"/>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operating loss decreased from $(2,807) million in the three months ended September 28, 2024 to $(109) million in three months ended September 27, 2025, mainly due to a goodwill impairment loss recognized during the three months ended September 28, 2024.</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loss decreased from $(3,139) million in the nine months ended September 28, 2024 to $(300) million in the nine months ended September 27, 2025, mainly due to a goodwill impairment loss recognized during the three months ended September 28,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Income decreased by $4 million in the three months ended September 27, 2025 compared to the three months ended September 28, 2024 mainly due to an increase in operating expenses partially offset by an increase in adjusted gross profit.</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by $147 million in the nine months ended September 27, 2025 compared to the nine months ended September 28, 2024, mainly due to an increase in adjusted gross profit partially offset by an increase in operating expenses.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Margin decreased from 16% for the three months ended September 28, 2024 to 15% for the three months ended September 27, 2025, mainly due to a decrease in adjusted gross margin.</w:t>
      </w:r>
    </w:p>
    <w:p>
      <w:pPr>
        <w:spacing w:after="0" w:line="10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Operating Margin increased from 8% for the nine months ended September 28, 2024 to 17% for the nine months ended September 27, 2025, mainly due to lower operating expenses as a percentage of revenue.</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2"/>
                <w:szCs w:val="12"/>
                <w:color w:val="auto"/>
              </w:rPr>
            </w:pPr>
          </w:p>
        </w:tc>
        <w:tc>
          <w:tcPr>
            <w:tcW w:w="1640" w:type="dxa"/>
            <w:vAlign w:val="bottom"/>
            <w:gridSpan w:val="4"/>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4"/>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20" w:type="dxa"/>
            <w:vAlign w:val="bottom"/>
          </w:tcPr>
          <w:p>
            <w:pPr>
              <w:spacing w:after="0"/>
              <w:rPr>
                <w:sz w:val="12"/>
                <w:szCs w:val="12"/>
                <w:color w:val="auto"/>
              </w:rPr>
            </w:pPr>
          </w:p>
        </w:tc>
        <w:tc>
          <w:tcPr>
            <w:tcW w:w="1620" w:type="dxa"/>
            <w:vAlign w:val="bottom"/>
            <w:gridSpan w:val="3"/>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September 28, 2024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80" w:type="dxa"/>
            <w:vAlign w:val="bottom"/>
            <w:tcBorders>
              <w:bottom w:val="single" w:sz="8" w:color="CCEEFF"/>
            </w:tcBorders>
            <w:vMerge w:val="continue"/>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Revenue</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6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(2,715)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(265)</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Add: Amortization of</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40" w:type="dxa"/>
            <w:vAlign w:val="bottom"/>
          </w:tcPr>
          <w:p>
            <w:pPr>
              <w:spacing w:after="0"/>
              <w:rPr>
                <w:sz w:val="20"/>
                <w:szCs w:val="20"/>
                <w:color w:val="auto"/>
              </w:rPr>
            </w:pP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Share-based</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Add: Goodwill impairment</w:t>
            </w: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 tax effects</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1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three months ended September 27, 2025 ended with a net loss of $(96) million compared to a $(2,715) million net loss in the three months ended September 28, 2024. Our net loss decreased by $2,754 million in the nine months ended September 27, 2025, compared to the nine months ended September 28, 2024. The decrease in net loss in both periods is mainly due to a goodwill impairment loss recognized during the three months ended September 28,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Adjusted Net Income decreased by $1 million in the three months ended September 27, 2025, compared to the three months ended September 28, 2024 mainly due to a decrease in adjusted operating income partially offset by higher financial income.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Adjusted Net Income increased by $143 million in the nine months ended September 27, 2025, compared to the nine months ended September 28, 2024. The increase is primarily due to the increase in Adjusted Gross Profit, partially offset by an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2024 Form 10-K describe the significant accounting policies and methods used in the preparation of the Company’s condensed consolidated financial statements. There have been no material changes to the Company’s critical accounting estimates since the 2024 Form 10-K.</w:t>
      </w:r>
    </w:p>
    <w:p>
      <w:pPr>
        <w:sectPr>
          <w:pgSz w:w="11900" w:h="16838" w:orient="portrait"/>
          <w:cols w:equalWidth="0" w:num="1">
            <w:col w:w="9920"/>
          </w:cols>
          <w:pgMar w:left="980" w:top="513"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macroeconomic conditions due to ongoing global economic and political uncertainty (as our current guidance assumes the estimated production and/or demand impact of current tariff conditions);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social and environmental performance, goals and measures;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in connection with the Israeli military operations in response to the October 7, 2023 terrorist attacks or the conflict between Israel and Iran, which may affect our operations and may limit our ability to produce and sell our solutions;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2024 Form 10-K.</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2024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2024 Form 10-K.</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investments in money market funds, U.S. government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September 27, 2025 and December 28, 2024, our investment in money market funds was $1,010 million and $951 million, respectively; our U.S. government bonds were $55 million and $33 million, respectively; and our short term deposits were $661 million and $419 million, respectively.</w:t>
      </w:r>
    </w:p>
    <w:p>
      <w:pPr>
        <w:spacing w:after="0" w:line="17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bonds and short term deposits is to fund our cash requirements in the ordinary course of business and preserve principal. We do not enter into investments for trading or speculative purposes.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1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fourth quarter of 2024 we initiated a foreign currency cash flow hedging program, designed to hedge the Company’s foreign exchange rate risk, resulting mainly from ILS payroll expenses. The Company hedges portions of its forecasted payroll payments denominated in ILS using forward contracts that are designated as cash flow hedges, as defined by ASC 815.</w:t>
      </w:r>
    </w:p>
    <w:p>
      <w:pPr>
        <w:spacing w:after="0" w:line="1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$31 million in the nine months ended September 27, 2025. If the New Israeli Shekel had strengthened by 10% against the U.S. dollar, it would have decreased our cash flows by approximately $51 million in the nine months ended September 28,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September 27, 2025 that have materially affected, or are reasonably likely to materially affect, our internal control over financial reporting.</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Securities Litigation. 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1:24 - CV - 01390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We intend to defend the matter vigorously. No provision was recorded in the condensed consolidated financial statements as of September 27,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U.S. District Court for the Southern District of New York</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12, 2024, a derivative lawsuit was filed against the members of the Mobileye Board of Directors and Intel Corporation, in its capacity as Mobileye’s controlling shareholder. Mobileye was also named as a nominal defendant. The complaint principally asserts claims for breach of fiduciary duty and unjust enrichment based on alleged failures to take steps to prevent the Company from making allegedly false and misleading statements concerning the build-up of excess inventory by certain Tier 1 Mobileye customers. The complaint also asserts a claim for violation of Section 14(a) of the Securities Exchange Act of 1934 based on alleged misstatements and omissions in Mobileye’s 2023 proxy statement. The complaint seeks unspecified damages and other relief. Since May 24, 2024, the derivative action has been stayed by the court pending resolution of the anticipated motion to dismiss in the consolidated securities action.</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27, 2024, an additional derivative lawsuit was filed in the United States District Court for the Southern District of New York against certain members of the Mobileye Board of Directors, certain of Mobileye’s current and former officers, and Intel Corporation, in its capacity as Mobileye’s controlling shareholder. Mobileye was also named as nominal defendant. On July 9th, 2024, this derivative action was consolidated with the derivative action originally filed on April 12, 2024 and the consolidated derivative action was stayed by the court pending resolution of the anticipated motion to dismiss in the consolidated securities action. Following dismissal of the consolidated securities action, the Court ordered the parties to jointly propose a schedule for further proceedings by April 24, 2025. On April 25, 2025, the Court entered a stipulation and order of voluntary dismissal without prejudice. In the event the plaintiffs refile this lawsuit, we intend to continue defending the matter vigorously. No provision was recorded in the condensed consolidated financial statements as of September 27, 2025.</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Derivative Action - State of Delaware</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6, 2025, a derivative lawsuit captioned Levitan et al. vs. Shashua et al. was filed in the State of Delaware’s Court of Chancery against certain current and former members of the Mobileye Board of Directors and against Intel Corporation, in its capacity as Mobileye’s controlling shareholder. Mobileye was also named as a nominal defendant. The complaint principally asserts claims for breach of fiduciary duty against the named director defendants and breach of fiduciary duty and unjust enrichment against Intel Corporation, alleging that the named director defendants and Intel should not have authorized Mobileye’s June 5, 2023 secondary offering given their purported knowledge of the alleged challenges facing the Company concerning customer demand and the buildup of excess inventory by Mobileye’s Tier 1 customers. The complaint seeks unspecified damages and other relief. On September 8, 2025, Mobileye, Intel Corporation and the named director defendants filed a motion to dismiss the complaint. We intend to defend the matter vigorously. No provision was recorded in the condensed consolidated financial statements as of September 27, 2025.</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allegedly infringing two patents. Captioned Facet Technology Corp. v. Mobileye Global, Inc., the complaint alleges that certain Mobileye products directly and indirectly infringe both patents. The complaint seeks unspecified damages, a permanent injunction, and attorneys’ fees and costs. On November 4, 2024, Mobileye filed a motion to dismiss asserting improper venue, which the court dismissed without prejudice to refile in view of an amended complaint filed by Facet, adding Mobileye Vision Technologies Ltd. and Mobileye Inc., each wholly-owned indirect subsidiaries of Mobileye Global Inc., as additional defendants. On November 7, 2024, Mobileye Vision Technologies Ltd. and Mobileye Inc., sued Facet Technology Corp. in the U.S. District Court of Minnesota seeking a declaratory judgement that the Mobileye plaintiffs do not infringe either patent. On March 5, 2025, the Patent Trial and Appeal Board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filed by Mobileye Vision Technologies Ltd. against the patents asserted by Facet. On March 15, 2025, the parties agreed and the relevant courts entered orders staying all litigation pending the outcome of the IPRs. On March 19, 2025, Facet filed requests for reconsideration of both institution decisions. On April 22, 2025, the Patent Trial and Appeal Board denied Facet’s request for reconsideration in respect of one of the institution decisions. On May 2, 2025, the U.S. Patent and Trademark Office denied Facet’s request for Director Review of the second institution decision. We intend to defend the matter vigorously. No provision was recorded in the condensed consolidated financial statements as of September 27, 2025.</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2024 Form 10-K. The risks described in the section entitled “Item 1A. Risk Factors” in our 2024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September 27, 2025.</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EE"/>
        </w:rPr>
        <w:t>Certification of the Chief Executive Officer pursuant to Section 302 of the Sarbanes-Oxley Act of 2002.</w:t>
      </w:r>
    </w:p>
    <w:p>
      <w:pPr>
        <w:spacing w:after="0" w:line="27" w:lineRule="exact"/>
        <w:rPr>
          <w:sz w:val="20"/>
          <w:szCs w:val="20"/>
          <w:color w:val="auto"/>
        </w:rPr>
      </w:pPr>
    </w:p>
    <w:p>
      <w:pPr>
        <w:ind w:left="140"/>
        <w:spacing w:after="0"/>
        <w:tabs>
          <w:tab w:leader="none" w:pos="8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the Chief Financial Officer pursuant to Section 302 of the Sarbanes-Oxley Act of 2002.</w:t>
      </w:r>
    </w:p>
    <w:p>
      <w:pPr>
        <w:spacing w:after="0" w:line="9" w:lineRule="exact"/>
        <w:rPr>
          <w:sz w:val="20"/>
          <w:szCs w:val="20"/>
          <w:color w:val="auto"/>
        </w:rPr>
      </w:pPr>
    </w:p>
    <w:p>
      <w:pPr>
        <w:ind w:left="840" w:right="20" w:hanging="714"/>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Certificate of the Chief Executive Officer of Mobileye Global Inc. pursuant to 18 U.S.C. § 1350 as adopted pursuant to Section 906 of the Sarbanes-Oxley Act of 2002.</w:t>
      </w:r>
    </w:p>
    <w:p>
      <w:pPr>
        <w:spacing w:after="0" w:line="1" w:lineRule="exact"/>
        <w:rPr>
          <w:sz w:val="20"/>
          <w:szCs w:val="20"/>
          <w:color w:val="auto"/>
        </w:rPr>
      </w:pPr>
    </w:p>
    <w:p>
      <w:pPr>
        <w:ind w:left="840" w:hanging="714"/>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Certificate of the Chief Financial Officer of Mobileye Global Inc. pursuant to 18 U.S.C. § 1350 as adopted pursuant to Section 906 of the Sarbanes-Oxley Act of 2002.</w:t>
      </w:r>
    </w:p>
    <w:p>
      <w:pPr>
        <w:spacing w:after="0" w:line="1" w:lineRule="exact"/>
        <w:rPr>
          <w:sz w:val="20"/>
          <w:szCs w:val="20"/>
          <w:color w:val="auto"/>
        </w:rPr>
      </w:pPr>
    </w:p>
    <w:p>
      <w:pPr>
        <w:jc w:val="both"/>
        <w:ind w:left="840" w:hanging="679"/>
        <w:spacing w:after="0" w:line="250" w:lineRule="auto"/>
        <w:tabs>
          <w:tab w:leader="none" w:pos="8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statements from Mobileye Global Inc.’s Quarterly Report on Form 10-Q for the three months ended September 27, 2025, filed with the Securities and Exchange Commission on October 23, 2025,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p>
      <w:pPr>
        <w:spacing w:after="0" w:line="2" w:lineRule="exact"/>
        <w:rPr>
          <w:sz w:val="20"/>
          <w:szCs w:val="20"/>
          <w:color w:val="auto"/>
        </w:rPr>
      </w:pPr>
    </w:p>
    <w:p>
      <w:pPr>
        <w:ind w:left="160"/>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20" w:type="dxa"/>
            <w:vAlign w:val="bottom"/>
            <w:gridSpan w:val="2"/>
          </w:tcPr>
          <w:p>
            <w:pPr>
              <w:ind w:left="4980"/>
              <w:spacing w:after="0"/>
              <w:rPr>
                <w:sz w:val="20"/>
                <w:szCs w:val="20"/>
                <w:color w:val="auto"/>
              </w:rPr>
            </w:pPr>
            <w:r>
              <w:rPr>
                <w:rFonts w:ascii="Times New Roman" w:cs="Times New Roman" w:eastAsia="Times New Roman" w:hAnsi="Times New Roman"/>
                <w:sz w:val="18"/>
                <w:szCs w:val="18"/>
                <w:color w:val="auto"/>
              </w:rPr>
              <w:t>Mobileye Global Inc.</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4640" w:type="dxa"/>
            <w:vAlign w:val="bottom"/>
          </w:tcPr>
          <w:p>
            <w:pPr>
              <w:spacing w:after="0"/>
              <w:rPr>
                <w:sz w:val="18"/>
                <w:szCs w:val="18"/>
                <w:color w:val="auto"/>
              </w:rPr>
            </w:pPr>
          </w:p>
        </w:tc>
      </w:tr>
      <w:tr>
        <w:trPr>
          <w:trHeight w:val="234"/>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Professor Amnon Shashua</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Professor Amnon Shashua</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280" w:type="dxa"/>
            <w:vAlign w:val="bottom"/>
          </w:tcPr>
          <w:p>
            <w:pPr>
              <w:ind w:left="498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Moran Shemesh Rojansky</w:t>
            </w:r>
          </w:p>
        </w:tc>
      </w:tr>
      <w:tr>
        <w:trPr>
          <w:trHeight w:val="191"/>
        </w:trPr>
        <w:tc>
          <w:tcPr>
            <w:tcW w:w="5280" w:type="dxa"/>
            <w:vAlign w:val="bottom"/>
          </w:tcPr>
          <w:p>
            <w:pPr>
              <w:spacing w:after="0"/>
              <w:rPr>
                <w:sz w:val="16"/>
                <w:szCs w:val="16"/>
                <w:color w:val="auto"/>
              </w:rPr>
            </w:pPr>
          </w:p>
        </w:tc>
        <w:tc>
          <w:tcPr>
            <w:tcW w:w="4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Moran Shemesh Rojansky</w:t>
            </w:r>
          </w:p>
        </w:tc>
      </w:tr>
      <w:tr>
        <w:trPr>
          <w:trHeight w:val="216"/>
        </w:trPr>
        <w:tc>
          <w:tcPr>
            <w:tcW w:w="528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528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80" w:hanging="333"/>
        <w:spacing w:after="0" w:line="266"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80" w:hanging="333"/>
        <w:spacing w:after="0" w:line="282" w:lineRule="auto"/>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 xml:space="preserve">By:/s/ </w:t>
      </w:r>
      <w:r>
        <w:rPr>
          <w:rFonts w:ascii="Times New Roman" w:cs="Times New Roman" w:eastAsia="Times New Roman" w:hAnsi="Times New Roman"/>
          <w:sz w:val="17"/>
          <w:szCs w:val="17"/>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13335</wp:posOffset>
            </wp:positionV>
            <wp:extent cx="2871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71470" cy="8255"/>
                    </a:xfrm>
                    <a:prstGeom prst="rect">
                      <a:avLst/>
                    </a:prstGeom>
                    <a:noFill/>
                  </pic:spPr>
                </pic:pic>
              </a:graphicData>
            </a:graphic>
          </wp:anchor>
        </w:drawing>
      </w:r>
    </w:p>
    <w:p>
      <w:pPr>
        <w:spacing w:after="0" w:line="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231F20"/>
        </w:rPr>
        <w:t>Moran Shemesh Rojansky</w:t>
      </w:r>
    </w:p>
    <w:p>
      <w:pPr>
        <w:spacing w:after="0" w:line="2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-127635</wp:posOffset>
            </wp:positionV>
            <wp:extent cx="29489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9" w:name="page50"/>
    <w:bookmarkEnd w:id="49"/>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ind w:left="20" w:right="20" w:hanging="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27, 2025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231F20"/>
        </w:rPr>
        <w:t>Professor Amnon Shashua</w:t>
      </w:r>
    </w:p>
    <w:p>
      <w:pPr>
        <w:spacing w:after="0" w:line="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-127635</wp:posOffset>
            </wp:positionV>
            <wp:extent cx="29489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0" w:name="page51"/>
    <w:bookmarkEnd w:id="50"/>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ind w:left="20" w:right="20" w:hanging="8"/>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27, 2025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2025</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231F20"/>
        </w:rPr>
        <w:t>Moran Shemesh Rojansky</w:t>
      </w:r>
    </w:p>
    <w:p>
      <w:pPr>
        <w:spacing w:after="0" w:line="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-127635</wp:posOffset>
            </wp:positionV>
            <wp:extent cx="2948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2025-10-23T15:40:21Z</dcterms:created>
  <dcterms:modified xsi:type="dcterms:W3CDTF">2025-10-23T15:40:21Z</dcterms:modified>
</cp:coreProperties>
</file>