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257175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260" w:hanging="251"/>
        <w:spacing w:after="0"/>
        <w:tabs>
          <w:tab w:leader="none" w:pos="2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260" w:hanging="251"/>
        <w:spacing w:after="0"/>
        <w:tabs>
          <w:tab w:leader="none" w:pos="2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2960"/>
        <w:spacing w:after="0"/>
        <w:tabs>
          <w:tab w:leader="none" w:pos="5980" w:val="left"/>
          <w:tab w:leader="none" w:pos="6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001-41541</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4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4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6"/>
        </w:trPr>
        <w:tc>
          <w:tcPr>
            <w:tcW w:w="49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organization)</w:t>
            </w:r>
          </w:p>
        </w:tc>
        <w:tc>
          <w:tcPr>
            <w:tcW w:w="4440" w:type="dxa"/>
            <w:vAlign w:val="bottom"/>
          </w:tcPr>
          <w:p>
            <w:pPr>
              <w:spacing w:after="0"/>
              <w:rPr>
                <w:sz w:val="18"/>
                <w:szCs w:val="18"/>
                <w:color w:val="auto"/>
              </w:rPr>
            </w:pP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 Mobileye B.V.</w:t>
            </w:r>
          </w:p>
        </w:tc>
        <w:tc>
          <w:tcPr>
            <w:tcW w:w="44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+972-2-541-7333</w:t>
            </w: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Har Hotzvim, 1 Shlomo Momo HaLevi Street</w:t>
            </w:r>
          </w:p>
        </w:tc>
        <w:tc>
          <w:tcPr>
            <w:tcW w:w="4440" w:type="dxa"/>
            <w:vAlign w:val="bottom"/>
          </w:tcPr>
          <w:p>
            <w:pPr>
              <w:spacing w:after="0"/>
              <w:rPr>
                <w:sz w:val="18"/>
                <w:szCs w:val="18"/>
                <w:color w:val="auto"/>
              </w:rPr>
            </w:pP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Jerusalem 9777015, Israel</w:t>
            </w:r>
          </w:p>
        </w:tc>
        <w:tc>
          <w:tcPr>
            <w:tcW w:w="4440" w:type="dxa"/>
            <w:vAlign w:val="bottom"/>
          </w:tcPr>
          <w:p>
            <w:pPr>
              <w:spacing w:after="0"/>
              <w:rPr>
                <w:sz w:val="18"/>
                <w:szCs w:val="18"/>
                <w:color w:val="auto"/>
              </w:rPr>
            </w:pPr>
          </w:p>
        </w:tc>
      </w:tr>
      <w:tr>
        <w:trPr>
          <w:trHeight w:val="234"/>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4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9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40" w:type="dxa"/>
            <w:vAlign w:val="bottom"/>
          </w:tcPr>
          <w:p>
            <w:pPr>
              <w:spacing w:after="0"/>
              <w:rPr>
                <w:sz w:val="24"/>
                <w:szCs w:val="24"/>
                <w:color w:val="auto"/>
              </w:rPr>
            </w:pPr>
          </w:p>
        </w:tc>
      </w:tr>
    </w:tbl>
    <w:p>
      <w:pPr>
        <w:spacing w:after="0" w:line="99" w:lineRule="exact"/>
        <w:rPr>
          <w:sz w:val="24"/>
          <w:szCs w:val="24"/>
          <w:color w:val="auto"/>
        </w:rPr>
      </w:pPr>
    </w:p>
    <w:p>
      <w:pPr>
        <w:sectPr>
          <w:pgSz w:w="11900" w:h="16838" w:orient="portrait"/>
          <w:cols w:equalWidth="0" w:num="1">
            <w:col w:w="9920"/>
          </w:cols>
          <w:pgMar w:left="980" w:top="661" w:right="999" w:bottom="1440" w:gutter="0" w:footer="0" w:header="0"/>
        </w:sect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Class A common stock, par value $0.01</w:t>
      </w:r>
    </w:p>
    <w:p>
      <w:pPr>
        <w:spacing w:after="0" w:line="20" w:lineRule="exact"/>
        <w:rPr>
          <w:sz w:val="24"/>
          <w:szCs w:val="24"/>
          <w:color w:val="auto"/>
        </w:rPr>
      </w:pPr>
      <w:r>
        <w:rPr>
          <w:sz w:val="24"/>
          <w:szCs w:val="24"/>
          <w:color w:val="auto"/>
        </w:rPr>
        <w:br w:type="column"/>
      </w: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MBLY</w:t>
      </w:r>
    </w:p>
    <w:p>
      <w:pPr>
        <w:spacing w:after="0" w:line="20" w:lineRule="exact"/>
        <w:rPr>
          <w:sz w:val="24"/>
          <w:szCs w:val="24"/>
          <w:color w:val="auto"/>
        </w:rPr>
      </w:pPr>
      <w:r>
        <w:rPr>
          <w:sz w:val="24"/>
          <w:szCs w:val="24"/>
          <w:color w:val="auto"/>
        </w:rPr>
        <w:br w:type="column"/>
      </w: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Global Select Market</w:t>
      </w:r>
    </w:p>
    <w:p>
      <w:pPr>
        <w:spacing w:after="0" w:line="24" w:lineRule="exact"/>
        <w:rPr>
          <w:sz w:val="24"/>
          <w:szCs w:val="24"/>
          <w:color w:val="auto"/>
        </w:rPr>
      </w:pPr>
    </w:p>
    <w:p>
      <w:pPr>
        <w:sectPr>
          <w:pgSz w:w="11900" w:h="16838" w:orient="portrait"/>
          <w:cols w:equalWidth="0" w:num="3">
            <w:col w:w="3580" w:space="720"/>
            <w:col w:w="1340" w:space="720"/>
            <w:col w:w="3560"/>
          </w:cols>
          <w:pgMar w:left="980" w:top="661" w:right="999" w:bottom="1440" w:gutter="0" w:footer="0" w:header="0"/>
          <w:type w:val="continuous"/>
        </w:sect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type w:val="continuous"/>
        </w:sectPr>
      </w:pPr>
    </w:p>
    <w:p>
      <w:pPr>
        <w:spacing w:after="0" w:line="2"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0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98" w:lineRule="exact"/>
        <w:rPr>
          <w:sz w:val="24"/>
          <w:szCs w:val="24"/>
          <w:color w:val="auto"/>
        </w:rPr>
      </w:pPr>
    </w:p>
    <w:p>
      <w:pPr>
        <w:sectPr>
          <w:pgSz w:w="11900" w:h="16838" w:orient="portrait"/>
          <w:cols w:equalWidth="0" w:num="2">
            <w:col w:w="4420" w:space="720"/>
            <w:col w:w="4780"/>
          </w:cols>
          <w:pgMar w:left="980" w:top="661" w:right="99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right="620" w:hanging="323"/>
        <w:spacing w:after="0" w:line="283"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 xml:space="preserve"> </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There were 100,496,663 shares of Class A common stock, $0.01 par value, outstanding at April 15, 2025</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1105535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231140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9"/>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MOBILEYE GLOBAL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40" w:type="dxa"/>
            <w:vAlign w:val="bottom"/>
            <w:gridSpan w:val="8"/>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1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29, 2025</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9"/>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5"/>
              </w:rPr>
              <w:t>Part I.</w:t>
            </w:r>
          </w:p>
        </w:tc>
        <w:tc>
          <w:tcPr>
            <w:tcW w:w="560" w:type="dxa"/>
            <w:vAlign w:val="bottom"/>
            <w:gridSpan w:val="4"/>
            <w:vMerge w:val="restart"/>
          </w:tcPr>
          <w:p>
            <w:pPr>
              <w:spacing w:after="0"/>
              <w:rPr>
                <w:sz w:val="24"/>
                <w:szCs w:val="24"/>
                <w:color w:val="auto"/>
              </w:rPr>
            </w:pPr>
          </w:p>
        </w:tc>
        <w:tc>
          <w:tcPr>
            <w:tcW w:w="2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5140" w:type="dxa"/>
            <w:vAlign w:val="bottom"/>
            <w:gridSpan w:val="11"/>
            <w:vMerge w:val="restart"/>
          </w:tcPr>
          <w:p>
            <w:pPr>
              <w:spacing w:after="0"/>
              <w:rPr>
                <w:sz w:val="24"/>
                <w:szCs w:val="24"/>
                <w:color w:val="auto"/>
              </w:rPr>
            </w:pPr>
          </w:p>
        </w:tc>
        <w:tc>
          <w:tcPr>
            <w:tcW w:w="12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440" w:type="dxa"/>
            <w:vAlign w:val="bottom"/>
            <w:tcBorders>
              <w:bottom w:val="single" w:sz="8" w:color="0000EE"/>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2260" w:type="dxa"/>
            <w:vAlign w:val="bottom"/>
            <w:tcBorders>
              <w:bottom w:val="single" w:sz="8" w:color="0000EE"/>
            </w:tcBorders>
            <w:gridSpan w:val="10"/>
            <w:vMerge w:val="continue"/>
          </w:tcPr>
          <w:p>
            <w:pPr>
              <w:spacing w:after="0"/>
              <w:rPr>
                <w:sz w:val="15"/>
                <w:szCs w:val="15"/>
                <w:color w:val="auto"/>
              </w:rPr>
            </w:pPr>
          </w:p>
        </w:tc>
        <w:tc>
          <w:tcPr>
            <w:tcW w:w="5140" w:type="dxa"/>
            <w:vAlign w:val="bottom"/>
            <w:gridSpan w:val="11"/>
            <w:vMerge w:val="continue"/>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w:t>
            </w:r>
          </w:p>
        </w:tc>
        <w:tc>
          <w:tcPr>
            <w:tcW w:w="500" w:type="dxa"/>
            <w:vAlign w:val="bottom"/>
            <w:gridSpan w:val="3"/>
          </w:tcPr>
          <w:p>
            <w:pPr>
              <w:spacing w:after="0"/>
              <w:rPr>
                <w:sz w:val="17"/>
                <w:szCs w:val="17"/>
                <w:color w:val="auto"/>
              </w:rPr>
            </w:pPr>
          </w:p>
        </w:tc>
        <w:tc>
          <w:tcPr>
            <w:tcW w:w="24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4980" w:type="dxa"/>
            <w:vAlign w:val="bottom"/>
            <w:gridSpan w:val="9"/>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340" w:type="dxa"/>
            <w:vAlign w:val="bottom"/>
            <w:gridSpan w:val="8"/>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1040" w:type="dxa"/>
            <w:vAlign w:val="bottom"/>
            <w:gridSpan w:val="2"/>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Equity</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480" w:type="dxa"/>
            <w:vAlign w:val="bottom"/>
            <w:tcBorders>
              <w:top w:val="single" w:sz="8" w:color="0000EE"/>
            </w:tcBorders>
            <w:gridSpan w:val="2"/>
          </w:tcPr>
          <w:p>
            <w:pPr>
              <w:spacing w:after="0"/>
              <w:rPr>
                <w:sz w:val="17"/>
                <w:szCs w:val="17"/>
                <w:color w:val="auto"/>
              </w:rPr>
            </w:pPr>
          </w:p>
        </w:tc>
        <w:tc>
          <w:tcPr>
            <w:tcW w:w="3080" w:type="dxa"/>
            <w:vAlign w:val="bottom"/>
            <w:gridSpan w:val="5"/>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280" w:type="dxa"/>
            <w:vAlign w:val="bottom"/>
            <w:gridSpan w:val="6"/>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460" w:type="dxa"/>
            <w:vAlign w:val="bottom"/>
            <w:gridSpan w:val="2"/>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940" w:type="dxa"/>
            <w:vAlign w:val="bottom"/>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60" w:type="dxa"/>
            <w:vAlign w:val="bottom"/>
            <w:gridSpan w:val="2"/>
          </w:tcPr>
          <w:p>
            <w:pPr>
              <w:spacing w:after="0"/>
              <w:rPr>
                <w:sz w:val="17"/>
                <w:szCs w:val="17"/>
                <w:color w:val="auto"/>
              </w:rPr>
            </w:pPr>
          </w:p>
        </w:tc>
        <w:tc>
          <w:tcPr>
            <w:tcW w:w="4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040" w:type="dxa"/>
            <w:vAlign w:val="bottom"/>
            <w:gridSpan w:val="3"/>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w:t>
            </w:r>
          </w:p>
        </w:tc>
        <w:tc>
          <w:tcPr>
            <w:tcW w:w="500" w:type="dxa"/>
            <w:vAlign w:val="bottom"/>
            <w:gridSpan w:val="3"/>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Part II.</w:t>
            </w:r>
          </w:p>
        </w:tc>
        <w:tc>
          <w:tcPr>
            <w:tcW w:w="500" w:type="dxa"/>
            <w:vAlign w:val="bottom"/>
            <w:gridSpan w:val="3"/>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460" w:type="dxa"/>
            <w:vAlign w:val="bottom"/>
            <w:gridSpan w:val="2"/>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060" w:type="dxa"/>
            <w:vAlign w:val="bottom"/>
            <w:gridSpan w:val="14"/>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360" w:type="dxa"/>
            <w:vAlign w:val="bottom"/>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6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6"/>
          </w:tcPr>
          <w:p>
            <w:pPr>
              <w:spacing w:after="0"/>
              <w:rPr>
                <w:sz w:val="17"/>
                <w:szCs w:val="17"/>
                <w:color w:val="auto"/>
              </w:rPr>
            </w:pPr>
          </w:p>
        </w:tc>
        <w:tc>
          <w:tcPr>
            <w:tcW w:w="3060" w:type="dxa"/>
            <w:vAlign w:val="bottom"/>
            <w:gridSpan w:val="4"/>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460" w:type="dxa"/>
            <w:vAlign w:val="bottom"/>
            <w:gridSpan w:val="2"/>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46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5640" w:type="dxa"/>
            <w:vAlign w:val="bottom"/>
            <w:gridSpan w:val="13"/>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500" w:type="dxa"/>
            <w:vAlign w:val="bottom"/>
            <w:gridSpan w:val="3"/>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6800" w:type="dxa"/>
            <w:vAlign w:val="bottom"/>
            <w:gridSpan w:val="18"/>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640" w:type="dxa"/>
            <w:vAlign w:val="bottom"/>
            <w:gridSpan w:val="17"/>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500" w:right="11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We have a 52- or 53-week fiscal year that ends on the last Saturday in December. Fiscal year 2025 is a 52-week fiscal year; fiscal year 2024 was also a 52-week fiscal year.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data</w:t>
            </w:r>
          </w:p>
        </w:tc>
        <w:tc>
          <w:tcPr>
            <w:tcW w:w="160" w:type="dxa"/>
            <w:vAlign w:val="bottom"/>
          </w:tcPr>
          <w:p>
            <w:pPr>
              <w:spacing w:after="0"/>
              <w:rPr>
                <w:sz w:val="13"/>
                <w:szCs w:val="13"/>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00" w:type="dxa"/>
            <w:vAlign w:val="bottom"/>
          </w:tcPr>
          <w:p>
            <w:pPr>
              <w:spacing w:after="0"/>
              <w:rPr>
                <w:sz w:val="13"/>
                <w:szCs w:val="1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10,405</w:t>
            </w:r>
          </w:p>
        </w:tc>
        <w:tc>
          <w:tcPr>
            <w:tcW w:w="0" w:type="dxa"/>
            <w:vAlign w:val="bottom"/>
          </w:tcPr>
          <w:p>
            <w:pPr>
              <w:spacing w:after="0"/>
              <w:rPr>
                <w:sz w:val="1"/>
                <w:szCs w:val="1"/>
                <w:color w:val="auto"/>
              </w:rPr>
            </w:pPr>
          </w:p>
        </w:tc>
      </w:tr>
      <w:tr>
        <w:trPr>
          <w:trHeight w:val="24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12,498</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0" w:type="dxa"/>
            <w:vAlign w:val="bottom"/>
          </w:tcPr>
          <w:p>
            <w:pPr>
              <w:spacing w:after="0"/>
              <w:rPr>
                <w:sz w:val="1"/>
                <w:szCs w:val="1"/>
                <w:color w:val="auto"/>
              </w:rPr>
            </w:pPr>
          </w:p>
        </w:tc>
      </w:tr>
      <w:tr>
        <w:trPr>
          <w:trHeight w:val="197"/>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Contingencies (see note 11)</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4,000,000,000 shares authorized; shares issued and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100,496,663 as of March 29, 2025 and 100,226,477 as of December 28, 2024</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1,500,000,000 shares authorized; shares issued and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711,500,000 as of March 29, 2025 and December 28, 2024</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12,049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12,087</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12,498</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data</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2"/>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 stockholders: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 (loss) per share attributed</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 Class A and Class B stockholders (in millions):</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1"/>
                <w:szCs w:val="11"/>
                <w:color w:val="auto"/>
              </w:rPr>
            </w:pPr>
          </w:p>
        </w:tc>
        <w:tc>
          <w:tcPr>
            <w:tcW w:w="9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100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U.S. dollars in millions, except share and per share data</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3"/>
                <w:szCs w:val="13"/>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30, 2023</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806</w:t>
            </w:r>
          </w:p>
        </w:tc>
        <w:tc>
          <w:tcPr>
            <w:tcW w:w="140" w:type="dxa"/>
            <w:vAlign w:val="bottom"/>
          </w:tcPr>
          <w:p>
            <w:pPr>
              <w:spacing w:after="0"/>
              <w:rPr>
                <w:sz w:val="11"/>
                <w:szCs w:val="11"/>
                <w:color w:val="auto"/>
              </w:rPr>
            </w:pPr>
          </w:p>
        </w:tc>
        <w:tc>
          <w:tcPr>
            <w:tcW w:w="680" w:type="dxa"/>
            <w:vAlign w:val="bottom"/>
          </w:tcPr>
          <w:p>
            <w:pPr>
              <w:jc w:val="right"/>
              <w:ind w:right="56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March 30, 2024</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806</w:t>
            </w:r>
          </w:p>
        </w:tc>
        <w:tc>
          <w:tcPr>
            <w:tcW w:w="140" w:type="dxa"/>
            <w:vAlign w:val="bottom"/>
          </w:tcPr>
          <w:p>
            <w:pPr>
              <w:spacing w:after="0"/>
              <w:rPr>
                <w:sz w:val="11"/>
                <w:szCs w:val="11"/>
                <w:color w:val="auto"/>
              </w:rPr>
            </w:pPr>
          </w:p>
        </w:tc>
        <w:tc>
          <w:tcPr>
            <w:tcW w:w="680" w:type="dxa"/>
            <w:vAlign w:val="bottom"/>
          </w:tcPr>
          <w:p>
            <w:pPr>
              <w:jc w:val="right"/>
              <w:ind w:right="56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w:t>
            </w:r>
          </w:p>
        </w:tc>
        <w:tc>
          <w:tcPr>
            <w:tcW w:w="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14,943</w:t>
            </w:r>
          </w:p>
        </w:tc>
        <w:tc>
          <w:tcPr>
            <w:tcW w:w="80" w:type="dxa"/>
            <w:vAlign w:val="bottom"/>
          </w:tcPr>
          <w:p>
            <w:pPr>
              <w:spacing w:after="0"/>
              <w:rPr>
                <w:sz w:val="11"/>
                <w:szCs w:val="11"/>
                <w:color w:val="auto"/>
              </w:rPr>
            </w:pP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jc w:val="right"/>
              <w:ind w:right="4"/>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(188)</w:t>
            </w:r>
          </w:p>
        </w:tc>
        <w:tc>
          <w:tcPr>
            <w:tcW w:w="160" w:type="dxa"/>
            <w:vAlign w:val="bottom"/>
            <w:gridSpan w:val="2"/>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14,763</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9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December 28, 2024</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812</w:t>
            </w:r>
          </w:p>
        </w:tc>
        <w:tc>
          <w:tcPr>
            <w:tcW w:w="140" w:type="dxa"/>
            <w:vAlign w:val="bottom"/>
          </w:tcPr>
          <w:p>
            <w:pPr>
              <w:spacing w:after="0"/>
              <w:rPr>
                <w:sz w:val="11"/>
                <w:szCs w:val="11"/>
                <w:color w:val="auto"/>
              </w:rPr>
            </w:pPr>
          </w:p>
        </w:tc>
        <w:tc>
          <w:tcPr>
            <w:tcW w:w="680" w:type="dxa"/>
            <w:vAlign w:val="bottom"/>
          </w:tcPr>
          <w:p>
            <w:pPr>
              <w:jc w:val="right"/>
              <w:ind w:right="56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w:t>
            </w:r>
          </w:p>
        </w:tc>
        <w:tc>
          <w:tcPr>
            <w:tcW w:w="2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15,137</w:t>
            </w:r>
          </w:p>
        </w:tc>
        <w:tc>
          <w:tcPr>
            <w:tcW w:w="80" w:type="dxa"/>
            <w:vAlign w:val="bottom"/>
          </w:tcPr>
          <w:p>
            <w:pPr>
              <w:spacing w:after="0"/>
              <w:rPr>
                <w:sz w:val="11"/>
                <w:szCs w:val="11"/>
                <w:color w:val="auto"/>
              </w:rPr>
            </w:pP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tcPr>
          <w:p>
            <w:pPr>
              <w:spacing w:after="0"/>
              <w:rPr>
                <w:sz w:val="11"/>
                <w:szCs w:val="11"/>
                <w:color w:val="auto"/>
              </w:rPr>
            </w:pPr>
          </w:p>
        </w:tc>
        <w:tc>
          <w:tcPr>
            <w:tcW w:w="200" w:type="dxa"/>
            <w:vAlign w:val="bottom"/>
            <w:gridSpan w:val="2"/>
          </w:tcPr>
          <w:p>
            <w:pPr>
              <w:jc w:val="right"/>
              <w:ind w:right="4"/>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(3,060)</w:t>
            </w:r>
          </w:p>
        </w:tc>
        <w:tc>
          <w:tcPr>
            <w:tcW w:w="160" w:type="dxa"/>
            <w:vAlign w:val="bottom"/>
            <w:gridSpan w:val="2"/>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12,087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 net</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Tax sharing agreement with Parent</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29, 2025</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812</w:t>
            </w:r>
          </w:p>
        </w:tc>
        <w:tc>
          <w:tcPr>
            <w:tcW w:w="1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56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(3,162)</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income (loss) to net cash provided by operating activities: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Exchange rate differences on cash and cash equivalents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income taxes</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 (increase) in trade accounts receivable</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Decrease (increase) in other current assets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 (increase) in inventories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(decrease) in accounts payable, accrued expenses and related party payable</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 (decrease) in employee-related accrued expenses and long term benefits</w:t>
            </w:r>
          </w:p>
        </w:tc>
        <w:tc>
          <w:tcPr>
            <w:tcW w:w="14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(decrease) in other current liabilities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 (increase) in other long term assets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(decrease) in long-term liabilities</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109</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Purchases of debt and equity investments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Maturities and sales of debt and equity investments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 recharge</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 in cash, cash equivalents and restricted cash</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Balance of cash, cash equivalents and restricted cash, at beginning of year</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Balance of cash,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1,527</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Supplementary non-cash investing and financing activities: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 cash purchase of property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share based compensation recharge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 sharing agreement with Parent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received (paid) for income taxes, net of refunds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Intel Corporation (“Intel” or the “Parent”) directly or indirectly hold all of the Class B common stock of Mobileye, which as of March 29, 2025, represents approximately 87.6% of our outstanding common stock and 98.6% of the voting power of our common stock.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have responded. In addition, both Hezbollah and the Houthi movement have attacked military and civilian targets in Israel, to which Israel has responded, including through increased air and ground operations in Lebanon. In addition, the Houthi movement has attacked international shipping lanes in the Red Sea, to which both Israel and the United States have responded. Further, on April 13, 2024 and October 1, 2024, Iran launched a series of drone and missile strikes against Israel, to which Israel has responded. How long and how severe the current conflict in Gaza, Northern Israel, Lebanon or the broader region becomes is unknown at this time and any continued clash among Israel, Hamas, Hezbollah, Iran or other countries or militant groups in the region may escalate in the future into a greater regional conflict. To date, our operations have not been materially affected, although as of April 15, 2025 approximately 3.8% of our employees have been called to reserve duty in the Israel Defense Forces. We expect that the current conflict in the Gaza Strip, Lebanon and the broader region as well as the security escalation in Israel will not have a material impact on our business results in the short term. However, since this is an event beyond our control, its continuation or cessation may affect our expectations. We continue to monitor political and military developments closely and examine the consequences for our operations and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United States generally accepted accounting principles (“U.S. GAAP”) and applicable rules and regulations of the Securities and Exchange Commission (“SEC”) for interim financial reporting.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U.S. GAAP have been condensed or omitted pursuant to such rules and regulations. These condensed consolidated financial statements have been prepared on the same basis as the Company’s annual audited consolidated financial statements and, in the opinion of management, reflect all adjustments, consisting only of normal recurring adjustments, which are necessary for the fair statement of the Company’s financial information.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 2025 is a 52-week fiscal year; fiscal year 2024 was also a 52-week fiscal year.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29, 2025 shown in this report are not necessarily indicative of the results to be expected for the full year ending 2025. The condensed consolidated financial statements should be read in conjunction with the audited consolidated financial statements for the fiscal year ended December 28,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described in our consolidated financial statements for the fiscal year ended December 28, 2024. For further detail, see Note 2 in the audited consolidated financial statements for the fiscal year ended December 28, 2024.</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judgments and assumptions that affect the amounts and events reported and disclosed in the condensed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 significant estimates and assumptions relate to useful lives of intangible assets, impairment assessment of intangible assets and goodwill, and income taxes. A change in estimates, including a change in the overall market value of the Company, could require reassessments of the items noted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as of each period end: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(within other current and other long-term assets)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4"/>
        </w:trPr>
        <w:tc>
          <w:tcPr>
            <w:tcW w:w="71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presented in the consolidated statements of</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short term deposits classified as cash equivalents approximates their fair value due to the short maturity of these items.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investment in money market funds is measured at fair value within Level 1 of the fair value hierarchy because they consist of financial assets for which quoted prices are available in an active market. Interest income related to money market funds for the three months ended March 29, 2025, and March 30, 2024, amounted to $10 million and $12 million, respectively.</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investment in U.S. government bonds is measured at fair value within Level 1 of the fair value hierarchy because they consist of U.S. government bonds for which quoted prices are available in an active market.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derivative instruments designated as hedging instruments, are measured at fair value within Level 2 of the fair value hierarchy.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trade accounts receivable and accounts payable approximate fair value because of their generally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facilities, equipment, and supplies for research and development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Participation in expenses for research and development projects are recognized on the basis of the costs incurred and are netted against research and development expenses in the condensed consolidated statements of operations and comprehensive income (loss). Research and development reimbursements of $26 million and $36 million were offset against research and development costs in the three months ended March 29, 2025 and March 30,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fourth quarter of 2024 the Company initiated a foreign currency cash flow hedging program, designed to hedge the Company's foreign exchange rate risk, resulting from ILS payroll expenses. The Company hedges portions of its forecasted payroll payments denominated in ILS for a period of up to 12 months, using forward contracts that are designated as cash flow hedges, as defined by ASC 815. These derivative instruments are measured at fair value within Level 2 of the fair value hierarchy. Derivative instruments are recorded as other current assets or other current liabilities, according to the timing of settlement. For these derivative instruments, designated as a cash flow hedge, gains and losses are reported as a component of other comprehensive income (loss) and reclassified into earnings in the same line item associated with the hedged transaction and in the same period or periods during which the hedged transaction affects the statement of operations. As of March 29, 2025, the Company expects to reclassify all of its unrealized gains and losses from accumulated other comprehensive income (loss) to earnings during the next twelve months. The cash flows associated with these derivatives are classified in the consolidated statements of cash flows consistently with the classification of the underlying hedged transaction, within cash flows from operating activities.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notional amount and fair value of outstanding derivatives at the end of each period were: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vMerge w:val="continue"/>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 of derivative contracts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 assets, net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derivative liabilities, net</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accumulated other comprehensive income (loss) relating to gains (losses) on derivatives used for hedging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Pr>
          <w:p>
            <w:pPr>
              <w:spacing w:after="0"/>
              <w:rPr>
                <w:sz w:val="12"/>
                <w:szCs w:val="12"/>
                <w:color w:val="auto"/>
              </w:rPr>
            </w:pPr>
          </w:p>
        </w:tc>
        <w:tc>
          <w:tcPr>
            <w:tcW w:w="14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209"/>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(income) loss **</w:t>
            </w:r>
          </w:p>
        </w:tc>
        <w:tc>
          <w:tcPr>
            <w:tcW w:w="2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4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1568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 million.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Amounts of gains (losses) reclassified from other comprehensive income (loss) into profit or loss are recorded in cost of revenue and operating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provision or benefit for those jurisdictions is recorded separately.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periods presented in the condensed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condensed consolidated financial statements has been calculated using the separate return method, as if the Company had filed its own tax returns.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entered into a Tax Sharing Agreement with its Parent that establishes the amount of cash payable for the Company's share of the tax liability owed on consolidated tax return filings with its Parent. Any differences between taxes currently payable to the Company’s Parent under the Tax Sharing Agreement and the current tax provision computed on a separate return basis, is reflected as adjustments to additional paid-in capital in the condensed consolidated statement of changes in equity and financing activities within the condensed consolidated statement of cash flows (see also Note 7).</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reflects tax loss and tax credit carry-forward attributes under the separate return method approach. Such tax attributes may not be benefited in the same period as the Company’s Parent on a consolidated tax return. As a result, there are inherent differences between the Company’s separate tax return method approach and certain actual tax returns filed on a consolidated basis with Intel.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money market funds, U.S. government bonds, derivative financial instruments, and also trade accounts receivable.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and Europe, as well as in Israel. Generally, these cash equivalents may be redeemed upon demand. Short term bank deposits are held in the aforementioned banks. The money market funds consist of institutional investors money market funds and are readily redeemable to cash, and the U.S. government bonds are also highly liquid. Derivative financial instruments are forward contracts entered into with major banks in Israel to hedge the Company's foreign exchange rate risk. Accordingly, management believes that these bank deposits, money market funds, U.S. government bonds and derivative financial instruments have minimal credit risk.</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are derived primarily from sales to Tier 1 suppliers to the automotive manufacturing industry located mainly in the U.S., Europe, and China. Concentration of credit risk with respect to accounts receivable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condensed consolidated statement of operations and comprehensive income. As of March 29, 2025 and December 28, 2024, the credit loss allowance for trade accounts receivable was not material. For the three months ended March 29, 2025 and March 30, 2024, the charge-offs and recoveries in relation to the credit losses were not material.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9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related to customers that accounted for more than 10% of the Company’s total revenue and more than 10% of the total accounts receivable balance for each of the periods presented in these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Dependence on a single supplier or limited suppliers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purchases all its System on Chip (“EyeQ™ SoC”) from a single supplier. For certain materials, equipment, and services, we, and/or our suppliers and vendors, rely on a single or a limited number of direct and indirect suppliers and vendors. Any issues that occur and persist in connection with the manufacture, delivery, quality, or cost of the assembly and testing of inventory could adversely effect the Company’s business, results of operations and financial condition. See below regarding a shortage in EyeQ™ SoCs that the Company experienced during 2021 and 2022 and may experience in the future, including in ECUs for SuperVision™ and other components for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fiscal years 2021 and 2022, the semiconductor industry experienced widespread shortages of substrates and other components and available foundry manufacturing capacity. During 2021 and 2022, STMicroelectronics, our sole supplier of EyeQ™ SoCs, was not able to meet our demand for EyeQ™ SoCs, causing a significant reduction in the Company's inventory levels. Starting in late 2022 and early 2023, such supply disruptions, raw material shortages and manufacturing limitations abated and during 2023, we successfully increased levels of EyeQ™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 SoCs or SuperVision™ ECUs on hand. As a result, we are substantially reliant on timely shipments of EyeQ™ SoCs from STMicroelectronics and ECUs from Quanta Computer (or other suppliers) to fulfill customer orders and if such a shortfall of chips or ECUs were to occur, we may be unable to offset future supply constraints through the use of inventory on hand. Since our EyeQ™ SoC is the core of our ADAS and autonomous driving solutions, continued, acute shortages in the supply of sufficient EyeQ™ SoCs to meet our production needs would impair our ability to meet our customers’ requirements in a timely manner, and would affect our business, results of operations, and financial condition potentially in an adverse manner.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ASU improves the transparency of income tax disclosures by requiring (1) consistent categories and greater disaggregation of information in the rate reconciliation and</w:t>
      </w:r>
    </w:p>
    <w:p>
      <w:pPr>
        <w:jc w:val="both"/>
        <w:ind w:firstLine="8"/>
        <w:spacing w:after="0" w:line="255" w:lineRule="auto"/>
        <w:tabs>
          <w:tab w:leader="none" w:pos="2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disaggregated by jurisdiction. It also includes certain other amendments to improve the effectiveness of income tax disclosures. For public business entities, the ASU is effective for annual periods beginning after December 15, 2024. The Company is evaluating the potential impact of this guidance on its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 (Subtopic 220-40): Disaggregation of Income Statement Expense and ASU 2025-01, Income Statement - Reporting Comprehensive Income - Expense Disaggregation Disclosures (Subtopic 220-40): Clarifying the Effective Date. The ASU improves the 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general and administrative, and research and development). The ASU is effective for annual reporting periods beginning after December 15, 2026, and interim periods within annual reporting periods beginning after December 15, 2027. Early adoption is permitted. The Company is evaluating the potential impact of this guidance on its consolidated financial statement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OTHER FINANCIAL STATEMENT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totaled $1 million for the three months ended March 29, 2025 and were not material for the three months ended March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40" w:type="dxa"/>
            <w:vAlign w:val="bottom"/>
            <w:tcBorders>
              <w:top w:val="single" w:sz="8" w:color="auto"/>
            </w:tcBorders>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expenses totaled $18 million and $14 million for the three months ended March 29, 2025 and March 30, 2024, respectively. During the three months ended March 29, 2025 and March 30, 2024, the Company derecognized the cost and accumulated depreciation of fully depreciated assets in the amount of $1 million and $6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Share-based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Mobileye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Mobileye IPO in October 2022, the Company approved the Mobileye Global Inc. 2022 Equity Incentive Plan ("the 2022 Plan"). Equity awards under the 2022 Plan are granted for Class A shares and vest upon the satisfaction of a service-based vesting condition, mostly over service periods of three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RSUs activity for the three months ended March 29, 2025 for RSUs granted to Company’s employees under the 2022 Plan was as follows:</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80" w:type="dxa"/>
            <w:vAlign w:val="bottom"/>
          </w:tcPr>
          <w:p>
            <w:pPr>
              <w:spacing w:after="0"/>
              <w:rPr>
                <w:sz w:val="13"/>
                <w:szCs w:val="13"/>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28,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29,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29, 2025, the unrecognized compensation cost related to all unvested RSUs granted under the 2022 Plan, was $339 million, which is expected to be recognized as expense over a weighted-average period of 1.85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Mobileye IPO, since 2017, employees of the Company had been incentivized and rewarded through the grant of Intel equity awards under Intel’s equity incentive plan which contains only a service condition. The equity awards granted generally vest over the course of three years from the grant date. The activity of the Company's employees for Intel's options and RSUs was immaterial for the current period.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 (for both Mobileye and Intel Plans)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expenses included in the condensed consolidated statements of operations and comprehensive income (loss)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60" w:type="dxa"/>
            <w:vAlign w:val="bottom"/>
          </w:tcPr>
          <w:p>
            <w:pPr>
              <w:spacing w:after="0"/>
              <w:rPr>
                <w:sz w:val="12"/>
                <w:szCs w:val="12"/>
                <w:color w:val="auto"/>
              </w:rPr>
            </w:pPr>
          </w:p>
        </w:tc>
        <w:tc>
          <w:tcPr>
            <w:tcW w:w="128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2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earnings (loss) per share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0" w:type="dxa"/>
            <w:vAlign w:val="bottom"/>
          </w:tcPr>
          <w:p>
            <w:pPr>
              <w:spacing w:after="0"/>
              <w:rPr>
                <w:sz w:val="1"/>
                <w:szCs w:val="1"/>
                <w:color w:val="auto"/>
              </w:rPr>
            </w:pPr>
          </w:p>
        </w:tc>
      </w:tr>
      <w:tr>
        <w:trPr>
          <w:trHeight w:val="173"/>
        </w:trPr>
        <w:tc>
          <w:tcPr>
            <w:tcW w:w="5640" w:type="dxa"/>
            <w:vAlign w:val="bottom"/>
            <w:tcBorders>
              <w:bottom w:val="single" w:sz="8" w:color="CCEEFF"/>
            </w:tcBorders>
            <w:vMerge w:val="continue"/>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 basic and diluted</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29, 2025 and March 30, 2024, the computation of diluted earnings (loss) per share attributable to common stockholders does not include 21.4 million and 15.1 million potential common shares, respectively, related to restricted stock units granted under the 2022 Plan to the Company's employees, as the effect of their inclusion would have been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tax paying components to which such income relates.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income tax benefit (provision) included in these condensed consolidated financial statements has been calculated using the separate return method, as if the Company had filed its own tax returns. Net operating losses generated by the Company that have been utilized as part of the Parent’s consolidated income tax return filings but have not been utilized by the Company under the separate return method approach, have been reflected in these condensed consolidated financial statements because the Company will recognize a benefit for the separate return method net operating losses when determined to be realizable, whether as a deduction against current taxable income in future periods or upon recognition of associated deferred tax assets based on valuation allowance assessments.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the Company has jurisdictions that have sustained recent losses based on the separate return method, a valuation allowance is required for deferred tax assets for which no benefit can be currently realized.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 for income tax in the three months ended March 29, 2025, was $(3) million compared to a benefit for income tax of $3 million for the three months ended March 30, 2024. This $6 million increase was primarily due to a decrease in loss before income taxes in the three months ended March 29, 2025 compared to the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PARTIES TRANSACTIONS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For further description of the arrangements refer to Note 9 of the notes to the consolidated financial statements for the year ended December 28, 2024.</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in the condensed consolidated statement of changes in equity were $1 million and $5 million for the three months ended March 29, 2025 and March 30, 2024, respectively.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lease agreements with Intel, the Company leases office space in Intel’s buildings. The costs are included in the condensed consolidated statements of operations and comprehensive income (loss) primarily on a specific and direct attribution basis. The leasing costs for the three months ended March 29, 2025 and March 30, 2024, were $0.7 million and $0.6 million,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as well as paid for certain security related costs. For the three months ended March 29, 2025 and March 30, 2024, travel related reimbursements and security related costs were $1.1 million and $0.7 million,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Administrative Services Agreement, Intel provides the Company with administrative and other services. The Company pays fees to Intel for the services rendered based on pricing per service agreed between the Company and Intel.</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costs incurred under this agreement for the three months ended March 29, 2025 and March 30, 2024 were $0.9 million and $1.5 million,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Services Agreement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which the LiDAR Product Collaboration Agreement previously covered. Pursuant to the Technology and Services Agreement, the Company and Intel will agree to statements of work with additional terms for Technology Projects.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amount incurred under this agreement for the three months ended March 29, 2025 and March 30, 2024 were $0.5 million and $1.0 million,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including audit or other tax proceedings. On August 14, 2024, Mobileye and Intel entered into an Amended and Restated Tax Sharing Agreement, which incorporated certain clarifying amendments into the original Tax Sharing Agreement. As of March 29, 2025 and December 28, 2024, the related party payable to Intel, pursuant to the Tax Sharing Agreement, were $0 million and $3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IDENTIFIED INTANGIBLE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42"/>
        </w:trPr>
        <w:tc>
          <w:tcPr>
            <w:tcW w:w="4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144"/>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4"/>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5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16"/>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9"/>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1"/>
        </w:trPr>
        <w:tc>
          <w:tcPr>
            <w:tcW w:w="5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8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8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60" w:type="dxa"/>
            <w:vAlign w:val="bottom"/>
          </w:tcPr>
          <w:p>
            <w:pPr>
              <w:spacing w:after="0"/>
              <w:rPr>
                <w:sz w:val="15"/>
                <w:szCs w:val="15"/>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amortization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Mobileye is presented as a reportable operating segment and Moovit, which is a mobility-as-a-service company, is presented within “Other” as per ASC 280, Segment Reporting.</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CODM uses segment performance to allocate resources to segments in the annual budget and forecasting process and also uses that measure to assess the segment performance.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Segment performance is the operating income (loss) reported excluding the amortization of acquisition-related intangible assets, share based compensation expense and impairment of goodwill. Starting in 2025, the measure of segment performance used by the CODM changed and as a result, the Company's segment performance measure was updated to also exclude share-based compensation expenses (that were previously included in segment performance). The change aligns with segment information that is now regularly provided to the CODM and reflects how the CODM assesses segment performance and makes strategic decisions about the business. Prior period amounts have been recast as a result of the change in segment measure.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measure of assets has not been disclosed for each segment as it is not regularly provided to the CODM.</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audited consolidated financial statements for the fiscal year ended December 28,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segment results for each period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Pr>
          <w:p>
            <w:pPr>
              <w:spacing w:after="0"/>
              <w:rPr>
                <w:sz w:val="15"/>
                <w:szCs w:val="15"/>
                <w:color w:val="auto"/>
              </w:rPr>
            </w:pPr>
          </w:p>
        </w:tc>
        <w:tc>
          <w:tcPr>
            <w:tcW w:w="336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0" w:type="dxa"/>
            <w:vAlign w:val="bottom"/>
          </w:tcPr>
          <w:p>
            <w:pPr>
              <w:spacing w:after="0"/>
              <w:rPr>
                <w:sz w:val="1"/>
                <w:szCs w:val="1"/>
                <w:color w:val="auto"/>
              </w:rPr>
            </w:pPr>
          </w:p>
        </w:tc>
      </w:tr>
      <w:tr>
        <w:trPr>
          <w:trHeight w:val="142"/>
        </w:trPr>
        <w:tc>
          <w:tcPr>
            <w:tcW w:w="642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left="201"/>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22"/>
                <w:szCs w:val="22"/>
                <w:color w:val="auto"/>
              </w:rPr>
            </w:pPr>
          </w:p>
        </w:tc>
        <w:tc>
          <w:tcPr>
            <w:tcW w:w="84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84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Pr>
          <w:p>
            <w:pPr>
              <w:spacing w:after="0"/>
              <w:rPr>
                <w:sz w:val="24"/>
                <w:szCs w:val="24"/>
                <w:color w:val="auto"/>
              </w:rPr>
            </w:pPr>
          </w:p>
        </w:tc>
        <w:tc>
          <w:tcPr>
            <w:tcW w:w="336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0" w:type="dxa"/>
            <w:vAlign w:val="bottom"/>
          </w:tcPr>
          <w:p>
            <w:pPr>
              <w:spacing w:after="0"/>
              <w:rPr>
                <w:sz w:val="1"/>
                <w:szCs w:val="1"/>
                <w:color w:val="auto"/>
              </w:rPr>
            </w:pPr>
          </w:p>
        </w:tc>
      </w:tr>
      <w:tr>
        <w:trPr>
          <w:trHeight w:val="142"/>
        </w:trPr>
        <w:tc>
          <w:tcPr>
            <w:tcW w:w="642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left="201"/>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84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80" w:type="dxa"/>
            <w:vAlign w:val="bottom"/>
          </w:tcPr>
          <w:p>
            <w:pPr>
              <w:spacing w:after="0"/>
              <w:rPr>
                <w:sz w:val="10"/>
                <w:szCs w:val="10"/>
                <w:color w:val="auto"/>
              </w:rPr>
            </w:pPr>
          </w:p>
        </w:tc>
        <w:tc>
          <w:tcPr>
            <w:tcW w:w="1000" w:type="dxa"/>
            <w:vAlign w:val="bottom"/>
          </w:tcPr>
          <w:p>
            <w:pPr>
              <w:jc w:val="right"/>
              <w:ind w:right="194"/>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0" w:type="dxa"/>
            <w:vAlign w:val="bottom"/>
          </w:tcPr>
          <w:p>
            <w:pPr>
              <w:spacing w:after="0"/>
              <w:rPr>
                <w:sz w:val="1"/>
                <w:szCs w:val="1"/>
                <w:color w:val="auto"/>
              </w:rPr>
            </w:pPr>
          </w:p>
        </w:tc>
      </w:tr>
      <w:tr>
        <w:trPr>
          <w:trHeight w:val="173"/>
        </w:trPr>
        <w:tc>
          <w:tcPr>
            <w:tcW w:w="73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Slovakia</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324"/>
        <w:spacing w:after="0" w:line="201"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primarily through sales to Tier 1 automotive suppliers.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94% and 72% of our revenue for each of the three months ended March 29, 2025 and March 30, 2024, respectively.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74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5"/>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000" w:type="dxa"/>
            <w:vAlign w:val="bottom"/>
            <w:tcBorders>
              <w:top w:val="single" w:sz="8" w:color="auto"/>
            </w:tcBorders>
            <w:gridSpan w:val="2"/>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60" w:type="dxa"/>
            <w:vAlign w:val="bottom"/>
          </w:tcPr>
          <w:p>
            <w:pPr>
              <w:spacing w:after="0"/>
              <w:rPr>
                <w:sz w:val="11"/>
                <w:szCs w:val="11"/>
                <w:color w:val="auto"/>
              </w:rPr>
            </w:pPr>
          </w:p>
        </w:tc>
      </w:tr>
      <w:tr>
        <w:trPr>
          <w:trHeight w:val="173"/>
        </w:trPr>
        <w:tc>
          <w:tcPr>
            <w:tcW w:w="74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revenues:</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37 %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*Less than 10%</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76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7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auto"/>
            </w:tcBorders>
            <w:gridSpan w:val="5"/>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7"/>
        </w:trPr>
        <w:tc>
          <w:tcPr>
            <w:tcW w:w="7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5"/>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80" w:type="dxa"/>
            <w:vAlign w:val="bottom"/>
            <w:gridSpan w:val="2"/>
          </w:tcPr>
          <w:p>
            <w:pPr>
              <w:spacing w:after="0"/>
              <w:rPr>
                <w:sz w:val="10"/>
                <w:szCs w:val="10"/>
                <w:color w:val="auto"/>
              </w:rPr>
            </w:pPr>
          </w:p>
        </w:tc>
      </w:tr>
      <w:tr>
        <w:trPr>
          <w:trHeight w:val="173"/>
        </w:trPr>
        <w:tc>
          <w:tcPr>
            <w:tcW w:w="740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accounts receivables balance:</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44 %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Customer F</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10%</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Investments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Debt investments include U.S. government bonds and money market funds. U.S. government bonds are for original maturities of up to six months and are classified as available for sale and measured at fair value with the related unrealized gains and losses included in other comprehensive income (expense), net. Money market funds, measured at fair value, consist of institutional investors money market funds and are readily redeemable to cash.</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debt securities: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U.S. dollars in millions</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42"/>
        </w:trPr>
        <w:tc>
          <w:tcPr>
            <w:tcW w:w="2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Reported as</w:t>
            </w:r>
          </w:p>
        </w:tc>
        <w:tc>
          <w:tcPr>
            <w:tcW w:w="260" w:type="dxa"/>
            <w:vAlign w:val="bottom"/>
            <w:tcBorders>
              <w:bottom w:val="single" w:sz="8" w:color="auto"/>
            </w:tcBorders>
          </w:tcPr>
          <w:p>
            <w:pPr>
              <w:spacing w:after="0"/>
              <w:rPr>
                <w:sz w:val="12"/>
                <w:szCs w:val="12"/>
                <w:color w:val="auto"/>
              </w:rPr>
            </w:pPr>
          </w:p>
        </w:tc>
      </w:tr>
      <w:tr>
        <w:trPr>
          <w:trHeight w:val="131"/>
        </w:trPr>
        <w:tc>
          <w:tcPr>
            <w:tcW w:w="2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Other current</w:t>
            </w:r>
          </w:p>
        </w:tc>
      </w:tr>
      <w:tr>
        <w:trPr>
          <w:trHeight w:val="173"/>
        </w:trPr>
        <w:tc>
          <w:tcPr>
            <w:tcW w:w="2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5"/>
                <w:szCs w:val="15"/>
                <w:color w:val="auto"/>
              </w:rPr>
            </w:pP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left="415"/>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$ 1,040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44</w:t>
            </w:r>
          </w:p>
        </w:tc>
      </w:tr>
      <w:tr>
        <w:trPr>
          <w:trHeight w:val="378"/>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U.S. dollars in millions</w:t>
            </w:r>
          </w:p>
        </w:tc>
        <w:tc>
          <w:tcPr>
            <w:tcW w:w="1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r>
        <w:trPr>
          <w:trHeight w:val="142"/>
        </w:trPr>
        <w:tc>
          <w:tcPr>
            <w:tcW w:w="2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Reported as</w:t>
            </w:r>
          </w:p>
        </w:tc>
        <w:tc>
          <w:tcPr>
            <w:tcW w:w="260" w:type="dxa"/>
            <w:vAlign w:val="bottom"/>
            <w:tcBorders>
              <w:bottom w:val="single" w:sz="8" w:color="auto"/>
            </w:tcBorders>
          </w:tcPr>
          <w:p>
            <w:pPr>
              <w:spacing w:after="0"/>
              <w:rPr>
                <w:sz w:val="12"/>
                <w:szCs w:val="12"/>
                <w:color w:val="auto"/>
              </w:rPr>
            </w:pPr>
          </w:p>
        </w:tc>
      </w:tr>
      <w:tr>
        <w:trPr>
          <w:trHeight w:val="131"/>
        </w:trPr>
        <w:tc>
          <w:tcPr>
            <w:tcW w:w="2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Other current</w:t>
            </w:r>
          </w:p>
        </w:tc>
      </w:tr>
      <w:tr>
        <w:trPr>
          <w:trHeight w:val="173"/>
        </w:trPr>
        <w:tc>
          <w:tcPr>
            <w:tcW w:w="2880" w:type="dxa"/>
            <w:vAlign w:val="bottom"/>
          </w:tcPr>
          <w:p>
            <w:pPr>
              <w:spacing w:after="0"/>
              <w:rPr>
                <w:sz w:val="15"/>
                <w:szCs w:val="15"/>
                <w:color w:val="auto"/>
              </w:rPr>
            </w:pPr>
          </w:p>
        </w:tc>
        <w:tc>
          <w:tcPr>
            <w:tcW w:w="2140" w:type="dxa"/>
            <w:vAlign w:val="bottom"/>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00" w:type="dxa"/>
            <w:vAlign w:val="bottom"/>
          </w:tcPr>
          <w:p>
            <w:pPr>
              <w:spacing w:after="0"/>
              <w:rPr>
                <w:sz w:val="15"/>
                <w:szCs w:val="15"/>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Pr>
          <w:p>
            <w:pPr>
              <w:spacing w:after="0"/>
              <w:rPr>
                <w:sz w:val="15"/>
                <w:szCs w:val="15"/>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5"/>
                <w:szCs w:val="15"/>
                <w:color w:val="auto"/>
              </w:rPr>
            </w:pP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33</w:t>
            </w: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Non-marketable equity securities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2024, the Company entered into a series of investment agreements with a privately held company, pursuant to which the Company agreed to purchase up to $25 million of Preferred Stock. In October 2024, the Company purchased $10 million of Preferred Stock in the privately held company. The Company no longer has an obligation to purchase additional Preferred Stock pursuant to the terms of the applicable Preferred Stock investment agreements. However, the Company has begun negotiation of amendments to the relevant Preferred Stock investment agreements that would provide the Company the right to purchase up to $15 million of additional Preferred Stock at subsequent closings at the Company's discretion. Final commercial terms for this amendment remain subject to further negotiation.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investment does not provide the Company the ability to control or have significant influence over the operations of the privately held company. We have accounted for the investment using the measurement alternative because the securities are not publicly traded and do not have a readily determinable fair value. Under the measurement alternative, the equity investment is initially recorded at its cost, but the carrying value may be adjusted through earnings upon an impairment or when there is an observable price change involving the same or a similar investment with the same issuer. As of March 29, 2025 and December 28, 2024, we recorded $10 million for our investment as other long-term assets. There was no impairment or other change to the value of the investment as of March 29, 2025 and December 28,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16, 2024, a putative class action captioned McAuliffe v. Mobileye Global Inc., et al., 1:24-CV-00310 (S.D.N.Y.), was filed in the United States District Court for the Southern District of New York against Mobileye and certain of its current and former officers. Following the consolidation of the action with a substantively identical case, Le v. Mobileye Global Inc., et al., 1:24-CV-01390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putative purchasers of Mobileye Class A common stock offered in Mobileye’s June 5, 2023 secondary public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The lead plaintiff has thirty days from the date of the Court's order to file a notice of appeal with the U.S. Court of Appeals for the Second Circuit. We intend to defend the matter vigorously. No provision was recorded in the condensed consolidated financial statements as of March 29, 2025.</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 2024, this derivative action was consolidated with the derivative action originally filed on April 12, 2024 and the consolidated derivative action was stayed by the court pending resolution of the anticipated motion to dismiss in the consolidated securities action. Following dismissal of the consolidated securities action, the Court ordered the parties to jointly propose a schedule for further proceedings by April 24, 2025. We intend to defend the derivative claims vigorously. No provision for the consolidated derivative action was recorded in the condensed consolidated financial statements as of March 29, 2025.</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On November 4, 2024, Mobileye filed a motion to dismiss asserting improper venue, which the court dismissed without prejudice to refile in view of an amended complaint filed by Facet, adding Mobileye Vision Technologies Ltd. and Mobileye Inc., each wholly-owned indirect subsidiaries of Mobileye Global Inc., as additional defendants. On November 7, 2024, Mobileye Vision Technologies Ltd. and Mobileye Inc sued Facet Technology Corp. in the U.S. District Court of Minnesota seeking a declaratory judgement that the Mobileye plaintiffs do not infringe either patent. On March 5, 2025, the Patent Trial and Appeal Board of the US Patent and Trademark Office instituted two Inter Parte Review (IPR) proceedings filed by Mobileye Vision Technologies Ltd. against the patents asserted by Facet. On March 15, 2025, the parties agreed and the relevant courts entered orders staying all litigation pending the outcome of both IPRs. On March 19, 2025, Facet filed requests for reconsideration of both institution decisions. On April 22, 2025, the Patent Trial and Appeal Board denied Facet's request for reconsideration in respect of one of the institution decisions. The other request for reconsideration remains pending. We intend to defend the matter vigorously. No provision was recorded in the condensed consolidated financial statements as of March 29,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2025, the Company's compensation committee approved the issuance of restricted stock units to be issued under our 2022 Plan. The total aggregate fair value of RSUs granted was $21.4 million, which consisted of 1,621 thousand RSUs, which will vest over a service period of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0"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As of March 29, 2025, our solutions had been installed in approximately 1,200 vehicle models (including local country, year, and other vehicle model variations), and our System-on-Chips (“SoCs”) had been deployed in over 210 million vehicles. We are actively working with more than 50 Original Equipment Manufacturers (“OEMs”) worldwide on the implementation of our ADAS solutions. In the three months ended March 29, 2025, we shipped approximately 8.5 million of our systems, the substantial majority of which were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This represents an increase from the approximately 3.6 million of our systems that we shipped in the first three months of 2024, primarily due to the normalization of excess inventory at our Tier 1 customers that was previously used to satisfy demand during 2024.</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our initial public offering (the “Mobileye IPO”) in October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have responded. In addition, both Hezbollah and the Houthi movement have attacked military and civilian targets in Israel, to which Israel has responded, including through increased air and ground operations in Lebanon. In addition, the Houthi movement has attacked international shipping lanes in the Red Sea, to which both Israel and the United States have responded. Further, on April 13, 2024 and October 1, 2024, Iran launched a series of drone and missile strikes against Israel, to which Israel has responded. How long and how severe the current conflict in Gaza, Northern Israel, Lebanon or the broader region becomes is unknown at this time and any continued clash among Israel, Hamas, Hezbollah, Iran or other countries or militant groups in the region may escalate in the future into a greater regional conflict. To date, our operations have not been materially affected, although as of April 15, 2025 approximately 3.8% of our employees have been called to reserve duty in the Israel Defense Forces. We expect that the current conflict in the Gaza Strip, Lebanon and the broader region as well as the security escalation in Israel will not have a material impact on our business results in the short term. However, since this is an event beyond our control, its continuation or cessation may affect our expectations. We continue to monitor political and military developments closely and examine the consequences for our operations and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In the future, propelled by our next generation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including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SoC, our Compound AI system architecture, including True Redundancy™, our surround computer vision Mobileye SuperVision™ solution, and our software-defined imaging radars, we believe that we will be positioned to deliver an autonomous driving solution that can enable the mass adoption of AV.</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1"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29"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with STMicroelectronics, including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and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We have also established relationships with several suppliers, such as Quanta Computer, to develop and assemble our ECUs, including the design for our Mobileye SuperVision™, which includes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SoCs manufactured by STMicroelectronics.</w:t>
      </w:r>
    </w:p>
    <w:p>
      <w:pPr>
        <w:spacing w:after="0" w:line="35"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As a result of our relationship with Intel, we have access to unique and differentiating technologies. For example, we may license certain technologies from Intel that support the design and development of our software-defined imaging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16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 and automotive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geopolitical issues including trade restrictions and tariffs, as well as other factors.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 factors impacting our sales to OEMs in China, and the extent of the adverse effect that such volatility could have on our results of operations, financial condition and business in the long term. While automotive production has now recovered to approximately 2019 levels, current uncertain economic conditions and inflation may contribute to a reduction in consumer demand. In addition to economic conditions, in prior periods, including during the supply chain crisis and semi-conductor shortage of 2021 and 2022, certain Tier 1 customers increased their orders for components and parts, including our solutions, to counteract the impact of supply chain shortages for auto parts. As a result, some demand for our solutions and the corresponding revenue from these customers were shifted to earlier time periods than otherwise would have occurred absent a general supply chain shortage and inflationary environment. As a result of our standard planning process for 2024, including discussions with our Tier 1 customers, we became aware in late 2023 of significant excess inventory at our customers. This as well as lower than expected production at certain OEMs during 2023 led to the decision by our Tier 1 customers to prioritize in the first quarter of 2024 the utilization of excess inventory on hand before using new shipments to meet the demand of OEMs. We estimate our customers used the vast majority of this excess customer inventory in 2024, in accordance with our expectations, but there is no guarantee that orders will remain normalized or that customers won't build up excess inventory in the future. ADAS volumes have grown faster in recent years than the overall automotive market as ADAS penetration rates have increased, and we believe that we will continue to benefit from that trend. Our revenue of $438 million in the three months ended March 29, 2025 was up 83% year-over-year, primarily due to the unusually low volume caused by the usage of meaningful excess inventory at our Tier 1 customers to satisfy demand in the first quarter of 2024. Continued or future constraints on global automotive production resulting from the effects of economic uncertainty, both global and in specific markets in which we operate,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 policies, sanctions and import and export controls. </w:t>
      </w:r>
      <w:r>
        <w:rPr>
          <w:rFonts w:ascii="Times New Roman" w:cs="Times New Roman" w:eastAsia="Times New Roman" w:hAnsi="Times New Roman"/>
          <w:sz w:val="18"/>
          <w:szCs w:val="18"/>
          <w:color w:val="auto"/>
        </w:rPr>
        <w:t>Trade policies and international disputes at times result in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tariffs, trade barriers and other restrictions, which can increase our manufacturing costs, make our solutions less competitive, reduce demand for our solutions, limit our ability to sell to certain customers, limit our ability to procure raw components or raw materials or impede or slow the movement of our goods across borders. In addition, tariffs could lead to higher prices for finished automobiles, which would reduce demand for automobiles and thus the market for our products. On March 26, 2025, the United States imposed an additional 25% tariff on all imports of passenger vehicles, light vehicles, and certain automotive parts, such as engines, transmissions, powertrain parts and electrical components. The tariff on finished vehicles went into effect on April 3, 2025 and the tariffs on automobile parts will enter into effect by May 3, 2025. Further, on April 2, 2025, the United States announced a 10% tariff on all countries effective on April 5, 2025 as well as individualized higher tariff rates on countries with which the United States has proportionately large trade deficits in goods. The United States has paused these "reciprocal tariffs" on certain countries as individual bilateral trade deals are negotiated, while increasing reciprocal tariff rates and other restrictions on countries that have responded with increased tariffs of their own, including the People's Republic of China. As of the date of this report, there remains a high degree of uncertainty surrounding U.S. trade policy, how it will be implemented, how other countries will react, and how it will ultimately impact our industry and business. For example, our customers may shift orders for components and parts, including our solutions, prior to the automotive tariffs going into effect on May 3, 2025, thereby shifting demand for our solutions and corresponding revenue to earlier periods. While we continually evaluate changes in U.S, trade policy and global reactions thereto, as well as our ability to mitigate their impact, these recent changes may negatively impact our customers and our business. For additional information, see "Item IA - Risk Factors - We are subject to risk related to trade policies, sanctions, and import and export controls" in our 2024 Form 10-K.</w:t>
      </w:r>
    </w:p>
    <w:p>
      <w:pPr>
        <w:spacing w:after="0" w:line="192"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 ways to improve the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including in-house technologies developed by our customers,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though there is no guarantee that our customers will purchase our solutions in any certain quantity or at any certain price even after we achieve design wins. For example, in the third quarter of 2024 Zeekr announced their decision to utilize their in-house system instead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at least a major portion of product for their 001 model going forward.</w:t>
      </w:r>
    </w:p>
    <w:p>
      <w:pPr>
        <w:spacing w:after="0" w:line="143"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 develop and design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advanced systems will ultimately power autonomous driving solutions.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design further enables scalable ECU architectures, from supporting a variety of ADAS solution architectures to hosting the full workload of autonomous driving, while meeting stringent cost and power efficiency requirements. We expect that our development of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spacing w:after="0" w:line="14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 impact of regulation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 driven by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2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 revenue and gross margin,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199"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which carry significantly higher prices as compared to our single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and cloud-enhanced ADAS products. We believe our differentiated and scalable solutions consistently enhanced by additional features can enable us to maintain or increase overall ASPs over time,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other advanced solutions become a larger portion of our product mix.</w:t>
      </w:r>
    </w:p>
    <w:p>
      <w:pPr>
        <w:spacing w:after="0" w:line="14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manufacturing capacity. </w:t>
      </w:r>
      <w:r>
        <w:rPr>
          <w:rFonts w:ascii="Times New Roman" w:cs="Times New Roman" w:eastAsia="Times New Roman" w:hAnsi="Times New Roman"/>
          <w:sz w:val="18"/>
          <w:szCs w:val="18"/>
          <w:color w:val="auto"/>
        </w:rPr>
        <w:t>Our solutions are dependent on the global semiconductor supply chain. The continued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on our balance sheet as a result of the limited supply during 2021. Further, STMicroelectronics, our sole supplier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during 2022, causing a further significant reduction in our company-owned inventory level. Starting in late 2022 and early 2023, such supply chain disruptions, raw material shortages, and manufacturing limitations abated and during 2023, we successfully increased levels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inventory on hand, mitigating the potential for future supply constraints to cause a shortfall of chips. However, in the event of a reoccurence of supply chain constraints, and subject to the duration and severity thereof, we may be required to operate with minimal or no inventory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or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ECUs on hand. As a result, we are substantially reliant on timely shipments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from STMicroelectronics and ECUs from Quanta Computer (or other suppliers) to fulfill customer orders and if such a shortfall of chips or ECUs were to occur, we may be unable to offset future supply constraints through the use of inventory on hand.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14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compensation expenses. </w:t>
      </w:r>
      <w:r>
        <w:rPr>
          <w:rFonts w:ascii="Times New Roman" w:cs="Times New Roman" w:eastAsia="Times New Roman" w:hAnsi="Times New Roman"/>
          <w:sz w:val="18"/>
          <w:szCs w:val="18"/>
          <w:color w:val="auto"/>
        </w:rPr>
        <w:t>In connection with the Mobileye IPO, we established an equity incentive plan for purposes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granting share-based compensation awards to certain members of our senior management, to our non-employee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 Segment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primarily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94" w:lineRule="exact"/>
        <w:rPr>
          <w:sz w:val="20"/>
          <w:szCs w:val="20"/>
          <w:color w:val="auto"/>
        </w:rPr>
      </w:pPr>
    </w:p>
    <w:p>
      <w:pPr>
        <w:jc w:val="both"/>
        <w:ind w:firstLine="324"/>
        <w:spacing w:after="0" w:line="211" w:lineRule="auto"/>
        <w:rPr>
          <w:sz w:val="20"/>
          <w:szCs w:val="20"/>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94% and 72% of our revenue for the three months ended March 29, 2025 and March 30, 2024, respectively.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1" w:lineRule="exact"/>
        <w:rPr>
          <w:sz w:val="20"/>
          <w:szCs w:val="20"/>
          <w:color w:val="auto"/>
        </w:rPr>
      </w:pPr>
    </w:p>
    <w:p>
      <w:pPr>
        <w:jc w:val="both"/>
        <w:ind w:firstLine="324"/>
        <w:spacing w:after="0" w:line="209"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our SuperVision™ product, and amortization of acquired intangible assets, identified as developed technology. Additional costs are royalty fees for the intellectual property that is included in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personnel-related expenses, logistics and insurance costs and allocated overhead costs.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over time because of the greater hardware content included in our solutions. However, as a result of a higher expected selling price for such systems, we expect our gross profit per unit will increase on a dollar basis in future periods.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associated with personnel related expenses, facilities, equipment and supplies for research and development activities, materials, parts and other prototype development, cloud computing services, consulting, and other professional services, quality assurance within the development programs, and allocated overhead costs.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83"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The expected increase is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generations, Premium Driver-Assist offerings and the investment in software and hardware infrastructure for our AV solutions and active sensor suite.</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brands, personnel-related expenses, including share-based compensation of our sales force, as well as marketing expenses and allocated overhead costs.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increase our sales and marketing expenses over time, as we continue our efforts to increase market awareness of the benefits of our solutions, but we expect sales and marketing expenses to decrease as a percentage of total revenue as our business grows.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insurance costs, expenses associated with finance and legal departments, including legal and accounting fees, litigation expenses, and fees for professional and contract services.</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to moderately increase in absolute dollars but to decrease as a percentage of total revenue as our business grows. The expected increase is mainly associated with the costs related to being a public company, as well as increased premiums for directors’ and officers’ insurance and the increased use of share-based compensation for general and administrative personnel.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(Expense),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income (expense), net, consists primarily of income related to investments in money market funds, as well as income from short term deposits, fair value revaluation of equity investments and fluctuations in value due to foreign exchange differences between our monetary assets and liabilities denominated in New Israeli Shekels and to a much lesser extent, the Euro, the Chinese Yuan, the Japanese Yen, and other currencies</w:t>
      </w:r>
      <w:r>
        <w:rPr>
          <w:rFonts w:ascii="Times New Roman" w:cs="Times New Roman" w:eastAsia="Times New Roman" w:hAnsi="Times New Roman"/>
          <w:sz w:val="18"/>
          <w:szCs w:val="18"/>
          <w:b w:val="1"/>
          <w:bCs w:val="1"/>
          <w:i w:val="1"/>
          <w:iCs w:val="1"/>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 In addition, the OECD announced an Inclusive Framework on Base Erosion and Profit Shifting including Pillar Two Model Rules defining the global minimum tax in 2021,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We are continuing to evaluate the impacts of enacted legislation and pending legislation to enact Pillar Two Model Rules in the non-US tax jurisdictions in which we operate. The Company is a constituent entity of its Parent for Pillar Two purposes.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periods presented in our condensed consolidated financial statements, certain components of our business operations were included in the consolidated U.S. tax return filed by Intel. We also file certain foreign income tax returns on a separate basis, distinct from Intel. The income tax provision included in our condensed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income tax return method approach. The use of the separate return method may result in differences between our income tax provision compared to Intel’s consolidated income tax provision.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that we have not benefited due to a valuation allowance position. If warranted, based on the assessment of verifiable evidence in support of the realization of deferred tax assets, the valuation allowances may be released, resulting in a tax benefit.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periods presented in our condensed consolidated financial statements primarily relates to U.S. branch deferred tax assets not currently expected to be realized given that we have sustained recent losses based on the separate return method.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these condensed consolidated financial statements because the Company will recognize a benefit based on the separate return method when determined to be realizable.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5"/>
          </w:tcPr>
          <w:p>
            <w:pPr>
              <w:jc w:val="right"/>
              <w:ind w:right="1096"/>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220" w:type="dxa"/>
            <w:vAlign w:val="bottom"/>
            <w:gridSpan w:val="3"/>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9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tcPr>
          <w:p>
            <w:pPr>
              <w:jc w:val="right"/>
              <w:ind w:right="25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top w:val="single" w:sz="8" w:color="auto"/>
            </w:tcBorders>
          </w:tcPr>
          <w:p>
            <w:pPr>
              <w:jc w:val="right"/>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6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gridSpan w:val="2"/>
            <w:vMerge w:val="continue"/>
          </w:tcPr>
          <w:p>
            <w:pPr>
              <w:spacing w:after="0"/>
              <w:rPr>
                <w:sz w:val="15"/>
                <w:szCs w:val="15"/>
                <w:color w:val="auto"/>
              </w:rPr>
            </w:pPr>
          </w:p>
        </w:tc>
        <w:tc>
          <w:tcPr>
            <w:tcW w:w="128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53 %</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63 %</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gridSpan w:val="2"/>
            <w:vMerge w:val="continue"/>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amortization of acquired intangible assets,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260" w:type="dxa"/>
            <w:vAlign w:val="bottom"/>
            <w:gridSpan w:val="2"/>
            <w:vMerge w:val="continue"/>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60" w:type="dxa"/>
            <w:vAlign w:val="bottom"/>
          </w:tcPr>
          <w:p>
            <w:pPr>
              <w:spacing w:after="0"/>
              <w:rPr>
                <w:sz w:val="12"/>
                <w:szCs w:val="12"/>
                <w:color w:val="auto"/>
              </w:rPr>
            </w:pPr>
          </w:p>
        </w:tc>
        <w:tc>
          <w:tcPr>
            <w:tcW w:w="126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amortization of acquired intangible assets</w:t>
            </w:r>
          </w:p>
        </w:tc>
        <w:tc>
          <w:tcPr>
            <w:tcW w:w="2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6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6"/>
        </w:trPr>
        <w:tc>
          <w:tcPr>
            <w:tcW w:w="2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4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Includes share-based compensation expense,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5"/>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20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29, 2025 and March 30, 2024</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ind w:firstLine="324"/>
        <w:spacing w:after="0" w:line="202" w:lineRule="auto"/>
        <w:rPr>
          <w:sz w:val="20"/>
          <w:szCs w:val="20"/>
          <w:color w:val="auto"/>
        </w:rPr>
      </w:pPr>
      <w:r>
        <w:rPr>
          <w:rFonts w:ascii="Times New Roman" w:cs="Times New Roman" w:eastAsia="Times New Roman" w:hAnsi="Times New Roman"/>
          <w:sz w:val="18"/>
          <w:szCs w:val="18"/>
          <w:color w:val="auto"/>
        </w:rPr>
        <w:t>In the three months ended March 29, 2025, revenue increased by $199 million, or 83%, compared to the three months ended March 30, 2024, due to an increase of $239 million, or 139%,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revenue, primarily attributable to a 139% increase in volume resulting from the unusually low volume caused by the usage of meaningful excess inventory at our Tier 1 customers to satisfy demand in the first quarter of 2024. This was partially offset by a decrease of $43 million in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Average System Price, calculated as the sum of revenue related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divided by the number of systems delivered, decreased by approximately 20%, primarily due to the lower percentage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as compared to the first quarter of 2024.</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 the three months ended March 29, 2025, our cost of revenue increased by $46 million, or 25%, compared to the three months ended March 30, 2024, primarily due to an increase of $47 million in manufacturing costs, mainly resulting from the increase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partially offset by the decrease in sales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02" w:lineRule="exact"/>
        <w:rPr>
          <w:sz w:val="20"/>
          <w:szCs w:val="20"/>
          <w:color w:val="auto"/>
        </w:rPr>
      </w:pPr>
    </w:p>
    <w:p>
      <w:pPr>
        <w:jc w:val="both"/>
        <w:ind w:firstLine="162"/>
        <w:spacing w:after="0" w:line="235" w:lineRule="auto"/>
        <w:rPr>
          <w:sz w:val="20"/>
          <w:szCs w:val="20"/>
          <w:color w:val="auto"/>
        </w:rPr>
      </w:pPr>
      <w:r>
        <w:rPr>
          <w:rFonts w:ascii="Times New Roman" w:cs="Times New Roman" w:eastAsia="Times New Roman" w:hAnsi="Times New Roman"/>
          <w:sz w:val="18"/>
          <w:szCs w:val="18"/>
          <w:color w:val="auto"/>
        </w:rPr>
        <w:t>In the three months ended March 29, 2025, our gross profit increased by $153 million, or 283%, compared to the three months ended March 30, 2024. This increase was mainly driven by the increase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attributable to the usage of meaningful inventory at our Tier 1 customers to satisfy demand which took place in the first quarter of 2024. This was slightly offset by the decrease in sales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w:t>
      </w:r>
    </w:p>
    <w:p>
      <w:pPr>
        <w:spacing w:after="0" w:line="35"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Our gross margin increased from 23% for the three months ended March 30, 2024, to 47% for the three months ended March 29, 2025. This increase was primarily due to the lower impact of amortization of intangible assets as a percentage of revenue as well as the decrease in the percentage of revenue attributable to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net, in the three months ended March 29, 2025, increased by $32 million, or 13%, compared to the three months ended March 30, 2024. This increase was primarily due to an increase in payroll and related expenses caused by average research and development headcount increase of 140 employees including higher stock based compensation and lower military duty reserve refunds from the state of Israel, lower NRE reimbursements caused by projects timing and higher depreciation expenses.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in the three months ended March 29, 2025, decreased by $3 million, or 9%, compared to the three months ended March 30, 2024. This decrease is mainly associated with a decrease in payroll and related expenses due to the wind down of the after market division that took place in 2024.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three months ended March 29, 2025, increased by $3 million, or 20%, compared to the three months ended March 30, 2024. This increase was primarily due to an increase in legal and corporate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(expense), net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income, net, in the three months ended March 29, 2025, was $18 million compared to $17 million in the three months ended March 30, 2024. This increase was mainly due to an increase in interest earned on short term bank deposits, as well as an increase derived from the impact of fluctuations in foreign exchange rates, offset by a decrease in interest earned on investment in money market funds.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 for income tax in the three months ended March 29, 2025, was $(3) million compared to a benefit for income tax of $3 million in the three months ended March 30, 2024, mainly due to a decrease in loss before income taxes in the three months ended March 29, 2025 compared to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departments, investments attributable to new product development, as well as for funding our capital expenditures. Our capital expenditures have related mainly to data storage and other computer related equipment, expenditure related to research and development projects and to the construction of new sites and were $14 million and $22 million for the three months ended March 29, 2025 and March 30, 2024, respectively.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We expect our total capital expenditures for 2025 to be higher compared to our total capital expenditures in 2024. We continue to invest in equipment related to the development of our next generation products. Our future capital requirements will depend on many factors, including our growth rate and the timing and extent of operating expenses.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consolidated statements of cash flow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 w:type="dxa"/>
            <w:vAlign w:val="bottom"/>
          </w:tcPr>
          <w:p>
            <w:pPr>
              <w:spacing w:after="0"/>
              <w:rPr>
                <w:sz w:val="15"/>
                <w:szCs w:val="15"/>
                <w:color w:val="auto"/>
              </w:rPr>
            </w:pPr>
          </w:p>
        </w:tc>
        <w:tc>
          <w:tcPr>
            <w:tcW w:w="31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in 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29, 2025 compared to the three months ended March 30, 2024, the $69 million increase in cash provided by operating activities was mainly due to a decrease in net loss, a decrease in inventory and in other current assets compared to prior year period, largely offset by an increase in trade accounts receivable due to the increase in revenue.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three months ended March 29, 2025 and the three months ended March 30, 2024 was $25 million and $22 million, respectively, consisting of capital expenditures and debt investments.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(used in) financing activities in the three months ended March 29, 2025 and the three months ended March 30, 2024 was $3 million and ($4) million, respectively, consisting of share-based compensation recharge with Intel.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Severance pay liability increased from $62 million as of December 28, 2024, to $63 million as of March 29, 2025.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agreements for vehicles and offices. We lease office space in various locations in Israel and around the world including USA, Germany and China. All leases are operating leases with fixed payment terms where some of the leases include annual increases to lease payments based on an index or a rate. Lease liabilities, representing the present value of future lease payments, have increased from $50 million as of December 28, 2024 to $53 million as of March 29, 2025, reflecting mainly new lease contracts, partially offset by the progress in lease payments for existing arrangements.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several bank guarantees aggregating approximately $14 million as of March 29, 2025 (denominated in New Israeli Shekels) mainly in connection with lease agreements and import of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condensed consolidated financial statements and related notes included elsewhere in this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share-based compensation expense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5"/>
          </w:tcPr>
          <w:p>
            <w:pPr>
              <w:jc w:val="right"/>
              <w:ind w:right="856"/>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880" w:type="dxa"/>
            <w:vAlign w:val="bottom"/>
            <w:gridSpan w:val="3"/>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9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69</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62</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33"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Adjusted Gross Margin increased from 62% for the three months ended March 30, 2024 to 69% for the three months ended March 29, 2025. The increase was primarily due to the increase in percentage of revenue attributable to EyeQ SoC.</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(Loss) and Margin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Operating Income (Loss) as operating income (loss) presented in accordance with GAAP, adjusted to exclude amortization of acquisition related intangibles and share-based compensation expense. Operating Margin is calculated as operating income (loss) divided by total revenue, and Adjusted Operating Margin is calculated as Adjusted Operating Income (Loss) divided by total revenue.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operating income (loss) to Adjusted Operating Income (Loss) and the calculations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and Adjusted Operating Margin: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5"/>
          </w:tcPr>
          <w:p>
            <w:pPr>
              <w:jc w:val="right"/>
              <w:ind w:right="816"/>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900" w:type="dxa"/>
            <w:vAlign w:val="bottom"/>
            <w:gridSpan w:val="3"/>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and operating margin</w:t>
            </w: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(loss) and margin</w:t>
            </w:r>
          </w:p>
        </w:tc>
        <w:tc>
          <w:tcPr>
            <w:tcW w:w="9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Operating Loss decreased by $121 million in the three months ended March 29, 2025 compared to the three months ended March 30, 2024, mainly due the increase in gross profit, partially offset by a an increase in operating expenses.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had an Adjusted Operating Income of $59 million in the three months ended March 29, 2025 compared to an Adjusted Operating Loss of $(65) in the three months ended March 30, 2024, mainly due to higher Adjusted Gross Profit, partially offset by an increase in operating expenses.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Operating Margin increased from (27)% for the three months ended March 30, 2024 to 13% for the three months ended March 29, 2025, due to higher Adjusted Gross Margin and lower operating expenses as a percentage of revenue, given the unusually low revenue base in the first quarter of 2024.</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75"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income (loss) presented in accordance with GAAP, adjusted to exclude amortization of acquisition related intangibles and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net income (loss) to Adjusted Net Income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5"/>
          </w:tcPr>
          <w:p>
            <w:pPr>
              <w:jc w:val="right"/>
              <w:ind w:right="816"/>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900" w:type="dxa"/>
            <w:vAlign w:val="bottom"/>
            <w:gridSpan w:val="3"/>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Our net loss decreased by $116 million in the three months ended March 29, 2025, compared the three months ended March 30, 2024, primarily due to the increase in gross profit, partially offset by a an increase in operating expenses.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had an Adjusted Net Income of $63 in the three months ended March 29, 2025 compared to an Adjusted Net Loss of $(55) in the three months ended March 30, 2024, primarily due to the increase in Adjusted Gross Profit, partially offset by an increase in operating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The preparation of financial statements and related disclosures in conformity with U.S. generally accepted accounting principles and the Company’s discussion and analysis of its financial condition and operating results require the Company’s management to make judgments, assumptions and estimates that affect the amounts reported. We base our assumptions, estimates and judgments on historical experience, current trends and other factors that management believes to be relevant at the time the estimate was made.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Note 2, “Significant Accounting Policies” of the Notes to the condensed consolidated Financial Statements in Part I, Item 1 of this Form 10-Q and in the Notes to the Consolidated Financial Statements in Part II, Item 8 of the 2024 Annual Report on Form 10-K, as filed with the SEC on February 13, 2025 (the "2024 Form 10-K") describe the significant accounting policies and methods used in the preparation of the Company’s condensed consolidated financial statements. There have been no material changes to the Company’s critical accounting estimates since the 2024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contained in this report may include, but are not limited to, statements about:</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 including expectations about excess inventory utilization by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 and trade policy, including increased tariffs, in regions in which we operate, including the U.S., Europe and China;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20"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Israel, including in connection with the Israeli military operations in response to the October 7, 2023 terrorist attacks, which may affect our operations and may limit our ability to produce and sell our solutions;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operations by the obligations of our personnel to perform military service as a result of current or future military actions involving Israel;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report and under the sections entitled “Risk Factors,” “Management’s Discussion and Analysis of Financial Condition and Results of Operations” and “Business,” in our 2024 Form 10-K.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risk factors discussed under the section entitled “Risk Factors” included in our 2024 Form 10-K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There were no material changes to the information on market risk disclosure from our 2024 Form 10-K.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investments in money market funds, U.S. government bonds and short term deposits are subject to market risk due to changes in interest rates, which may affect our interest income and fair market value of our investments. To minimize this risk, we invest in institutional investors money market funds, which consist of high-grade securities. Our short term deposits are redeemable upon demand and held in banks domiciled in the U.S. and Europe, as well as in Israel. As of March 29, 2025 and December 28, 2024, our investment in money market funds was $996 million and $951 million, respectively; our U.S. government bonds were $44 million and $33 million, respectively and our short term deposits were $445 million and $419 million, respectively.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objectives of our investments in money market funds, U.S. government bonds and short term deposits is to fund our cash requirements in the ordinary course of business and preserve principal. We do not enter into investments for trading or speculative purposes.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condensed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initiated a foreign currency cash flow hedging program, designed to hedge the Company's foreign exchange rate risk, resulting mainly from ILS payroll expenses. The Company hedges portions of its forecasted payroll payments denominated in ILS using forward contracts that are designated as cash flow hedges, as defined by ASC 815.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$11 million in the three months ended March 29, 2025. If the New Israeli Shekel had strengthened by 10% against the U.S. dollar, it would have decreased our cash flows by approximately $17 million in the three months ended March 30, 2024.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March 29, 2025 that have materially affected, or are reasonably likely to materially affect, our internal control over financial reporting.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Securities Litigation. 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1:24 - CV - 01390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The lead plaintiff has thirty days from the date of the Court's order to file a notice of appeal with the U.S. Court of Appeals for the Second Circuit. We intend to defend the matter vigorously. No provision was recorded in the condensed consolidated financial statements as of March 29, 2025.</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nominal defendant. On July 9th, 2024, this derivative action was consolidated with the derivative action originally filed on April 12, 2024 and the consolidated derivative action was stayed by the court pending resolution of the anticipated motion to dismiss in the consolidated securities action. Following dismissal of the consolidated securities action, the Court ordered the parties to jointly propose a schedule for further proceedings by April 24, 2025. We intend to defend the matter vigorously. No provision was recorded in the condensed consolidated financial statements as of March 29,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On November 4, 2024, Mobileye filed a motion to dismiss asserting improper venue, which the court dismissed without prejudice to refile in view of an amended complaint filed by Facet, adding Mobileye Vision Technologies Ltd. and Mobileye Inc., each wholly-owned indirect subsidiaries of Mobileye Global Inc., as additional defendants. On November 7, 2024, Mobileye Vision Technologies Ltd. and Mobileye Inc., sued Facet Technology Corp. in the U.S. District Court of Minnesota seeking a declaratory judgement that the Mobileye plaintiffs do not infringe either patent. On March 5, 2025, the Patent Trial and Appeal Board of the US Patent and Trademark Office instituted two </w:t>
      </w:r>
      <w:r>
        <w:rPr>
          <w:rFonts w:ascii="Times New Roman" w:cs="Times New Roman" w:eastAsia="Times New Roman" w:hAnsi="Times New Roman"/>
          <w:sz w:val="18"/>
          <w:szCs w:val="18"/>
          <w:i w:val="1"/>
          <w:iCs w:val="1"/>
          <w:color w:val="auto"/>
        </w:rPr>
        <w:t>Inter Parte Review</w:t>
      </w:r>
      <w:r>
        <w:rPr>
          <w:rFonts w:ascii="Times New Roman" w:cs="Times New Roman" w:eastAsia="Times New Roman" w:hAnsi="Times New Roman"/>
          <w:sz w:val="18"/>
          <w:szCs w:val="18"/>
          <w:color w:val="auto"/>
        </w:rPr>
        <w:t xml:space="preserve"> (IPR) proceedings filed by Mobileye Vision Technologies Ltd. against the patents asserted by Facet. On March 15, 2025, the parties agreed and the relevant courts entered orders staying all litigation pending the outcome of the both IPRs. On March 19, 2025, Facet filed requests for reconsideration of both institution decisions. On April 22, 2025, the Patent Trial and Appeal Board denied Facet's request for reconsideration in respect of one of the institution decisions. The other request for reconsideration remains pending. We intend to defend the matter vigorously. No provision was recorded in the condensed consolidated financial statements as of March 29,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disclosed in our 2024 Form 10-K. The risks described in the section entitled “Item 1A. Risk Factors” in our 2024 Form 10-K could materially and adversely affect our business, financial condition, and results of operations, and the trading price of our Class A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Refer also to the other information set forth elsewhere herein, including the sections entitled “Forward-Looking Statements”, “Management’s Discussion and Analysis of Financial Condition and Results of Operations,” and our Consolidated Condensed Financial Statements and related Notes thereto.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Sale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March 29, 2025.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07"/>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31.1*</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 of 2002.</w:t>
            </w:r>
          </w:p>
        </w:tc>
      </w:tr>
      <w:tr>
        <w:trPr>
          <w:trHeight w:val="196"/>
        </w:trPr>
        <w:tc>
          <w:tcPr>
            <w:tcW w:w="128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2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1140" w:type="dxa"/>
            <w:vAlign w:val="bottom"/>
            <w:gridSpan w:val="2"/>
          </w:tcPr>
          <w:p>
            <w:pPr>
              <w:spacing w:after="0"/>
              <w:rPr>
                <w:sz w:val="17"/>
                <w:szCs w:val="17"/>
                <w:color w:val="auto"/>
              </w:rPr>
            </w:pPr>
          </w:p>
        </w:tc>
      </w:tr>
      <w:tr>
        <w:trPr>
          <w:trHeight w:val="196"/>
        </w:trPr>
        <w:tc>
          <w:tcPr>
            <w:tcW w:w="128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20" w:type="dxa"/>
            <w:vAlign w:val="bottom"/>
          </w:tcPr>
          <w:p>
            <w:pPr>
              <w:spacing w:after="0"/>
              <w:rPr>
                <w:sz w:val="17"/>
                <w:szCs w:val="17"/>
                <w:color w:val="auto"/>
              </w:rPr>
            </w:pPr>
          </w:p>
        </w:tc>
        <w:tc>
          <w:tcPr>
            <w:tcW w:w="8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Certificate of the Chief Executive Officer of Mobileye Global Inc. pursuant to 18 U.S.C. § 1350 as adopted pursuant to</w:t>
            </w: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r>
      <w:tr>
        <w:trPr>
          <w:trHeight w:val="196"/>
        </w:trPr>
        <w:tc>
          <w:tcPr>
            <w:tcW w:w="128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20" w:type="dxa"/>
            <w:vAlign w:val="bottom"/>
          </w:tcPr>
          <w:p>
            <w:pPr>
              <w:spacing w:after="0"/>
              <w:rPr>
                <w:sz w:val="17"/>
                <w:szCs w:val="17"/>
                <w:color w:val="auto"/>
              </w:rPr>
            </w:pPr>
          </w:p>
        </w:tc>
        <w:tc>
          <w:tcPr>
            <w:tcW w:w="8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Certificate of the Chief Financial Officer of Mobileye Global Inc. pursuant to 18 U.S.C. § 1350 as adopted pursuant to</w:t>
            </w: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r>
      <w:tr>
        <w:trPr>
          <w:trHeight w:val="218"/>
        </w:trPr>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w:t>
            </w:r>
          </w:p>
        </w:tc>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financial statements from Mobileye Global Inc.’s Quarterly Report on Form 10-Q for the three months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ended March 29, 2025, filed with the Securities and Exchange Commission on April 24, 2025, formatted in iXBRL</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eXtensible Business Reporting Language): (i) the Consolidated Balance Sheets, (ii) the Consolidated Statements</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Operations and Comprehensive Income (Loss), (iii) the Consolidated Statements of Changes in Equity, (iv) the</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Consolidated Statements of Cash Flows and (v) the Notes to Consolidated Financial Statements.</w:t>
            </w:r>
          </w:p>
        </w:tc>
      </w:tr>
      <w:tr>
        <w:trPr>
          <w:trHeight w:val="234"/>
        </w:trPr>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104*</w:t>
            </w:r>
          </w:p>
        </w:tc>
        <w:tc>
          <w:tcPr>
            <w:tcW w:w="20" w:type="dxa"/>
            <w:vAlign w:val="bottom"/>
          </w:tcPr>
          <w:p>
            <w:pPr>
              <w:spacing w:after="0"/>
              <w:rPr>
                <w:sz w:val="20"/>
                <w:szCs w:val="20"/>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auto"/>
              </w:rPr>
              <w:t>Mobileye Global Inc.</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2025</w:t>
            </w:r>
          </w:p>
        </w:tc>
        <w:tc>
          <w:tcPr>
            <w:tcW w:w="4640" w:type="dxa"/>
            <w:vAlign w:val="bottom"/>
          </w:tcPr>
          <w:p>
            <w:pPr>
              <w:spacing w:after="0"/>
              <w:rPr>
                <w:sz w:val="18"/>
                <w:szCs w:val="18"/>
                <w:color w:val="auto"/>
              </w:rPr>
            </w:pPr>
          </w:p>
        </w:tc>
      </w:tr>
      <w:tr>
        <w:trPr>
          <w:trHeight w:val="234"/>
        </w:trPr>
        <w:tc>
          <w:tcPr>
            <w:tcW w:w="52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Professor Amnon Shashua</w:t>
            </w:r>
          </w:p>
        </w:tc>
      </w:tr>
      <w:tr>
        <w:trPr>
          <w:trHeight w:val="191"/>
        </w:trPr>
        <w:tc>
          <w:tcPr>
            <w:tcW w:w="528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Professor Amnon Shashua</w:t>
            </w:r>
          </w:p>
        </w:tc>
      </w:tr>
      <w:tr>
        <w:trPr>
          <w:trHeight w:val="216"/>
        </w:trPr>
        <w:tc>
          <w:tcPr>
            <w:tcW w:w="52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r>
      <w:tr>
        <w:trPr>
          <w:trHeight w:val="234"/>
        </w:trPr>
        <w:tc>
          <w:tcPr>
            <w:tcW w:w="52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2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Moran Shemesh Rojansky</w:t>
            </w:r>
          </w:p>
        </w:tc>
      </w:tr>
      <w:tr>
        <w:trPr>
          <w:trHeight w:val="211"/>
        </w:trPr>
        <w:tc>
          <w:tcPr>
            <w:tcW w:w="52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Moran Shemesh Rojansky</w:t>
            </w:r>
          </w:p>
        </w:tc>
      </w:tr>
    </w:tbl>
    <w:p>
      <w:pPr>
        <w:jc w:val="center"/>
        <w:ind w:left="5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Professor </w:t>
      </w:r>
      <w:r>
        <w:rPr>
          <w:rFonts w:ascii="Times New Roman" w:cs="Times New Roman" w:eastAsia="Times New Roman" w:hAnsi="Times New Roman"/>
          <w:sz w:val="18"/>
          <w:szCs w:val="18"/>
          <w:color w:val="231F20"/>
        </w:rPr>
        <w:t>Amnon Shashua</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747395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17145</wp:posOffset>
            </wp:positionV>
            <wp:extent cx="32486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Professor Amnon Shashua</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Chief Executive Officer, President, and</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35"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635635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24765</wp:posOffset>
            </wp:positionV>
            <wp:extent cx="27774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231F20"/>
        </w:rPr>
        <w:t>Moran Shemesh Rojansky</w:t>
      </w:r>
    </w:p>
    <w:p>
      <w:pPr>
        <w:spacing w:after="0" w:line="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the Chief Executive Officer of Mobileye Global Inc. pursuant to 18 U.S.C. § 1350 as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20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March 29, 2025 as filed with the Securities and Exchange Commission on the date hereof (the “Report”), I, </w:t>
      </w:r>
      <w:r>
        <w:rPr>
          <w:rFonts w:ascii="Times New Roman" w:cs="Times New Roman" w:eastAsia="Times New Roman" w:hAnsi="Times New Roman"/>
          <w:sz w:val="18"/>
          <w:szCs w:val="18"/>
          <w:color w:val="231F20"/>
        </w:rPr>
        <w:t>Professor Amnon Shashua</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24765</wp:posOffset>
            </wp:positionV>
            <wp:extent cx="27774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231F20"/>
        </w:rPr>
        <w:t>Professor Amnon Shashua</w:t>
      </w:r>
    </w:p>
    <w:p>
      <w:pPr>
        <w:spacing w:after="0" w:line="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spacing w:after="0" w:line="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ind w:left="90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the Chief Financial Officer of Mobileye Global Inc. pursuant to 18 U.S.C. § 1350 as adopted pursuant to Section 906 of the Sarbanes-Oxley Act of 2002.</w:t>
      </w:r>
    </w:p>
    <w:p>
      <w:pPr>
        <w:spacing w:after="0" w:line="15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March 29, 2025 as filed with the Securities and Exchange Commission on the date hereof (the “Report”), 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24765</wp:posOffset>
            </wp:positionV>
            <wp:extent cx="27774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231F20"/>
        </w:rPr>
        <w:t>Moran Shemesh Rojansky</w:t>
      </w:r>
    </w:p>
    <w:p>
      <w:pPr>
        <w:spacing w:after="0" w:line="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2025-04-24T15:28:09Z</dcterms:created>
  <dcterms:modified xsi:type="dcterms:W3CDTF">2025-04-24T15:28:09Z</dcterms:modified>
</cp:coreProperties>
</file>