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26, 2023</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79"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Har Hotzvim, 13 Hartom Street</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P.O. Box 45157</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Jerusalem 9777513, Israel</w:t>
      </w:r>
    </w:p>
    <w:p>
      <w:pPr>
        <w:spacing w:after="0" w:line="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9777513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7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310" w:type="dxa"/>
        <w:tblCellMar>
          <w:top w:w="0" w:type="dxa"/>
          <w:left w:w="0" w:type="dxa"/>
          <w:bottom w:w="0" w:type="dxa"/>
          <w:right w:w="0" w:type="dxa"/>
        </w:tblCellMar>
      </w:tblPr>
      <w:tr>
        <w:trPr>
          <w:trHeight w:val="215"/>
        </w:trPr>
        <w:tc>
          <w:tcPr>
            <w:tcW w:w="4500" w:type="dxa"/>
            <w:vAlign w:val="bottom"/>
            <w:tcBorders>
              <w:top w:val="single" w:sz="8" w:color="auto"/>
              <w:left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spacing w:after="0"/>
              <w:rPr>
                <w:sz w:val="18"/>
                <w:szCs w:val="18"/>
                <w:color w:val="auto"/>
              </w:rPr>
            </w:pPr>
          </w:p>
        </w:tc>
        <w:tc>
          <w:tcPr>
            <w:tcW w:w="4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 A common stock, $0.01 par value</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 January 26, 2023 Mobileye Global Inc. issued a press release announcing its financial results for the quarter and year ended December 31, 2022.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74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60" w:type="dxa"/>
            <w:vAlign w:val="bottom"/>
            <w:gridSpan w:val="2"/>
          </w:tcPr>
          <w:p>
            <w:pPr>
              <w:ind w:left="4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8"/>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Mobileye Global Inc. on January 26, 2023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02"/>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Anat Heller</w:t>
      </w:r>
    </w:p>
    <w:p>
      <w:pPr>
        <w:spacing w:after="0" w:line="9"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Discloses Fourth-Quarter and Full-Year 2022 Results and Business Update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59% year over year to $565 million in the fourth quarter.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(GAAP) was $0.04 and Adjusted Diluted EPS (Non-GAAP) was $0.27 in the fourth quarter.</w:t>
      </w:r>
    </w:p>
    <w:p>
      <w:pPr>
        <w:spacing w:after="0" w:line="228" w:lineRule="exact"/>
        <w:rPr>
          <w:rFonts w:ascii="Times New Roman" w:cs="Times New Roman" w:eastAsia="Times New Roman" w:hAnsi="Times New Roman"/>
          <w:sz w:val="18"/>
          <w:szCs w:val="18"/>
          <w:color w:val="auto"/>
        </w:rPr>
      </w:pPr>
    </w:p>
    <w:p>
      <w:pPr>
        <w:ind w:left="660" w:hanging="328"/>
        <w:spacing w:after="0" w:line="20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Future business backlog continues to grow, with 2022 ADAS (including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design wins projected to generate future revenue of $6.7 billion across 64 million units by 2030.</w:t>
      </w:r>
      <w:r>
        <w:rPr>
          <w:rFonts w:ascii="Times New Roman" w:cs="Times New Roman" w:eastAsia="Times New Roman" w:hAnsi="Times New Roman"/>
          <w:sz w:val="29"/>
          <w:szCs w:val="29"/>
          <w:color w:val="auto"/>
          <w:vertAlign w:val="superscript"/>
        </w:rPr>
        <w:t>1</w:t>
      </w:r>
    </w:p>
    <w:p>
      <w:pPr>
        <w:spacing w:after="0" w:line="81" w:lineRule="exact"/>
        <w:rPr>
          <w:rFonts w:ascii="Times New Roman" w:cs="Times New Roman" w:eastAsia="Times New Roman" w:hAnsi="Times New Roman"/>
          <w:sz w:val="36"/>
          <w:szCs w:val="36"/>
          <w:color w:val="auto"/>
          <w:vertAlign w:val="superscript"/>
        </w:rPr>
      </w:pPr>
    </w:p>
    <w:p>
      <w:pPr>
        <w:ind w:left="660" w:right="2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Advanced ADAS products, such as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contributed meaningfully to our revenue growth and resulted in Average System Price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increasing to $56.2 in fourth quarter 2022 from $48.3 in the prior year period.</w:t>
      </w:r>
    </w:p>
    <w:p>
      <w:pPr>
        <w:spacing w:after="0" w:line="198" w:lineRule="exact"/>
        <w:rPr>
          <w:rFonts w:ascii="Times New Roman" w:cs="Times New Roman" w:eastAsia="Times New Roman" w:hAnsi="Times New Roman"/>
          <w:sz w:val="36"/>
          <w:szCs w:val="36"/>
          <w:color w:val="auto"/>
          <w:vertAlign w:val="superscript"/>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net cash from operating activities of $546 million in the year ended December 31, 2022. Our balance sheet is strong with $1.0 billion of cash and cash equivalents and zero debt as of December 31, 2022.</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JERUSALEM – Jan. 26, 2023 – Mobileye Global Inc. (Nasdaq: MBLY) (“Mobileye”) today released its financial results for the three months and for the year ended December 31, 2022.</w:t>
      </w:r>
    </w:p>
    <w:p>
      <w:pPr>
        <w:spacing w:after="0" w:line="162" w:lineRule="exact"/>
        <w:rPr>
          <w:sz w:val="20"/>
          <w:szCs w:val="20"/>
          <w:color w:val="auto"/>
        </w:rPr>
      </w:pPr>
    </w:p>
    <w:p>
      <w:pPr>
        <w:jc w:val="both"/>
        <w:ind w:firstLine="162"/>
        <w:spacing w:after="0" w:line="232" w:lineRule="auto"/>
        <w:rPr>
          <w:sz w:val="20"/>
          <w:szCs w:val="20"/>
          <w:color w:val="auto"/>
        </w:rPr>
      </w:pPr>
      <w:r>
        <w:rPr>
          <w:rFonts w:ascii="Times New Roman" w:cs="Times New Roman" w:eastAsia="Times New Roman" w:hAnsi="Times New Roman"/>
          <w:sz w:val="18"/>
          <w:szCs w:val="18"/>
          <w:color w:val="auto"/>
        </w:rPr>
        <w:t>“Our fourth quarter performance is an excellent example of how ramping volumes of our advanced solutions can impact financial performance, as higher average system price amplified strong volume growth, leading to 59% overall revenue growth,” said Mobileye President and CEO Prof. Amnon Shashua. “I’m also very pleased with our business development traction as our OEM customers are increasingly recognizing the scalability of our product portfolio for the following reasons: 1) Adopting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an eyes-on, hands-off ADAS system operating across a broad operational design domain (ODD)</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makes scaling to eyes-off autonomous systems an incremental step rather than a series of moonshots; 2) Mobileye’s EyeQ Kit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development kit, developed over the last five years, enables OEMs to differentiate their systems on top of our core technology assets; and, 3) Regulatory and consumer proof-points will be increasingly important and Mobileye has a clear, multi-pronged approach for data-driven validation. As planned, we will continue to invest heavily (while maintaining strong profitability) during 2023 to productize and launch our advanced solutions as my confidence level on delivering high returns to all stakeholders has never been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and Full-Year 2022 Business Highlights</w:t>
      </w:r>
    </w:p>
    <w:p>
      <w:pPr>
        <w:spacing w:after="0" w:line="229" w:lineRule="exact"/>
        <w:rPr>
          <w:sz w:val="20"/>
          <w:szCs w:val="20"/>
          <w:color w:val="auto"/>
        </w:rPr>
      </w:pPr>
    </w:p>
    <w:p>
      <w:pPr>
        <w:jc w:val="both"/>
        <w:ind w:left="660" w:hanging="328"/>
        <w:spacing w:after="0" w:line="27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activity was very robust in 2022. As disclosed in our CES presentation, projected future revenue (through 2030) from design wins achieved in just 2022 alone totaled $6.7 billion across 63.6 million incremental units. This is more than 3.5x the revenue we generated in 2022 and the projected average system price indicates strong traction for our advanced solutions.</w:t>
      </w:r>
      <w:r>
        <w:rPr>
          <w:rFonts w:ascii="Times New Roman" w:cs="Times New Roman" w:eastAsia="Times New Roman" w:hAnsi="Times New Roman"/>
          <w:sz w:val="29"/>
          <w:szCs w:val="29"/>
          <w:color w:val="auto"/>
          <w:vertAlign w:val="superscript"/>
        </w:rPr>
        <w:t>1</w:t>
      </w:r>
    </w:p>
    <w:p>
      <w:pPr>
        <w:spacing w:after="0" w:line="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execute very well in our core ADAS business, as we launched systems into 233 distinct vehicle models in 2022 and pricing and gross profit per unit remained consistent with historical levels.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9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ECU shipments to ZEEKR were over 90,000 units in 2022 and we are prepared for a series of launches on additional ZEEKR models as well as for multiple other brands under the Geely Holding Group umbrella during 2023. Demand for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continues to run above our ability to supply (certain ECU components are still somewhat constrained, particularly in 1st half 2023). We expect volumes to more than double year over year in 2023 but we expect shipments to be significantly higher in the 2nd half of 2023 as compared to the first half.</w:t>
      </w:r>
    </w:p>
    <w:p>
      <w:pPr>
        <w:spacing w:after="0" w:line="202" w:lineRule="exact"/>
        <w:rPr>
          <w:rFonts w:ascii="Times New Roman" w:cs="Times New Roman" w:eastAsia="Times New Roman" w:hAnsi="Times New Roman"/>
          <w:sz w:val="36"/>
          <w:szCs w:val="36"/>
          <w:color w:val="auto"/>
          <w:vertAlign w:val="superscript"/>
        </w:rPr>
      </w:pPr>
    </w:p>
    <w:p>
      <w:pPr>
        <w:jc w:val="both"/>
        <w:ind w:left="660" w:hanging="328"/>
        <w:spacing w:after="0" w:line="186"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We recently kicked off development with a premium European automaker for a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program targeting delivery in 2025. Importantly, the scope of this strategic relationship expanded to include an eyes-off / hands-off Chauffeur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program. This trend is consistent with other OEMs where we are in advanced discussions and is a proof-point on our belief that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in addition to a near-term profit opportunity for our customers, also naturally serves as a scalable foundation for Consumer AV.</w:t>
      </w:r>
    </w:p>
    <w:p>
      <w:pPr>
        <w:spacing w:after="0" w:line="203" w:lineRule="exact"/>
        <w:rPr>
          <w:rFonts w:ascii="Times New Roman" w:cs="Times New Roman" w:eastAsia="Times New Roman" w:hAnsi="Times New Roman"/>
          <w:sz w:val="36"/>
          <w:szCs w:val="36"/>
          <w:color w:val="auto"/>
          <w:vertAlign w:val="superscript"/>
        </w:rPr>
      </w:pPr>
    </w:p>
    <w:p>
      <w:pPr>
        <w:jc w:val="both"/>
        <w:ind w:left="660" w:hanging="328"/>
        <w:spacing w:after="0" w:line="181" w:lineRule="auto"/>
        <w:tabs>
          <w:tab w:leader="none" w:pos="660" w:val="left"/>
        </w:tabs>
        <w:numPr>
          <w:ilvl w:val="0"/>
          <w:numId w:val="3"/>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We continue to build strong relationships with Mobility-as-a-Service customers, both on the demand and supply side, with our Mobileye Drive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8"/>
          <w:szCs w:val="18"/>
          <w:color w:val="auto"/>
        </w:rPr>
        <w:t xml:space="preserve"> self-driving system serving as the enabler. In a recent development, we secured one such program with a leading EU light commercial vehicle OEM.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Fourth Quarter 2022 Financial Summary and Key Explanations (Unaudited)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Q4 2022</w:t>
            </w:r>
          </w:p>
        </w:tc>
        <w:tc>
          <w:tcPr>
            <w:tcW w:w="20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Q4 2021</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Y/Y</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+984bps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+1,661bps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Q4 2022</w:t>
            </w:r>
          </w:p>
        </w:tc>
        <w:tc>
          <w:tcPr>
            <w:tcW w:w="1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Q4 2021</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Y/Y</w:t>
            </w:r>
          </w:p>
        </w:tc>
      </w:tr>
      <w:tr>
        <w:trPr>
          <w:trHeight w:val="209"/>
        </w:trPr>
        <w:tc>
          <w:tcPr>
            <w:tcW w:w="6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(339)bps</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+440bps</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2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$565 million increased 59% as compared to fourth quarter of 2021. EyeQ® SoC-related revenue grew 48% in the quarter due to a combination of volume and ASP growth. The remaining growth was primarily generated by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related revenue, despite this product being less than 1% of our overall unit volume.</w:t>
      </w:r>
    </w:p>
    <w:p>
      <w:pPr>
        <w:spacing w:after="0" w:line="20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System Price was $56.2 in fourth quarter 2022 as compared to $48.3 in the prior year period, driven primarily by increased mix of advanced products. Price increases to offset the increased cost of our EyeQ chip due to global inflationary pressures also contributed to the Average System Price increase but to a lesser extent.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7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by nearly 10 percentage points in the fourth quarter 2022 as compared to the prior year period. This increase was primarily due to the lower impact of the cost attributable to amortization of intangible assets as a percentage of revenue, partially offset by increased sales of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which contributes lower percentage gross margin given the greater hardware content in this product.</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(a non-GAAP measure) declined by 3 percentage points in the fourth quarter 2022 as compared to the prior year period. The year over year decrease was primarily due to increased sales of SuperVision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which contributes higher gross profit dollars per unit but lower percentage gross margin given the greater hardware content. Adjusted Gross Margin on our core EyeQ® SoC line of products remained stable in the high 70% range.</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increased by over 16 percentage points on a year over year basis. The increase was primarily driven by conversion of revenue growth into gross profit that significantly outpaced year-over-year growth in operating expenses, as well as the lower impact of the cost attributable to amortization of intangible assets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328" w:hanging="328"/>
        <w:spacing w:after="0" w:line="261"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(a non-GAAP measure) increased by approximately 4 percentage points in the fourth quarter 2022 as compared to the prior year period. The increase was driven by conversion of revenue growth into gross profit that significantly outpaced year-over-year growth in operating expenses. Adjusted Operating Margin in fourth quarter 2022 was higher than our expectations due to a number of expense items that were projected for 2022 but shifted to 2023, primarily in the area of non-recurring engineering (NRE) development projects.</w:t>
      </w:r>
    </w:p>
    <w:p>
      <w:pPr>
        <w:spacing w:after="0" w:line="179"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for the year ended December 31, 2022 was $546 million. Purchases of property and equipment was $111 million for that same period.</w:t>
      </w:r>
    </w:p>
    <w:p>
      <w:pPr>
        <w:spacing w:after="0" w:line="202" w:lineRule="exact"/>
        <w:rPr>
          <w:sz w:val="20"/>
          <w:szCs w:val="20"/>
          <w:color w:val="auto"/>
        </w:rPr>
      </w:pPr>
    </w:p>
    <w:p>
      <w:pPr>
        <w:jc w:val="both"/>
        <w:ind w:left="8" w:hanging="8"/>
        <w:spacing w:after="0" w:line="210"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Mobileye’s revenue for the periods presented represent estimated volumes based on projections of future production volumes that were provided by our current and prospective OEMs at the time of sourcing the design wins for the models related to those design wins. See the disclaimer under the heading “Forward-Looking Statements” below for important limitations applicable to these estimates.</w:t>
      </w:r>
    </w:p>
    <w:p>
      <w:pPr>
        <w:spacing w:after="0" w:line="130" w:lineRule="exact"/>
        <w:rPr>
          <w:sz w:val="20"/>
          <w:szCs w:val="20"/>
          <w:color w:val="auto"/>
        </w:rPr>
      </w:pPr>
    </w:p>
    <w:p>
      <w:pPr>
        <w:ind w:left="108" w:hanging="108"/>
        <w:spacing w:after="0"/>
        <w:tabs>
          <w:tab w:leader="none" w:pos="108"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Average System Price is calculated as the sum of revenue related to EyeQ and SuperVision systems, divided by the number of systems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274320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Financial Guidance for the 2023 Fiscal Year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information reflects Mobileye’s expectations for Revenue, Operating Loss and Adjusted Operating Income results for the year ending December 30, 2023. 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and, 2) Stock-based compensation expense. These statements represent forward-looking information and may not represent a financial outlook, and actual results may vary. Please see the risks and assumptions referred to in the Forward-Looking Statements section of this release.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Full Year 2023</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2,192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2,282</w:t>
            </w:r>
          </w:p>
        </w:tc>
        <w:tc>
          <w:tcPr>
            <w:tcW w:w="100" w:type="dxa"/>
            <w:vAlign w:val="bottom"/>
            <w:shd w:val="clear" w:color="auto" w:fill="CCEEFF"/>
          </w:tcPr>
          <w:p>
            <w:pPr>
              <w:spacing w:after="0"/>
              <w:rPr>
                <w:sz w:val="19"/>
                <w:szCs w:val="19"/>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w:t>
            </w:r>
          </w:p>
        </w:tc>
        <w:tc>
          <w:tcPr>
            <w:tcW w:w="9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9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Mobileye will host a conference call today, January 26, 2023, at 8:00am ET (3:00pm IT) to review its results and provide a general business update. The conference call will be accessible live via a webcast on Mobileye’s investor relations site, which can be found at ir.mobileye.com, and a replay of the webcast will be made available shortly after the event’s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as operating loss presented in accordance with GAAP, adjusted to exclude amortization of acquisition related intangibles, share-based compensation expenses and expenses related to our initial public offering that was completed on October 28, 2022, during the year ended December 31, 2022.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and expenses related to our initial public offering that was completed on October 28, 2022, during the year ended December 31, 2022,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(Earnings Per Share) is calculated by dividing Adjusted Net Income for the period by the weighted-average number of common shares outstanding during the period. Adjusted Diluted EPS is calculated by dividing Adjusted Net Income by the weighted-average number of common shares outstanding during the period, while giving effect to all potentially dilutive common shares to the extent they are dilutive.</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more than 125 million vehicles worldwide have been built with Mobileye technology inside. In 2022 Mobileye listed as an independent company separate from Intel (Nasdaq: INTC), which retains majority ownership. For more information, visit https://www.mobileye.com.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Mobileye’s Business Outlook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2023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Important factors that may materially affect such forward-looking statements and projections include the following: future business, social and 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future products and technology, and the expected availability and benefits of such products and technology; development of regulatory frameworks for current and future technology; projected cost and pricing trends; future production capacity and product supply, including our expectation that supply chain issues will ease in the second half of 2023;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addressable markets, estimated vehicle production and market opportunity, potential production volumes associated with design wins and other characterizations of future events or circumstances; future responses to and effects of the COVID-19 pandemic; availability, uses, sufficiency and cost of capital and capital resources, including expected returns to stockholders such as dividends, and the expected timing of future dividends; tax- and accounting-related expectation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Detailed information regarding these and other factors that could affect Mobileye’s business and results is included in Mobileye’s SEC filings, including the company’s Registration Statement (No. 333-267685) on Form S-1, particularly in the section entitled the “Risk Factors”. Copies of these filings may be obtained by visiting our Investor Relations website at ir.mobileye.com or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Full Year 2022 Financial Results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70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187"/>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161"/>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25,</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141"/>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25,</w:t>
            </w:r>
          </w:p>
        </w:tc>
        <w:tc>
          <w:tcPr>
            <w:tcW w:w="100" w:type="dxa"/>
            <w:vAlign w:val="bottom"/>
          </w:tcPr>
          <w:p>
            <w:pPr>
              <w:spacing w:after="0"/>
              <w:rPr>
                <w:sz w:val="16"/>
                <w:szCs w:val="16"/>
                <w:color w:val="auto"/>
              </w:rPr>
            </w:pPr>
          </w:p>
        </w:tc>
      </w:t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 amounts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731</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100" w:type="dxa"/>
            <w:vAlign w:val="bottom"/>
          </w:tcPr>
          <w:p>
            <w:pPr>
              <w:spacing w:after="0"/>
              <w:rPr>
                <w:sz w:val="18"/>
                <w:szCs w:val="18"/>
                <w:color w:val="auto"/>
              </w:rPr>
            </w:pPr>
          </w:p>
        </w:tc>
      </w:tr>
      <w:tr>
        <w:trPr>
          <w:trHeight w:val="230"/>
        </w:trPr>
        <w:tc>
          <w:tcPr>
            <w:tcW w:w="5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related party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with related party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194"/>
        </w:trPr>
        <w:tc>
          <w:tcPr>
            <w:tcW w:w="5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(in millions):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750</w:t>
            </w:r>
          </w:p>
        </w:tc>
      </w:tr>
      <w:tr>
        <w:trPr>
          <w:trHeight w:val="432"/>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25,</w:t>
            </w:r>
          </w:p>
        </w:tc>
        <w:tc>
          <w:tcPr>
            <w:tcW w:w="0" w:type="dxa"/>
            <w:vAlign w:val="bottom"/>
          </w:tcPr>
          <w:p>
            <w:pPr>
              <w:spacing w:after="0"/>
              <w:rPr>
                <w:sz w:val="1"/>
                <w:szCs w:val="1"/>
                <w:color w:val="auto"/>
              </w:rPr>
            </w:pPr>
          </w:p>
        </w:tc>
      </w:t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 receivables,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 loan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13,925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15,441</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3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14,794</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15,889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15,441</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16,655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187"/>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25,</w:t>
            </w:r>
          </w:p>
        </w:tc>
        <w:tc>
          <w:tcPr>
            <w:tcW w:w="100" w:type="dxa"/>
            <w:vAlign w:val="bottom"/>
          </w:tcPr>
          <w:p>
            <w:pPr>
              <w:spacing w:after="0"/>
              <w:rPr>
                <w:sz w:val="16"/>
                <w:szCs w:val="16"/>
                <w:color w:val="auto"/>
              </w:rPr>
            </w:pPr>
          </w:p>
        </w:tc>
      </w:tr>
      <w:tr>
        <w:trPr>
          <w:trHeight w:val="238"/>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Dividend Note,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with related party,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trade accounts receivables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account payables and accrued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 term benefits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other current-liabilities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other long term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long-term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 of loan due from related party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loan to related party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Business combination deferred consideration payment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paid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initial public offering, net of offering costs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transaction in connection with the legal purchase of Moovit entities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 of Dividend Note with related party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year</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w:t>
            </w:r>
          </w:p>
        </w:tc>
        <w:tc>
          <w:tcPr>
            <w:tcW w:w="100" w:type="dxa"/>
            <w:vAlign w:val="bottom"/>
            <w:tcBorders>
              <w:top w:val="single" w:sz="8" w:color="CCEEFF"/>
            </w:tcBorders>
            <w:shd w:val="clear" w:color="auto" w:fill="CCEEFF"/>
          </w:tcPr>
          <w:p>
            <w:pPr>
              <w:spacing w:after="0"/>
              <w:rPr>
                <w:sz w:val="18"/>
                <w:szCs w:val="18"/>
                <w:color w:val="auto"/>
              </w:rPr>
            </w:pPr>
          </w:p>
        </w:tc>
      </w:tr>
      <w:tr>
        <w:trPr>
          <w:trHeight w:val="425"/>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19"/>
                <w:szCs w:val="19"/>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25, 2021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19"/>
                <w:szCs w:val="19"/>
                <w:color w:val="auto"/>
              </w:rPr>
            </w:pPr>
          </w:p>
        </w:tc>
        <w:tc>
          <w:tcPr>
            <w:tcW w:w="16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25, 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vMerge w:val="restart"/>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of</w:t>
            </w: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 intangible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Adjusted gross margin is calculated as adjusted gross profit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and Margin to Non-GAAP Adjusted Operating Income and Margin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19"/>
                <w:szCs w:val="19"/>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25, 2021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19"/>
                <w:szCs w:val="19"/>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25, 2021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vMerge w:val="restart"/>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3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Expenses related to the IPO</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Adjusted operating margin is calculated as adjusted operating income as a percentage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to Non-GAAP Adjusted Net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19"/>
                <w:szCs w:val="19"/>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25, 2021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19"/>
                <w:szCs w:val="19"/>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25, 2021</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 of</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Expenses related to the IPO</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425"/>
        </w:trPr>
        <w:tc>
          <w:tcPr>
            <w:tcW w:w="2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 - Average System Price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Q4 2021</w:t>
            </w:r>
          </w:p>
        </w:tc>
        <w:tc>
          <w:tcPr>
            <w:tcW w:w="14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Q1 2022</w:t>
            </w:r>
          </w:p>
        </w:tc>
        <w:tc>
          <w:tcPr>
            <w:tcW w:w="14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Q2 2022</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Q3 2022</w:t>
            </w:r>
          </w:p>
        </w:tc>
        <w:tc>
          <w:tcPr>
            <w:tcW w:w="12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Q4 2022</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EyeQ and SuperVision revenue (U.S. dollars in millions)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2023-01-26T05:47:04Z</dcterms:created>
  <dcterms:modified xsi:type="dcterms:W3CDTF">2023-01-26T05:47:04Z</dcterms:modified>
</cp:coreProperties>
</file>