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5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20"/>
              <w:spacing w:after="0"/>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GENERAL ATLANTIC,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58"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SERVICE CO., L.P.</w:t>
      </w:r>
    </w:p>
    <w:p>
      <w:pPr>
        <w:spacing w:after="0" w:line="56"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55 EAST 52ND STREET, 33RD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10055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0" w:right="479" w:bottom="58"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4,761,905</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(2)(3)(4)</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GENERAL ATLANTIC,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7"/>
              </w:rPr>
              <w:t>C/O GENERAL ATLANTIC SERVICE CO.,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 EAST 52ND STREET, 33RD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84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GAP (Bermuda) L.P.</w:t>
              </w:r>
            </w:hyperlink>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CONYERS CLIENT SERVICES LIMITED,</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CLARENDON HOUSE, 2 CHURCH STREET</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58"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HAMILTON</w:t>
      </w:r>
      <w:r>
        <w:rPr>
          <w:sz w:val="20"/>
          <w:szCs w:val="20"/>
          <w:color w:val="auto"/>
        </w:rPr>
        <w:tab/>
      </w:r>
      <w:r>
        <w:rPr>
          <w:rFonts w:ascii="Times New Roman" w:cs="Times New Roman" w:eastAsia="Times New Roman" w:hAnsi="Times New Roman"/>
          <w:sz w:val="20"/>
          <w:szCs w:val="20"/>
          <w:color w:val="0000FF"/>
        </w:rPr>
        <w:t>D0</w:t>
      </w:r>
      <w:r>
        <w:rPr>
          <w:sz w:val="20"/>
          <w:szCs w:val="20"/>
          <w:color w:val="auto"/>
        </w:rPr>
        <w:tab/>
      </w:r>
      <w:r>
        <w:rPr>
          <w:rFonts w:ascii="Times New Roman" w:cs="Times New Roman" w:eastAsia="Times New Roman" w:hAnsi="Times New Roman"/>
          <w:sz w:val="18"/>
          <w:szCs w:val="18"/>
          <w:color w:val="0000FF"/>
        </w:rPr>
        <w:t>HM 11</w:t>
      </w:r>
    </w:p>
    <w:p>
      <w:pPr>
        <w:sectPr>
          <w:pgSz w:w="11900" w:h="16838" w:orient="portrait"/>
          <w:cols w:equalWidth="0" w:num="1">
            <w:col w:w="10940"/>
          </w:cols>
          <w:pgMar w:left="480" w:top="230" w:right="479" w:bottom="58" w:gutter="0" w:footer="0" w:header="0"/>
          <w:type w:val="continuous"/>
        </w:sectPr>
      </w:pPr>
    </w:p>
    <w:bookmarkStart w:id="1" w:name="page2"/>
    <w:bookmarkEnd w:id="1"/>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-99695</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GENERAL ATLANTIC GENPAR</w:t>
        </w:r>
      </w:hyperlink>
    </w:p>
    <w:p>
      <w:pPr>
        <w:spacing w:after="0" w:line="1" w:lineRule="exact"/>
        <w:rPr>
          <w:sz w:val="20"/>
          <w:szCs w:val="20"/>
          <w:color w:val="auto"/>
        </w:rPr>
      </w:pPr>
    </w:p>
    <w:p>
      <w:pPr>
        <w:ind w:left="4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(BERMUDA),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CONYERS CLIENT SERVICES LIMITED,</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CLARENDON HOUSE, 2 CHURCH STREET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HAMILTON</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D0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HM 11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General Atlantic (Lux) S.a r.l.</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412F, ROUTE D'ESCH</w:t>
            </w:r>
          </w:p>
        </w:tc>
        <w:tc>
          <w:tcPr>
            <w:tcW w:w="18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LUITPOLDBLOCK AMIRAPLATZ 3</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L-1471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General Atlantic GenPar (Lux) SCSp</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412F, ROUTE D'ESCH</w:t>
            </w:r>
          </w:p>
        </w:tc>
        <w:tc>
          <w:tcPr>
            <w:tcW w:w="18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LUITPOLDBLOCK AMIRAPLATZ 3</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L-1471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General Atlantic Partners (Lux), SCSp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412F, ROUTE D'ESCH</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LUITPOLDBLOCK AMIRAPLATZ 3</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L-1471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General Atlantic Partners 100,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7"/>
                <w:szCs w:val="17"/>
                <w:color w:val="auto"/>
              </w:rPr>
            </w:pPr>
          </w:p>
        </w:tc>
      </w:tr>
      <w:tr>
        <w:trPr>
          <w:trHeight w:val="265"/>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 YORK    NY</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10055</w:t>
            </w:r>
          </w:p>
        </w:tc>
      </w:tr>
    </w:tbl>
    <w:p>
      <w:pPr>
        <w:spacing w:after="0" w:line="200" w:lineRule="exact"/>
        <w:rPr>
          <w:sz w:val="20"/>
          <w:szCs w:val="20"/>
          <w:color w:val="auto"/>
        </w:rPr>
      </w:pPr>
    </w:p>
    <w:p>
      <w:pPr>
        <w:sectPr>
          <w:pgSz w:w="11900" w:h="16838" w:orient="portrait"/>
          <w:cols w:equalWidth="0" w:num="1">
            <w:col w:w="9879"/>
          </w:cols>
          <w:pgMar w:left="580" w:top="125" w:right="1440" w:bottom="0" w:gutter="0" w:footer="0" w:header="0"/>
        </w:sectPr>
      </w:pPr>
    </w:p>
    <w:p>
      <w:pPr>
        <w:spacing w:after="0" w:line="14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9879"/>
          </w:cols>
          <w:pgMar w:left="580" w:top="125" w:right="1440" w:bottom="0" w:gutter="0" w:footer="0" w:header="0"/>
          <w:type w:val="continuous"/>
        </w:sectPr>
      </w:pPr>
    </w:p>
    <w:bookmarkStart w:id="2" w:name="page3"/>
    <w:bookmarkEnd w:id="2"/>
    <w:p>
      <w:pPr>
        <w:spacing w:after="0" w:line="39"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-158750</wp:posOffset>
            </wp:positionV>
            <wp:extent cx="2798445" cy="6177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6177915"/>
                    </a:xfrm>
                    <a:prstGeom prst="rect">
                      <a:avLst/>
                    </a:prstGeom>
                    <a:noFill/>
                  </pic:spPr>
                </pic:pic>
              </a:graphicData>
            </a:graphic>
          </wp:anchor>
        </w:drawing>
      </w:r>
    </w:p>
    <w:p>
      <w:pPr>
        <w:ind w:left="10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GENERAL ATLANTIC GENPAR,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General Atlantic Partners (Bermuda) EU,</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CONYERS CLIENT SERVICES LIMITED,</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CLARENDON HOUSE, 2 CHURCH STREET</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HAMILTON</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D0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HM 11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General Atlantic (SPV) GP,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4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ownership is reported as of October 26, 2022. On October 28, 2022, Mobileye Global Inc. (the "Issuer") issued an additional 6,150,000 shares of Class A common stock pursuant to the exercise by underwriters of their overallotment option in full in connection with the closing of the Issuer's initial public offering. As a result of this issuance, the Reporting Persons own less than 10% of the Issuer's Class A common stock as of the date of filing of this Form 3 and are no longer required to file reports under Section 16 of the Securities Exchange Act of 1934, as amended, with respect to the Issuer.</w:t>
      </w:r>
    </w:p>
    <w:p>
      <w:pPr>
        <w:spacing w:after="0" w:line="33" w:lineRule="exact"/>
        <w:rPr>
          <w:rFonts w:ascii="Times New Roman" w:cs="Times New Roman" w:eastAsia="Times New Roman" w:hAnsi="Times New Roman"/>
          <w:sz w:val="15"/>
          <w:szCs w:val="15"/>
          <w:color w:val="008000"/>
        </w:rPr>
      </w:pPr>
    </w:p>
    <w:p>
      <w:pPr>
        <w:ind w:right="2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held directly by General Atlantic (ME), L.P. ("GA ME"), a Delaware limited partnership. The limited partners of GA ME are the following investment funds (the "GA Funds"): General Atlantic Partners 100, L.P., a Delaware limited partnership ("GAP 100"), General Atlantic Partners (Bermuda) EU, L.P., a Bermuda limited partnership ("GAP Bermuda EU"), General Atlantic Partners (Lux) SCSp, a Luxembourg special limited partnership ("GAP Lux"), GAP Coinvestments CDA, L.P., a Delaware limited partnership ("GAPCO CDA"), GAP Coinvestments III, LLC, a Delaware limited liability company ("GAPCO III"), GAP Coinvestments IV, LLC, a Delaware limited liability company ("GAPCO IV"), and GAP Coinvestments V, LLC, a Delaware limited liability company ("GAPCO V").</w:t>
      </w:r>
    </w:p>
    <w:p>
      <w:pPr>
        <w:spacing w:after="0" w:line="33" w:lineRule="exact"/>
        <w:rPr>
          <w:rFonts w:ascii="Times New Roman" w:cs="Times New Roman" w:eastAsia="Times New Roman" w:hAnsi="Times New Roman"/>
          <w:sz w:val="15"/>
          <w:szCs w:val="15"/>
          <w:color w:val="008000"/>
        </w:rPr>
      </w:pPr>
    </w:p>
    <w:p>
      <w:pPr>
        <w:jc w:val="both"/>
        <w:ind w:right="1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general partner of GA (ME) is General Atlantic (SPV) GP, LLC, a Delaware limited liability company ("GA SPV"). The general partner of GAP Lux is General Atlantic GenPar, (Lux) SCSp, a Luxembourg special limited partnership ("GA GenPar Lux") and the general partner of GA GenPar Lux is General Atlantic (Lux) S.a.r.l., a Luxembourg company ("GA Lux"). The general partner of GAP Bermuda EU and the sole shareholder of GA Lux is General Atlantic GenPar (Bermuda), L.P., a Bermuda limited partnership ("GenPar Bermuda"). GAP (Bermuda) L.P. ("GAP (Bermuda) LP") is the general partner of GenPar Bermuda.</w:t>
      </w:r>
    </w:p>
    <w:p>
      <w:pPr>
        <w:spacing w:after="0" w:line="33"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general partner of GAP 100 is General Atlantic GenPar, L.P., a Delaware limited partnership ("GA GenPar"). General Atlantic, L.P., a Delaware limited partnership ("GA LP"), which is controlled by the Management Committee of GASC MGP, LLC (the "Management Committee"), is the managing member of GAPCO III, GAPCO IV and GAPCO V, the general partner of GAPCO CDA and GA GenPar, and the sole member of GA SPV. GAP Bermuda is also controlled by the Management Committee. There are nine members of the Management Committee. By virtue of the foregoing, the Reporting Persons may be deemed to share voting power and the power to direct the disposition of the shares that each owns of record. Each of the members of the Management Committee disclaims ownership of the shares except to the extent he has a pecuniary interest therein.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008000"/>
        </w:rPr>
        <w:t>GA ME, the GA Funds, GA SPV, GA GenPar Lux, GA Lux, GenPar Bermuda, GAP (Bermuda) LP, GA GenPar, and GA LP may be deemed to be members of a "group" for the purposes of the Securities Exchange Act of 1934.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 Form 1 of 2</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Michael Gosk</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Michael Gosk</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Michael Gosk</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Gregor Dalrymple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Gregor Dalrymple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bl>
    <w:p>
      <w:pPr>
        <w:sectPr>
          <w:pgSz w:w="11900" w:h="16877" w:orient="portrait"/>
          <w:cols w:equalWidth="0" w:num="1">
            <w:col w:w="10760"/>
          </w:cols>
          <w:pgMar w:left="520" w:top="103" w:right="619" w:bottom="0" w:gutter="0" w:footer="0" w:header="0"/>
        </w:sectPr>
      </w:pPr>
    </w:p>
    <w:bookmarkStart w:id="3" w:name="page4"/>
    <w:bookmarkEnd w:id="3"/>
    <w:p>
      <w:pPr>
        <w:spacing w:after="0" w:line="1"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Gregor Dalrymple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80"/>
        </w:trPr>
        <w:tc>
          <w:tcPr>
            <w:tcW w:w="1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rPr>
              <w:t>/s/ Michael Gosk</w:t>
            </w:r>
          </w:p>
        </w:tc>
        <w:tc>
          <w:tcPr>
            <w:tcW w:w="52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4"/>
              </w:rPr>
              <w:t>11/07/2022</w:t>
            </w:r>
          </w:p>
        </w:tc>
      </w:tr>
      <w:tr>
        <w:trPr>
          <w:trHeight w:val="20"/>
        </w:trPr>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10" Type="http://schemas.openxmlformats.org/officeDocument/2006/relationships/hyperlink" Target="http://www.sec.gov/cgi-bin/browse-edgar?action=getcompany&amp;CIK=0001017645" TargetMode="External"/><Relationship Id="rId11" Type="http://schemas.openxmlformats.org/officeDocument/2006/relationships/hyperlink" Target="http://www.sec.gov/cgi-bin/browse-edgar?action=getcompany&amp;CIK=0001910139" TargetMode="External"/><Relationship Id="rId12" Type="http://schemas.openxmlformats.org/officeDocument/2006/relationships/hyperlink" Target="http://www.sec.gov/cgi-bin/browse-edgar?action=getcompany&amp;CIK=0001406817" TargetMode="External"/><Relationship Id="rId14" Type="http://schemas.openxmlformats.org/officeDocument/2006/relationships/hyperlink" Target="http://www.sec.gov/cgi-bin/browse-edgar?action=getcompany&amp;CIK=0001467927" TargetMode="External"/><Relationship Id="rId15" Type="http://schemas.openxmlformats.org/officeDocument/2006/relationships/hyperlink" Target="http://www.sec.gov/cgi-bin/browse-edgar?action=getcompany&amp;CIK=0001858361" TargetMode="External"/><Relationship Id="rId16" Type="http://schemas.openxmlformats.org/officeDocument/2006/relationships/hyperlink" Target="http://www.sec.gov/cgi-bin/browse-edgar?action=getcompany&amp;CIK=0001857517" TargetMode="External"/><Relationship Id="rId17" Type="http://schemas.openxmlformats.org/officeDocument/2006/relationships/hyperlink" Target="http://www.sec.gov/cgi-bin/browse-edgar?action=getcompany&amp;CIK=0001795410" TargetMode="External"/><Relationship Id="rId18" Type="http://schemas.openxmlformats.org/officeDocument/2006/relationships/hyperlink" Target="http://www.sec.gov/cgi-bin/browse-edgar?action=getcompany&amp;CIK=0001704892" TargetMode="External"/><Relationship Id="rId20" Type="http://schemas.openxmlformats.org/officeDocument/2006/relationships/hyperlink" Target="http://www.sec.gov/cgi-bin/browse-edgar?action=getcompany&amp;CIK=0001467926" TargetMode="External"/><Relationship Id="rId21" Type="http://schemas.openxmlformats.org/officeDocument/2006/relationships/hyperlink" Target="http://www.sec.gov/cgi-bin/browse-edgar?action=getcompany&amp;CIK=0001701754" TargetMode="External"/><Relationship Id="rId22" Type="http://schemas.openxmlformats.org/officeDocument/2006/relationships/hyperlink" Target="http://www.sec.gov/cgi-bin/browse-edgar?action=getcompany&amp;CIK=0001793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2022-11-07T15:54:19Z</dcterms:created>
  <dcterms:modified xsi:type="dcterms:W3CDTF">2022-11-07T15:54:19Z</dcterms:modified>
</cp:coreProperties>
</file>