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w:t>
      </w:r>
    </w:p>
    <w:p>
      <w:pPr>
        <w:spacing w:after="0" w:line="200" w:lineRule="exact"/>
        <w:rPr>
          <w:sz w:val="24"/>
          <w:szCs w:val="24"/>
          <w:color w:val="auto"/>
        </w:rPr>
      </w:pPr>
    </w:p>
    <w:p>
      <w:pPr>
        <w:spacing w:after="0" w:line="301" w:lineRule="exact"/>
        <w:rPr>
          <w:sz w:val="24"/>
          <w:szCs w:val="24"/>
          <w:color w:val="auto"/>
        </w:rPr>
      </w:pPr>
    </w:p>
    <w:p>
      <w:pPr>
        <w:ind w:left="3080"/>
        <w:spacing w:after="0"/>
        <w:rPr>
          <w:sz w:val="20"/>
          <w:szCs w:val="20"/>
          <w:color w:val="auto"/>
        </w:rPr>
      </w:pPr>
      <w:r>
        <w:rPr>
          <w:rFonts w:ascii="Arial" w:cs="Arial" w:eastAsia="Arial" w:hAnsi="Arial"/>
          <w:sz w:val="16"/>
          <w:szCs w:val="16"/>
          <w:b w:val="1"/>
          <w:bCs w:val="1"/>
          <w:color w:val="auto"/>
        </w:rPr>
        <w:t>As filed with the Securities and Exchange Commission on June 7, 2023.</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333-   ​</w:t>
      </w:r>
    </w:p>
    <w:p>
      <w:pPr>
        <w:ind w:left="500"/>
        <w:spacing w:after="0" w:line="219" w:lineRule="auto"/>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2"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UNITED STATES</w:t>
      </w:r>
    </w:p>
    <w:p>
      <w:pPr>
        <w:jc w:val="center"/>
        <w:ind w:right="-459"/>
        <w:spacing w:after="0" w:line="219" w:lineRule="auto"/>
        <w:rPr>
          <w:sz w:val="20"/>
          <w:szCs w:val="20"/>
          <w:color w:val="auto"/>
        </w:rPr>
      </w:pPr>
      <w:r>
        <w:rPr>
          <w:rFonts w:ascii="Arial" w:cs="Arial" w:eastAsia="Arial" w:hAnsi="Arial"/>
          <w:sz w:val="29"/>
          <w:szCs w:val="29"/>
          <w:b w:val="1"/>
          <w:bCs w:val="1"/>
          <w:color w:val="auto"/>
        </w:rPr>
        <w:t>SECURITIES AND EXCHANGE COMMISSION</w:t>
      </w:r>
    </w:p>
    <w:p>
      <w:pPr>
        <w:ind w:left="44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67310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S-1</w:t>
      </w:r>
    </w:p>
    <w:p>
      <w:pPr>
        <w:spacing w:after="0" w:line="8"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REGISTRATION STATEMENT</w:t>
      </w:r>
    </w:p>
    <w:p>
      <w:pPr>
        <w:jc w:val="center"/>
        <w:ind w:right="-459"/>
        <w:spacing w:after="0" w:line="228" w:lineRule="auto"/>
        <w:rPr>
          <w:sz w:val="20"/>
          <w:szCs w:val="20"/>
          <w:color w:val="auto"/>
        </w:rPr>
      </w:pPr>
      <w:r>
        <w:rPr>
          <w:rFonts w:ascii="Arial" w:cs="Arial" w:eastAsia="Arial" w:hAnsi="Arial"/>
          <w:sz w:val="16"/>
          <w:szCs w:val="16"/>
          <w:b w:val="1"/>
          <w:bCs w:val="1"/>
          <w:i w:val="1"/>
          <w:i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67310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5"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Mobileye Global Inc.</w:t>
      </w:r>
    </w:p>
    <w:p>
      <w:pPr>
        <w:spacing w:after="0" w:line="29"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64770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6"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8"/>
              </w:rPr>
              <w:t>Delaware</w:t>
            </w:r>
          </w:p>
        </w:tc>
        <w:tc>
          <w:tcPr>
            <w:tcW w:w="600" w:type="dxa"/>
            <w:vAlign w:val="bottom"/>
          </w:tcPr>
          <w:p>
            <w:pPr>
              <w:ind w:left="340"/>
              <w:spacing w:after="0"/>
              <w:rPr>
                <w:sz w:val="20"/>
                <w:szCs w:val="20"/>
                <w:color w:val="auto"/>
              </w:rPr>
            </w:pPr>
            <w:r>
              <w:rPr>
                <w:rFonts w:ascii="Arial" w:cs="Arial" w:eastAsia="Arial" w:hAnsi="Arial"/>
                <w:sz w:val="14"/>
                <w:szCs w:val="14"/>
                <w:color w:val="auto"/>
              </w:rPr>
              <w:t>​ ​</w:t>
            </w:r>
          </w:p>
        </w:tc>
        <w:tc>
          <w:tcPr>
            <w:tcW w:w="2420" w:type="dxa"/>
            <w:vAlign w:val="bottom"/>
            <w:gridSpan w:val="2"/>
          </w:tcPr>
          <w:p>
            <w:pPr>
              <w:jc w:val="center"/>
              <w:ind w:left="401"/>
              <w:spacing w:after="0"/>
              <w:rPr>
                <w:sz w:val="20"/>
                <w:szCs w:val="20"/>
                <w:color w:val="auto"/>
              </w:rPr>
            </w:pPr>
            <w:r>
              <w:rPr>
                <w:rFonts w:ascii="Arial" w:cs="Arial" w:eastAsia="Arial" w:hAnsi="Arial"/>
                <w:sz w:val="16"/>
                <w:szCs w:val="16"/>
                <w:b w:val="1"/>
                <w:bCs w:val="1"/>
                <w:color w:val="auto"/>
                <w:w w:val="84"/>
              </w:rPr>
              <w:t>7372</w:t>
            </w:r>
          </w:p>
        </w:tc>
        <w:tc>
          <w:tcPr>
            <w:tcW w:w="500" w:type="dxa"/>
            <w:vAlign w:val="bottom"/>
          </w:tcPr>
          <w:p>
            <w:pPr>
              <w:spacing w:after="0"/>
              <w:rPr>
                <w:sz w:val="16"/>
                <w:szCs w:val="16"/>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 ​</w:t>
            </w:r>
          </w:p>
        </w:tc>
        <w:tc>
          <w:tcPr>
            <w:tcW w:w="2440" w:type="dxa"/>
            <w:vAlign w:val="bottom"/>
          </w:tcPr>
          <w:p>
            <w:pPr>
              <w:jc w:val="right"/>
              <w:ind w:right="763"/>
              <w:spacing w:after="0"/>
              <w:rPr>
                <w:sz w:val="20"/>
                <w:szCs w:val="20"/>
                <w:color w:val="auto"/>
              </w:rPr>
            </w:pPr>
            <w:r>
              <w:rPr>
                <w:rFonts w:ascii="Arial" w:cs="Arial" w:eastAsia="Arial" w:hAnsi="Arial"/>
                <w:sz w:val="16"/>
                <w:szCs w:val="16"/>
                <w:b w:val="1"/>
                <w:bCs w:val="1"/>
                <w:color w:val="auto"/>
              </w:rPr>
              <w:t>88-0666433</w:t>
            </w:r>
          </w:p>
        </w:tc>
        <w:tc>
          <w:tcPr>
            <w:tcW w:w="380" w:type="dxa"/>
            <w:vAlign w:val="bottom"/>
          </w:tcPr>
          <w:p>
            <w:pPr>
              <w:ind w:left="340"/>
              <w:spacing w:after="0"/>
              <w:rPr>
                <w:sz w:val="20"/>
                <w:szCs w:val="20"/>
                <w:color w:val="auto"/>
              </w:rPr>
            </w:pPr>
            <w:r>
              <w:rPr>
                <w:rFonts w:ascii="Arial" w:cs="Arial" w:eastAsia="Arial" w:hAnsi="Arial"/>
                <w:sz w:val="14"/>
                <w:szCs w:val="14"/>
                <w:color w:val="auto"/>
              </w:rPr>
              <w:t>​</w:t>
            </w:r>
          </w:p>
        </w:tc>
      </w:tr>
      <w:tr>
        <w:trPr>
          <w:trHeight w:val="154"/>
        </w:trPr>
        <w:tc>
          <w:tcPr>
            <w:tcW w:w="320" w:type="dxa"/>
            <w:vAlign w:val="bottom"/>
          </w:tcPr>
          <w:p>
            <w:pPr>
              <w:spacing w:after="0"/>
              <w:rPr>
                <w:sz w:val="13"/>
                <w:szCs w:val="13"/>
                <w:color w:val="auto"/>
              </w:rPr>
            </w:pPr>
          </w:p>
        </w:tc>
        <w:tc>
          <w:tcPr>
            <w:tcW w:w="2500" w:type="dxa"/>
            <w:vAlign w:val="bottom"/>
          </w:tcPr>
          <w:p>
            <w:pPr>
              <w:jc w:val="center"/>
              <w:spacing w:after="0" w:line="154" w:lineRule="exact"/>
              <w:rPr>
                <w:sz w:val="20"/>
                <w:szCs w:val="20"/>
                <w:color w:val="auto"/>
              </w:rPr>
            </w:pPr>
            <w:r>
              <w:rPr>
                <w:rFonts w:ascii="Arial" w:cs="Arial" w:eastAsia="Arial" w:hAnsi="Arial"/>
                <w:sz w:val="14"/>
                <w:szCs w:val="14"/>
                <w:color w:val="auto"/>
                <w:w w:val="98"/>
              </w:rPr>
              <w:t>(State or Other Jurisdiction of</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4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8"/>
              </w:rPr>
              <w:t>(Primary Standard Industrial</w:t>
            </w:r>
          </w:p>
        </w:tc>
        <w:tc>
          <w:tcPr>
            <w:tcW w:w="620" w:type="dxa"/>
            <w:vAlign w:val="bottom"/>
          </w:tcPr>
          <w:p>
            <w:pPr>
              <w:spacing w:after="0"/>
              <w:rPr>
                <w:sz w:val="13"/>
                <w:szCs w:val="13"/>
                <w:color w:val="auto"/>
              </w:rPr>
            </w:pPr>
          </w:p>
        </w:tc>
        <w:tc>
          <w:tcPr>
            <w:tcW w:w="2440" w:type="dxa"/>
            <w:vAlign w:val="bottom"/>
          </w:tcPr>
          <w:p>
            <w:pPr>
              <w:jc w:val="center"/>
              <w:spacing w:after="0" w:line="154" w:lineRule="exact"/>
              <w:rPr>
                <w:sz w:val="20"/>
                <w:szCs w:val="20"/>
                <w:color w:val="auto"/>
              </w:rPr>
            </w:pPr>
            <w:r>
              <w:rPr>
                <w:rFonts w:ascii="Arial" w:cs="Arial" w:eastAsia="Arial" w:hAnsi="Arial"/>
                <w:sz w:val="14"/>
                <w:szCs w:val="14"/>
                <w:color w:val="auto"/>
              </w:rPr>
              <w:t>(I.R.S. Employer</w:t>
            </w:r>
          </w:p>
        </w:tc>
        <w:tc>
          <w:tcPr>
            <w:tcW w:w="380" w:type="dxa"/>
            <w:vAlign w:val="bottom"/>
          </w:tcPr>
          <w:p>
            <w:pPr>
              <w:spacing w:after="0"/>
              <w:rPr>
                <w:sz w:val="13"/>
                <w:szCs w:val="13"/>
                <w:color w:val="auto"/>
              </w:rPr>
            </w:pPr>
          </w:p>
        </w:tc>
      </w:tr>
      <w:tr>
        <w:trPr>
          <w:trHeight w:val="204"/>
        </w:trPr>
        <w:tc>
          <w:tcPr>
            <w:tcW w:w="3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9"/>
              </w:rPr>
              <w:t>Incorporation or Organization)</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4"/>
                <w:szCs w:val="14"/>
                <w:color w:val="auto"/>
                <w:w w:val="98"/>
              </w:rPr>
              <w:t>Classification Code Number)</w:t>
            </w:r>
          </w:p>
        </w:tc>
        <w:tc>
          <w:tcPr>
            <w:tcW w:w="62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Identification Number)</w:t>
            </w:r>
          </w:p>
        </w:tc>
        <w:tc>
          <w:tcPr>
            <w:tcW w:w="380" w:type="dxa"/>
            <w:vAlign w:val="bottom"/>
          </w:tcPr>
          <w:p>
            <w:pPr>
              <w:spacing w:after="0"/>
              <w:rPr>
                <w:sz w:val="17"/>
                <w:szCs w:val="17"/>
                <w:color w:val="auto"/>
              </w:rPr>
            </w:pPr>
          </w:p>
        </w:tc>
      </w:tr>
      <w:tr>
        <w:trPr>
          <w:trHeight w:val="244"/>
        </w:trPr>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76"/>
        </w:trPr>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20" w:type="dxa"/>
            <w:vAlign w:val="bottom"/>
            <w:gridSpan w:val="3"/>
          </w:tcPr>
          <w:p>
            <w:pPr>
              <w:jc w:val="center"/>
              <w:ind w:right="20"/>
              <w:spacing w:after="0" w:line="175" w:lineRule="exact"/>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00"/>
              <w:spacing w:after="0" w:line="175" w:lineRule="exact"/>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5"/>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5"/>
        </w:trPr>
        <w:tc>
          <w:tcPr>
            <w:tcW w:w="320" w:type="dxa"/>
            <w:vAlign w:val="bottom"/>
          </w:tcPr>
          <w:p>
            <w:pPr>
              <w:spacing w:after="0"/>
              <w:rPr>
                <w:sz w:val="16"/>
                <w:szCs w:val="16"/>
                <w:color w:val="auto"/>
              </w:rPr>
            </w:pPr>
          </w:p>
        </w:tc>
        <w:tc>
          <w:tcPr>
            <w:tcW w:w="9080" w:type="dxa"/>
            <w:vAlign w:val="bottom"/>
            <w:gridSpan w:val="7"/>
          </w:tcPr>
          <w:p>
            <w:pPr>
              <w:jc w:val="center"/>
              <w:spacing w:after="0"/>
              <w:rPr>
                <w:sz w:val="20"/>
                <w:szCs w:val="20"/>
                <w:color w:val="auto"/>
              </w:rPr>
            </w:pPr>
            <w:r>
              <w:rPr>
                <w:rFonts w:ascii="Arial" w:cs="Arial" w:eastAsia="Arial" w:hAnsi="Arial"/>
                <w:sz w:val="14"/>
                <w:szCs w:val="14"/>
                <w:color w:val="auto"/>
                <w:w w:val="98"/>
              </w:rPr>
              <w:t>(Address, including zip code, and telephone number, including area code, of Registrant’s principal executive offices)</w:t>
            </w:r>
          </w:p>
        </w:tc>
        <w:tc>
          <w:tcPr>
            <w:tcW w:w="380" w:type="dxa"/>
            <w:vAlign w:val="bottom"/>
          </w:tcPr>
          <w:p>
            <w:pPr>
              <w:spacing w:after="0"/>
              <w:rPr>
                <w:sz w:val="16"/>
                <w:szCs w:val="16"/>
                <w:color w:val="auto"/>
              </w:rPr>
            </w:pPr>
          </w:p>
        </w:tc>
      </w:tr>
      <w:tr>
        <w:trPr>
          <w:trHeight w:val="93"/>
        </w:trPr>
        <w:tc>
          <w:tcPr>
            <w:tcW w:w="3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66"/>
        </w:trPr>
        <w:tc>
          <w:tcPr>
            <w:tcW w:w="3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Anat Heller</w:t>
            </w:r>
          </w:p>
        </w:tc>
        <w:tc>
          <w:tcPr>
            <w:tcW w:w="6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162"/>
        </w:trPr>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500"/>
              <w:spacing w:after="0" w:line="162" w:lineRule="exact"/>
              <w:rPr>
                <w:sz w:val="20"/>
                <w:szCs w:val="20"/>
                <w:color w:val="auto"/>
              </w:rPr>
            </w:pPr>
            <w:r>
              <w:rPr>
                <w:rFonts w:ascii="Arial" w:cs="Arial" w:eastAsia="Arial" w:hAnsi="Arial"/>
                <w:sz w:val="16"/>
                <w:szCs w:val="16"/>
                <w:b w:val="1"/>
                <w:bCs w:val="1"/>
                <w:color w:val="auto"/>
                <w:w w:val="88"/>
              </w:rPr>
              <w:t>Chief Financial Officer</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5"/>
        </w:trPr>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20"/>
              <w:spacing w:after="0" w:line="175" w:lineRule="exact"/>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20" w:type="dxa"/>
            <w:vAlign w:val="bottom"/>
            <w:gridSpan w:val="3"/>
          </w:tcPr>
          <w:p>
            <w:pPr>
              <w:jc w:val="center"/>
              <w:ind w:right="20"/>
              <w:spacing w:after="0" w:line="175" w:lineRule="exact"/>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500"/>
              <w:spacing w:after="0" w:line="162" w:lineRule="exact"/>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2"/>
          </w:tcPr>
          <w:p>
            <w:pPr>
              <w:jc w:val="center"/>
              <w:ind w:right="520"/>
              <w:spacing w:after="0" w:line="175" w:lineRule="exact"/>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5"/>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5"/>
        </w:trPr>
        <w:tc>
          <w:tcPr>
            <w:tcW w:w="320" w:type="dxa"/>
            <w:vAlign w:val="bottom"/>
          </w:tcPr>
          <w:p>
            <w:pPr>
              <w:spacing w:after="0"/>
              <w:rPr>
                <w:sz w:val="16"/>
                <w:szCs w:val="16"/>
                <w:color w:val="auto"/>
              </w:rPr>
            </w:pPr>
          </w:p>
        </w:tc>
        <w:tc>
          <w:tcPr>
            <w:tcW w:w="9080" w:type="dxa"/>
            <w:vAlign w:val="bottom"/>
            <w:gridSpan w:val="7"/>
          </w:tcPr>
          <w:p>
            <w:pPr>
              <w:jc w:val="center"/>
              <w:spacing w:after="0"/>
              <w:rPr>
                <w:sz w:val="20"/>
                <w:szCs w:val="20"/>
                <w:color w:val="auto"/>
              </w:rPr>
            </w:pPr>
            <w:r>
              <w:rPr>
                <w:rFonts w:ascii="Arial" w:cs="Arial" w:eastAsia="Arial" w:hAnsi="Arial"/>
                <w:sz w:val="14"/>
                <w:szCs w:val="14"/>
                <w:color w:val="auto"/>
                <w:w w:val="96"/>
              </w:rPr>
              <w:t>(Name, address, including zip code, and telephone number, including area code, of agent for service)</w:t>
            </w:r>
          </w:p>
        </w:tc>
        <w:tc>
          <w:tcPr>
            <w:tcW w:w="380" w:type="dxa"/>
            <w:vAlign w:val="bottom"/>
          </w:tcPr>
          <w:p>
            <w:pPr>
              <w:spacing w:after="0"/>
              <w:rPr>
                <w:sz w:val="16"/>
                <w:szCs w:val="16"/>
                <w:color w:val="auto"/>
              </w:rPr>
            </w:pPr>
          </w:p>
        </w:tc>
      </w:tr>
      <w:tr>
        <w:trPr>
          <w:trHeight w:val="93"/>
        </w:trPr>
        <w:tc>
          <w:tcPr>
            <w:tcW w:w="3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96"/>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i w:val="1"/>
                <w:iCs w:val="1"/>
                <w:color w:val="auto"/>
                <w:w w:val="79"/>
              </w:rPr>
              <w:t>Copies to:</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7"/>
        </w:trPr>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9"/>
              </w:rPr>
              <w:t>Michael Kaplan</w:t>
            </w:r>
          </w:p>
        </w:tc>
        <w:tc>
          <w:tcPr>
            <w:tcW w:w="600" w:type="dxa"/>
            <w:vAlign w:val="bottom"/>
          </w:tcPr>
          <w:p>
            <w:pPr>
              <w:ind w:left="340"/>
              <w:spacing w:after="0"/>
              <w:rPr>
                <w:sz w:val="20"/>
                <w:szCs w:val="20"/>
                <w:color w:val="auto"/>
              </w:rPr>
            </w:pPr>
            <w:r>
              <w:rPr>
                <w:rFonts w:ascii="Arial" w:cs="Arial" w:eastAsia="Arial" w:hAnsi="Arial"/>
                <w:sz w:val="16"/>
                <w:szCs w:val="16"/>
                <w:b w:val="1"/>
                <w:bCs w:val="1"/>
                <w:color w:val="auto"/>
              </w:rPr>
              <w:t>​ ​</w:t>
            </w:r>
          </w:p>
        </w:tc>
        <w:tc>
          <w:tcPr>
            <w:tcW w:w="480" w:type="dxa"/>
            <w:vAlign w:val="bottom"/>
          </w:tcPr>
          <w:p>
            <w:pPr>
              <w:spacing w:after="0"/>
              <w:rPr>
                <w:sz w:val="23"/>
                <w:szCs w:val="23"/>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Liz Cohen-Yerushalmi</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 ​</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5"/>
              </w:rPr>
              <w:t>John L. Savva</w:t>
            </w:r>
          </w:p>
        </w:tc>
        <w:tc>
          <w:tcPr>
            <w:tcW w:w="380" w:type="dxa"/>
            <w:vAlign w:val="bottom"/>
          </w:tcPr>
          <w:p>
            <w:pPr>
              <w:ind w:left="340"/>
              <w:spacing w:after="0"/>
              <w:rPr>
                <w:sz w:val="20"/>
                <w:szCs w:val="20"/>
                <w:color w:val="auto"/>
              </w:rPr>
            </w:pPr>
            <w:r>
              <w:rPr>
                <w:rFonts w:ascii="Arial" w:cs="Arial" w:eastAsia="Arial" w:hAnsi="Arial"/>
                <w:sz w:val="16"/>
                <w:szCs w:val="16"/>
                <w:b w:val="1"/>
                <w:bCs w:val="1"/>
                <w:color w:val="auto"/>
              </w:rPr>
              <w:t>​</w:t>
            </w:r>
          </w:p>
        </w:tc>
      </w:tr>
      <w:tr>
        <w:trPr>
          <w:trHeight w:val="189"/>
        </w:trPr>
        <w:tc>
          <w:tcPr>
            <w:tcW w:w="3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Davis Polk &amp; Wardwell LLP</w:t>
            </w:r>
          </w:p>
        </w:tc>
        <w:tc>
          <w:tcPr>
            <w:tcW w:w="600" w:type="dxa"/>
            <w:vAlign w:val="bottom"/>
          </w:tcPr>
          <w:p>
            <w:pPr>
              <w:spacing w:after="0"/>
              <w:rPr>
                <w:sz w:val="16"/>
                <w:szCs w:val="16"/>
                <w:color w:val="auto"/>
              </w:rPr>
            </w:pPr>
          </w:p>
        </w:tc>
        <w:tc>
          <w:tcPr>
            <w:tcW w:w="29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Chief Legal Officer and General Counsel</w:t>
            </w:r>
          </w:p>
        </w:tc>
        <w:tc>
          <w:tcPr>
            <w:tcW w:w="6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Sullivan &amp; Cromwell LLP</w:t>
            </w:r>
          </w:p>
        </w:tc>
        <w:tc>
          <w:tcPr>
            <w:tcW w:w="3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3"/>
              </w:rPr>
              <w:t>450 Lexington Avenue</w:t>
            </w: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c/o Mobileye B.V.</w:t>
            </w:r>
          </w:p>
        </w:tc>
        <w:tc>
          <w:tcPr>
            <w:tcW w:w="6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6"/>
              </w:rPr>
              <w:t>1870 Embarcadero Road</w:t>
            </w:r>
          </w:p>
        </w:tc>
        <w:tc>
          <w:tcPr>
            <w:tcW w:w="3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7"/>
              </w:rPr>
              <w:t>New York, New York 10017</w:t>
            </w:r>
          </w:p>
        </w:tc>
        <w:tc>
          <w:tcPr>
            <w:tcW w:w="600" w:type="dxa"/>
            <w:vAlign w:val="bottom"/>
          </w:tcPr>
          <w:p>
            <w:pPr>
              <w:spacing w:after="0"/>
              <w:rPr>
                <w:sz w:val="16"/>
                <w:szCs w:val="16"/>
                <w:color w:val="auto"/>
              </w:rPr>
            </w:pPr>
          </w:p>
        </w:tc>
        <w:tc>
          <w:tcPr>
            <w:tcW w:w="29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Har Hotzvim, 13 Hartom Street</w:t>
            </w:r>
          </w:p>
        </w:tc>
        <w:tc>
          <w:tcPr>
            <w:tcW w:w="6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6"/>
              </w:rPr>
              <w:t>Palo Alto, California 94303</w:t>
            </w:r>
          </w:p>
        </w:tc>
        <w:tc>
          <w:tcPr>
            <w:tcW w:w="3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5"/>
              </w:rPr>
              <w:t>(212) 450-4000</w:t>
            </w: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4"/>
              </w:rPr>
              <w:t>P.O. Box 45157</w:t>
            </w:r>
          </w:p>
        </w:tc>
        <w:tc>
          <w:tcPr>
            <w:tcW w:w="620" w:type="dxa"/>
            <w:vAlign w:val="bottom"/>
          </w:tcPr>
          <w:p>
            <w:pPr>
              <w:spacing w:after="0"/>
              <w:rPr>
                <w:sz w:val="16"/>
                <w:szCs w:val="16"/>
                <w:color w:val="auto"/>
              </w:rPr>
            </w:pPr>
          </w:p>
        </w:tc>
        <w:tc>
          <w:tcPr>
            <w:tcW w:w="2440" w:type="dxa"/>
            <w:vAlign w:val="bottom"/>
          </w:tcPr>
          <w:p>
            <w:pPr>
              <w:jc w:val="right"/>
              <w:ind w:right="663"/>
              <w:spacing w:after="0"/>
              <w:rPr>
                <w:sz w:val="20"/>
                <w:szCs w:val="20"/>
                <w:color w:val="auto"/>
              </w:rPr>
            </w:pPr>
            <w:r>
              <w:rPr>
                <w:rFonts w:ascii="Arial" w:cs="Arial" w:eastAsia="Arial" w:hAnsi="Arial"/>
                <w:sz w:val="16"/>
                <w:szCs w:val="16"/>
                <w:b w:val="1"/>
                <w:bCs w:val="1"/>
                <w:color w:val="auto"/>
              </w:rPr>
              <w:t>(650) 461-5600</w:t>
            </w:r>
          </w:p>
        </w:tc>
        <w:tc>
          <w:tcPr>
            <w:tcW w:w="3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Jerusalem 9777513, Israel</w:t>
            </w:r>
          </w:p>
        </w:tc>
        <w:tc>
          <w:tcPr>
            <w:tcW w:w="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5"/>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20" w:type="dxa"/>
            <w:vAlign w:val="bottom"/>
            <w:gridSpan w:val="2"/>
          </w:tcPr>
          <w:p>
            <w:pPr>
              <w:jc w:val="center"/>
              <w:ind w:left="381"/>
              <w:spacing w:after="0"/>
              <w:rPr>
                <w:sz w:val="20"/>
                <w:szCs w:val="20"/>
                <w:color w:val="auto"/>
              </w:rPr>
            </w:pPr>
            <w:r>
              <w:rPr>
                <w:rFonts w:ascii="Arial" w:cs="Arial" w:eastAsia="Arial" w:hAnsi="Arial"/>
                <w:sz w:val="16"/>
                <w:szCs w:val="16"/>
                <w:b w:val="1"/>
                <w:bCs w:val="1"/>
                <w:color w:val="auto"/>
                <w:w w:val="87"/>
              </w:rPr>
              <w:t>+972-2-541-7333</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65405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9" w:lineRule="exact"/>
        <w:rPr>
          <w:sz w:val="24"/>
          <w:szCs w:val="24"/>
          <w:color w:val="auto"/>
        </w:rPr>
      </w:pPr>
    </w:p>
    <w:p>
      <w:pPr>
        <w:ind w:left="860"/>
        <w:spacing w:after="0"/>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spacing w:after="0" w:line="123" w:lineRule="exact"/>
        <w:rPr>
          <w:sz w:val="24"/>
          <w:szCs w:val="24"/>
          <w:color w:val="auto"/>
        </w:rPr>
      </w:pPr>
    </w:p>
    <w:p>
      <w:pPr>
        <w:ind w:left="500" w:right="520" w:firstLine="36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0" w:lineRule="exact"/>
        <w:rPr>
          <w:sz w:val="24"/>
          <w:szCs w:val="24"/>
          <w:color w:val="auto"/>
        </w:rPr>
      </w:pPr>
    </w:p>
    <w:p>
      <w:pPr>
        <w:ind w:left="8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w:t>
      </w:r>
    </w:p>
    <w:p>
      <w:pPr>
        <w:ind w:left="500" w:right="80"/>
        <w:spacing w:after="0" w:line="178" w:lineRule="exact"/>
        <w:rPr>
          <w:sz w:val="20"/>
          <w:szCs w:val="20"/>
          <w:color w:val="auto"/>
        </w:rPr>
      </w:pPr>
      <w:r>
        <w:rPr>
          <w:rFonts w:ascii="Arial" w:cs="Arial" w:eastAsia="Arial" w:hAnsi="Arial"/>
          <w:sz w:val="16"/>
          <w:szCs w:val="16"/>
          <w:color w:val="auto"/>
        </w:rPr>
        <w:t xml:space="preserve">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333-272420</w:t>
      </w:r>
    </w:p>
    <w:p>
      <w:pPr>
        <w:spacing w:after="0" w:line="56" w:lineRule="exact"/>
        <w:rPr>
          <w:sz w:val="24"/>
          <w:szCs w:val="24"/>
          <w:color w:val="auto"/>
        </w:rPr>
      </w:pPr>
    </w:p>
    <w:p>
      <w:pPr>
        <w:ind w:left="500" w:right="540" w:firstLine="360"/>
        <w:spacing w:after="0" w:line="201" w:lineRule="exact"/>
        <w:rPr>
          <w:sz w:val="20"/>
          <w:szCs w:val="20"/>
          <w:color w:val="auto"/>
        </w:rPr>
      </w:pPr>
      <w:r>
        <w:rPr>
          <w:rFonts w:ascii="Arial" w:cs="Arial" w:eastAsia="Arial" w:hAnsi="Arial"/>
          <w:sz w:val="16"/>
          <w:szCs w:val="16"/>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7" w:lineRule="exact"/>
        <w:rPr>
          <w:sz w:val="24"/>
          <w:szCs w:val="24"/>
          <w:color w:val="auto"/>
        </w:rPr>
      </w:pPr>
    </w:p>
    <w:p>
      <w:pPr>
        <w:ind w:left="500" w:right="540" w:firstLine="360"/>
        <w:spacing w:after="0" w:line="201" w:lineRule="exact"/>
        <w:rPr>
          <w:sz w:val="20"/>
          <w:szCs w:val="20"/>
          <w:color w:val="auto"/>
        </w:rPr>
      </w:pPr>
      <w:r>
        <w:rPr>
          <w:rFonts w:ascii="Arial" w:cs="Arial" w:eastAsia="Arial" w:hAnsi="Arial"/>
          <w:sz w:val="16"/>
          <w:szCs w:val="16"/>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0" w:lineRule="exact"/>
        <w:rPr>
          <w:sz w:val="24"/>
          <w:szCs w:val="24"/>
          <w:color w:val="auto"/>
        </w:rPr>
      </w:pPr>
    </w:p>
    <w:p>
      <w:pPr>
        <w:ind w:left="500" w:right="220" w:firstLine="360"/>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“emerging growth company” in Rule 12b-2 of the Exchange Act.</w:t>
      </w:r>
    </w:p>
    <w:p>
      <w:pPr>
        <w:sectPr>
          <w:pgSz w:w="11900" w:h="16838" w:orient="portrait"/>
          <w:cols w:equalWidth="0" w:num="1">
            <w:col w:w="10280"/>
          </w:cols>
          <w:pgMar w:left="580" w:top="196" w:right="1039" w:bottom="1440" w:gutter="0" w:footer="0" w:header="0"/>
        </w:sectPr>
      </w:pPr>
    </w:p>
    <w:p>
      <w:pPr>
        <w:spacing w:after="0" w:line="32" w:lineRule="exact"/>
        <w:rPr>
          <w:sz w:val="24"/>
          <w:szCs w:val="24"/>
          <w:color w:val="auto"/>
        </w:rPr>
      </w:pPr>
    </w:p>
    <w:tbl>
      <w:tblPr>
        <w:tblLayout w:type="fixed"/>
        <w:tblInd w:w="86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Arial" w:cs="Arial" w:eastAsia="Arial" w:hAnsi="Arial"/>
                <w:sz w:val="16"/>
                <w:szCs w:val="16"/>
                <w:color w:val="auto"/>
                <w:w w:val="92"/>
              </w:rPr>
              <w:t>Large​</w:t>
            </w:r>
          </w:p>
        </w:tc>
        <w:tc>
          <w:tcPr>
            <w:tcW w:w="1360" w:type="dxa"/>
            <w:vAlign w:val="bottom"/>
          </w:tcPr>
          <w:p>
            <w:pPr>
              <w:ind w:left="20"/>
              <w:spacing w:after="0"/>
              <w:rPr>
                <w:sz w:val="20"/>
                <w:szCs w:val="20"/>
                <w:color w:val="auto"/>
              </w:rPr>
            </w:pPr>
            <w:r>
              <w:rPr>
                <w:rFonts w:ascii="Arial" w:cs="Arial" w:eastAsia="Arial" w:hAnsi="Arial"/>
                <w:sz w:val="16"/>
                <w:szCs w:val="16"/>
                <w:color w:val="auto"/>
              </w:rPr>
              <w:t>accelerated filer</w:t>
            </w:r>
          </w:p>
        </w:tc>
        <w:tc>
          <w:tcPr>
            <w:tcW w:w="1580" w:type="dxa"/>
            <w:vAlign w:val="bottom"/>
            <w:gridSpan w:val="2"/>
          </w:tcPr>
          <w:p>
            <w:pPr>
              <w:ind w:left="26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p>
        </w:tc>
        <w:tc>
          <w:tcPr>
            <w:tcW w:w="2960" w:type="dxa"/>
            <w:vAlign w:val="bottom"/>
            <w:gridSpan w:val="2"/>
          </w:tcPr>
          <w:p>
            <w:pPr>
              <w:ind w:left="940"/>
              <w:spacing w:after="0"/>
              <w:rPr>
                <w:sz w:val="20"/>
                <w:szCs w:val="20"/>
                <w:color w:val="auto"/>
              </w:rPr>
            </w:pPr>
            <w:r>
              <w:rPr>
                <w:rFonts w:ascii="Arial" w:cs="Arial" w:eastAsia="Arial" w:hAnsi="Arial"/>
                <w:sz w:val="16"/>
                <w:szCs w:val="16"/>
                <w:color w:val="auto"/>
              </w:rPr>
              <w:t>​ ​ Accelerated filer</w:t>
            </w:r>
          </w:p>
        </w:tc>
        <w:tc>
          <w:tcPr>
            <w:tcW w:w="0" w:type="dxa"/>
            <w:vAlign w:val="bottom"/>
          </w:tcPr>
          <w:p>
            <w:pPr>
              <w:spacing w:after="0"/>
              <w:rPr>
                <w:sz w:val="1"/>
                <w:szCs w:val="1"/>
                <w:color w:val="auto"/>
              </w:rPr>
            </w:pPr>
          </w:p>
        </w:tc>
      </w:tr>
      <w:tr>
        <w:trPr>
          <w:trHeight w:val="162"/>
        </w:trPr>
        <w:tc>
          <w:tcPr>
            <w:tcW w:w="40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1360" w:type="dxa"/>
            <w:vAlign w:val="bottom"/>
          </w:tcPr>
          <w:p>
            <w:pPr>
              <w:spacing w:after="0"/>
              <w:rPr>
                <w:sz w:val="14"/>
                <w:szCs w:val="14"/>
                <w:color w:val="auto"/>
              </w:rPr>
            </w:pPr>
          </w:p>
        </w:tc>
        <w:tc>
          <w:tcPr>
            <w:tcW w:w="460" w:type="dxa"/>
            <w:vAlign w:val="bottom"/>
          </w:tcPr>
          <w:p>
            <w:pPr>
              <w:ind w:left="260"/>
              <w:spacing w:after="0" w:line="162" w:lineRule="exact"/>
              <w:rPr>
                <w:sz w:val="20"/>
                <w:szCs w:val="20"/>
                <w:color w:val="auto"/>
              </w:rPr>
            </w:pPr>
            <w:r>
              <w:rPr>
                <w:rFonts w:ascii="Arial" w:cs="Arial" w:eastAsia="Arial" w:hAnsi="Arial"/>
                <w:sz w:val="16"/>
                <w:szCs w:val="16"/>
                <w:color w:val="auto"/>
              </w:rPr>
              <w:t>​ ​</w:t>
            </w:r>
          </w:p>
        </w:tc>
        <w:tc>
          <w:tcPr>
            <w:tcW w:w="112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120" w:type="dxa"/>
            <w:vAlign w:val="bottom"/>
          </w:tcPr>
          <w:p>
            <w:pPr>
              <w:ind w:left="940"/>
              <w:spacing w:after="0" w:line="162" w:lineRule="exact"/>
              <w:rPr>
                <w:sz w:val="20"/>
                <w:szCs w:val="20"/>
                <w:color w:val="auto"/>
              </w:rPr>
            </w:pPr>
            <w:r>
              <w:rPr>
                <w:rFonts w:ascii="Arial" w:cs="Arial" w:eastAsia="Arial" w:hAnsi="Arial"/>
                <w:sz w:val="16"/>
                <w:szCs w:val="16"/>
                <w:color w:val="auto"/>
              </w:rPr>
              <w:t>​ ​</w:t>
            </w:r>
          </w:p>
        </w:tc>
        <w:tc>
          <w:tcPr>
            <w:tcW w:w="1840" w:type="dxa"/>
            <w:vAlign w:val="bottom"/>
            <w:vMerge w:val="restart"/>
          </w:tcPr>
          <w:p>
            <w:pPr>
              <w:ind w:left="40"/>
              <w:spacing w:after="0"/>
              <w:rPr>
                <w:sz w:val="20"/>
                <w:szCs w:val="20"/>
                <w:color w:val="auto"/>
              </w:rPr>
            </w:pPr>
            <w:r>
              <w:rPr>
                <w:rFonts w:ascii="Arial" w:cs="Arial" w:eastAsia="Arial" w:hAnsi="Arial"/>
                <w:sz w:val="16"/>
                <w:szCs w:val="16"/>
                <w:color w:val="auto"/>
                <w:w w:val="93"/>
              </w:rPr>
              <w:t>Smaller reporting company</w:t>
            </w:r>
          </w:p>
        </w:tc>
        <w:tc>
          <w:tcPr>
            <w:tcW w:w="0" w:type="dxa"/>
            <w:vAlign w:val="bottom"/>
          </w:tcPr>
          <w:p>
            <w:pPr>
              <w:spacing w:after="0"/>
              <w:rPr>
                <w:sz w:val="1"/>
                <w:szCs w:val="1"/>
                <w:color w:val="auto"/>
              </w:rPr>
            </w:pPr>
          </w:p>
        </w:tc>
      </w:tr>
      <w:tr>
        <w:trPr>
          <w:trHeight w:val="47"/>
        </w:trPr>
        <w:tc>
          <w:tcPr>
            <w:tcW w:w="1760" w:type="dxa"/>
            <w:vAlign w:val="bottom"/>
            <w:gridSpan w:val="2"/>
          </w:tcPr>
          <w:p>
            <w:pPr>
              <w:spacing w:after="0" w:line="48" w:lineRule="exact"/>
              <w:rPr>
                <w:sz w:val="20"/>
                <w:szCs w:val="20"/>
                <w:color w:val="auto"/>
              </w:rPr>
            </w:pPr>
            <w:r>
              <w:rPr>
                <w:rFonts w:ascii="Arial" w:cs="Arial" w:eastAsia="Arial" w:hAnsi="Arial"/>
                <w:sz w:val="5"/>
                <w:szCs w:val="5"/>
                <w:color w:val="auto"/>
              </w:rPr>
              <w:t>Non-accelerated filer</w:t>
            </w:r>
          </w:p>
        </w:tc>
        <w:tc>
          <w:tcPr>
            <w:tcW w:w="4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9"/>
                <w:szCs w:val="19"/>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color w:val="auto"/>
              </w:rPr>
              <w:t>​ ​ ​</w:t>
            </w:r>
          </w:p>
        </w:tc>
        <w:tc>
          <w:tcPr>
            <w:tcW w:w="2960" w:type="dxa"/>
            <w:vAlign w:val="bottom"/>
            <w:gridSpan w:val="2"/>
          </w:tcPr>
          <w:p>
            <w:pPr>
              <w:ind w:left="940"/>
              <w:spacing w:after="0"/>
              <w:rPr>
                <w:sz w:val="20"/>
                <w:szCs w:val="20"/>
                <w:color w:val="auto"/>
              </w:rPr>
            </w:pPr>
            <w:r>
              <w:rPr>
                <w:rFonts w:ascii="Arial" w:cs="Arial" w:eastAsia="Arial" w:hAnsi="Arial"/>
                <w:sz w:val="16"/>
                <w:szCs w:val="16"/>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92" w:lineRule="exact"/>
        <w:tabs>
          <w:tab w:leader="none" w:pos="224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32" w:lineRule="exact"/>
        <w:rPr>
          <w:sz w:val="24"/>
          <w:szCs w:val="24"/>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19" w:lineRule="exact"/>
        <w:rPr>
          <w:sz w:val="24"/>
          <w:szCs w:val="24"/>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w:t>
      </w:r>
    </w:p>
    <w:p>
      <w:pPr>
        <w:spacing w:after="0" w:line="112" w:lineRule="exact"/>
        <w:rPr>
          <w:sz w:val="24"/>
          <w:szCs w:val="24"/>
          <w:color w:val="auto"/>
        </w:rPr>
      </w:pPr>
    </w:p>
    <w:p>
      <w:pPr>
        <w:sectPr>
          <w:pgSz w:w="11900" w:h="16838" w:orient="portrait"/>
          <w:cols w:equalWidth="0" w:num="2">
            <w:col w:w="7160" w:space="460"/>
            <w:col w:w="2660"/>
          </w:cols>
          <w:pgMar w:left="580" w:top="196" w:right="1039" w:bottom="1440" w:gutter="0" w:footer="0" w:header="0"/>
          <w:type w:val="continuous"/>
        </w:sectPr>
      </w:pPr>
    </w:p>
    <w:p>
      <w:pPr>
        <w:ind w:left="500" w:right="160" w:firstLine="3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6" w:lineRule="exact"/>
        <w:rPr>
          <w:sz w:val="24"/>
          <w:szCs w:val="24"/>
          <w:color w:val="auto"/>
        </w:rPr>
      </w:pPr>
    </w:p>
    <w:p>
      <w:pPr>
        <w:ind w:left="500" w:right="300" w:firstLine="360"/>
        <w:spacing w:after="0" w:line="239" w:lineRule="auto"/>
        <w:rPr>
          <w:sz w:val="20"/>
          <w:szCs w:val="20"/>
          <w:color w:val="auto"/>
        </w:rPr>
      </w:pPr>
      <w:r>
        <w:rPr>
          <w:rFonts w:ascii="Arial" w:cs="Arial" w:eastAsia="Arial" w:hAnsi="Arial"/>
          <w:sz w:val="16"/>
          <w:szCs w:val="16"/>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74295</wp:posOffset>
            </wp:positionV>
            <wp:extent cx="6189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196" w:right="10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1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This Registration Statement on Form S-1 (this “Registration Statement”) is being filed with respect to the registration of an additional $169,050,000.00 of shares of Class A common stock, par value $0.01 per share (the “Class A common stock”), of Mobileye Global Inc. (the “Registrant”), pursuant to Rule 462(b) under the Securities Act of 1933, as amended. This Registration Statement relates to the Registrant’s Registration Statement on Form S-1 (File No. 333-272420) (the “Prior Registration Statement”), initially filed by the Registrant on June 5, 2023 and declared effective by the Securities and Exchange Commission (the “Commission”) on June 7, 2023. The Registrant is filing this Registration Statement for the sole purpose of increasing the aggregate number of shares of Class A common stock offered by the selling stockholder named in the Prior Registration Statement by 4,025,000 shares of Class A common stock (which represent shares issuable to the selling stockholder upon conversion of the same number of Class B common stock, par value $0.01 per share, currently held by such stockholder), 525,000 of which are subject to purchase upon exercise of the underwriters’ option to purchase additional shares of Class A common stock from the selling stockholder. The required opinion of counsel and related consent and accountant’s consent are attached hereto and filed herewith. Pursuant to Rule 462(b), the contents of the Prior Registration Statement, including the exhibits thereto, are incorporated by reference into this Registration Statement.</w:t>
      </w:r>
    </w:p>
    <w:p>
      <w:pPr>
        <w:spacing w:after="0" w:line="17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879"/>
          </w:cols>
          <w:pgMar w:left="580" w:top="90" w:right="1440" w:bottom="1440" w:gutter="0" w:footer="0" w:header="0"/>
        </w:sectPr>
      </w:pPr>
    </w:p>
    <w:p>
      <w:pPr>
        <w:spacing w:after="0" w:line="28" w:lineRule="exact"/>
        <w:rPr>
          <w:sz w:val="20"/>
          <w:szCs w:val="20"/>
          <w:color w:val="auto"/>
        </w:rPr>
      </w:pPr>
    </w:p>
    <w:p>
      <w:pPr>
        <w:ind w:left="1260"/>
        <w:spacing w:after="0"/>
        <w:tabs>
          <w:tab w:leader="none" w:pos="1720" w:val="left"/>
          <w:tab w:leader="none" w:pos="4760" w:val="left"/>
        </w:tabs>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NO.</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1360" w:hanging="100"/>
        <w:spacing w:after="0" w:line="185" w:lineRule="auto"/>
        <w:tabs>
          <w:tab w:leader="none" w:pos="136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 xml:space="preserve">5.1 </w:t>
      </w:r>
      <w:r>
        <w:rPr>
          <w:rFonts w:ascii="Arial" w:cs="Arial" w:eastAsia="Arial" w:hAnsi="Arial"/>
          <w:sz w:val="33"/>
          <w:szCs w:val="33"/>
          <w:color w:val="auto"/>
          <w:vertAlign w:val="superscript"/>
        </w:rPr>
        <w:t>​ ​</w:t>
      </w:r>
      <w:r>
        <w:rPr>
          <w:rFonts w:ascii="Arial" w:cs="Arial" w:eastAsia="Arial" w:hAnsi="Arial"/>
          <w:sz w:val="17"/>
          <w:szCs w:val="17"/>
          <w:color w:val="auto"/>
        </w:rPr>
        <w:t xml:space="preserve"> </w:t>
      </w:r>
      <w:r>
        <w:rPr>
          <w:rFonts w:ascii="Arial" w:cs="Arial" w:eastAsia="Arial" w:hAnsi="Arial"/>
          <w:sz w:val="17"/>
          <w:szCs w:val="17"/>
          <w:u w:val="single" w:color="auto"/>
          <w:color w:val="0000EE"/>
        </w:rPr>
        <w:t>Opinion of Davis Polk &amp; Wardwell LLP</w:t>
      </w:r>
    </w:p>
    <w:p>
      <w:pPr>
        <w:ind w:left="1260"/>
        <w:spacing w:after="0" w:line="185"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23.1 </w:t>
      </w:r>
      <w:r>
        <w:rPr>
          <w:rFonts w:ascii="Arial" w:cs="Arial" w:eastAsia="Arial" w:hAnsi="Arial"/>
          <w:sz w:val="32"/>
          <w:szCs w:val="32"/>
          <w:color w:val="auto"/>
          <w:vertAlign w:val="superscript"/>
        </w:rPr>
        <w:t>​ ​</w:t>
      </w:r>
      <w:r>
        <w:rPr>
          <w:rFonts w:ascii="Arial" w:cs="Arial" w:eastAsia="Arial" w:hAnsi="Arial"/>
          <w:sz w:val="17"/>
          <w:szCs w:val="17"/>
          <w:color w:val="auto"/>
        </w:rPr>
        <w:t xml:space="preserve"> </w:t>
      </w:r>
      <w:r>
        <w:rPr>
          <w:rFonts w:ascii="Arial" w:cs="Arial" w:eastAsia="Arial" w:hAnsi="Arial"/>
          <w:sz w:val="17"/>
          <w:szCs w:val="17"/>
          <w:u w:val="single" w:color="auto"/>
          <w:color w:val="0000EE"/>
        </w:rPr>
        <w:t>Consent of Davis Polk &amp; Wardwell LLP (included in Exhibit 5.1)</w:t>
      </w:r>
    </w:p>
    <w:p>
      <w:pPr>
        <w:ind w:left="1900" w:hanging="647"/>
        <w:spacing w:after="0" w:line="196"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23.2 </w:t>
      </w:r>
      <w:r>
        <w:rPr>
          <w:rFonts w:ascii="Arial" w:cs="Arial" w:eastAsia="Arial" w:hAnsi="Arial"/>
          <w:sz w:val="33"/>
          <w:szCs w:val="33"/>
          <w:color w:val="auto"/>
          <w:vertAlign w:val="superscript"/>
        </w:rPr>
        <w:t>​ ​</w:t>
      </w:r>
      <w:r>
        <w:rPr>
          <w:rFonts w:ascii="Arial" w:cs="Arial" w:eastAsia="Arial" w:hAnsi="Arial"/>
          <w:sz w:val="17"/>
          <w:szCs w:val="17"/>
          <w:color w:val="auto"/>
        </w:rPr>
        <w:t xml:space="preserve"> </w:t>
      </w:r>
      <w:r>
        <w:rPr>
          <w:rFonts w:ascii="Arial" w:cs="Arial" w:eastAsia="Arial" w:hAnsi="Arial"/>
          <w:sz w:val="17"/>
          <w:szCs w:val="17"/>
          <w:u w:val="single" w:color="auto"/>
          <w:color w:val="0000EE"/>
        </w:rPr>
        <w:t>Consent of Kesselman &amp; Kesselman, Certified Public Accountants (Isr.), a member firm of</w:t>
      </w:r>
      <w:r>
        <w:rPr>
          <w:rFonts w:ascii="Arial" w:cs="Arial" w:eastAsia="Arial" w:hAnsi="Arial"/>
          <w:sz w:val="17"/>
          <w:szCs w:val="17"/>
          <w:color w:val="auto"/>
        </w:rPr>
        <w:t xml:space="preserve"> </w:t>
      </w:r>
      <w:r>
        <w:rPr>
          <w:rFonts w:ascii="Arial" w:cs="Arial" w:eastAsia="Arial" w:hAnsi="Arial"/>
          <w:sz w:val="17"/>
          <w:szCs w:val="17"/>
          <w:u w:val="single" w:color="auto"/>
          <w:color w:val="0000EE"/>
        </w:rPr>
        <w:t>PricewaterhouseCoopers International Limited, an independent registered public accounting firm.</w:t>
      </w:r>
    </w:p>
    <w:tbl>
      <w:tblPr>
        <w:tblLayout w:type="fixed"/>
        <w:tblInd w:w="1260" w:type="dxa"/>
        <w:tblCellMar>
          <w:top w:w="0" w:type="dxa"/>
          <w:left w:w="0" w:type="dxa"/>
          <w:bottom w:w="0" w:type="dxa"/>
          <w:right w:w="0" w:type="dxa"/>
        </w:tblCellMar>
      </w:tblPr>
      <w:tr>
        <w:trPr>
          <w:trHeight w:val="177"/>
        </w:trPr>
        <w:tc>
          <w:tcPr>
            <w:tcW w:w="42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220" w:type="dxa"/>
            <w:vAlign w:val="bottom"/>
          </w:tcPr>
          <w:p>
            <w:pPr>
              <w:ind w:left="20"/>
              <w:spacing w:after="0" w:line="177" w:lineRule="exact"/>
              <w:rPr>
                <w:sz w:val="20"/>
                <w:szCs w:val="20"/>
                <w:color w:val="auto"/>
              </w:rPr>
            </w:pPr>
            <w:r>
              <w:rPr>
                <w:rFonts w:ascii="Arial" w:cs="Arial" w:eastAsia="Arial" w:hAnsi="Arial"/>
                <w:sz w:val="18"/>
                <w:szCs w:val="18"/>
                <w:color w:val="auto"/>
              </w:rPr>
              <w:t>​ ​</w:t>
            </w:r>
          </w:p>
        </w:tc>
        <w:tc>
          <w:tcPr>
            <w:tcW w:w="7360" w:type="dxa"/>
            <w:vAlign w:val="bottom"/>
            <w:gridSpan w:val="5"/>
            <w:vMerge w:val="restart"/>
          </w:tcPr>
          <w:p>
            <w:pPr>
              <w:spacing w:after="0"/>
              <w:rPr>
                <w:sz w:val="20"/>
                <w:szCs w:val="20"/>
                <w:color w:val="auto"/>
              </w:rPr>
            </w:pPr>
            <w:r>
              <w:rPr>
                <w:rFonts w:ascii="Arial" w:cs="Arial" w:eastAsia="Arial" w:hAnsi="Arial"/>
                <w:sz w:val="18"/>
                <w:szCs w:val="18"/>
                <w:color w:val="0000EE"/>
                <w:w w:val="95"/>
              </w:rPr>
              <w:t>Power of Attorney (included in signature page to the Registrant’s Prior Registration Statement on</w:t>
            </w:r>
          </w:p>
        </w:tc>
        <w:tc>
          <w:tcPr>
            <w:tcW w:w="0" w:type="dxa"/>
            <w:vAlign w:val="bottom"/>
          </w:tcPr>
          <w:p>
            <w:pPr>
              <w:spacing w:after="0"/>
              <w:rPr>
                <w:sz w:val="1"/>
                <w:szCs w:val="1"/>
                <w:color w:val="auto"/>
              </w:rPr>
            </w:pPr>
          </w:p>
        </w:tc>
      </w:tr>
      <w:tr>
        <w:trPr>
          <w:trHeight w:val="59"/>
        </w:trPr>
        <w:tc>
          <w:tcPr>
            <w:tcW w:w="420" w:type="dxa"/>
            <w:vAlign w:val="bottom"/>
          </w:tcPr>
          <w:p>
            <w:pPr>
              <w:spacing w:after="0" w:line="54" w:lineRule="exact"/>
              <w:rPr>
                <w:sz w:val="20"/>
                <w:szCs w:val="20"/>
                <w:color w:val="auto"/>
              </w:rPr>
            </w:pPr>
            <w:r>
              <w:rPr>
                <w:rFonts w:ascii="Arial" w:cs="Arial" w:eastAsia="Arial" w:hAnsi="Arial"/>
                <w:sz w:val="6"/>
                <w:szCs w:val="6"/>
                <w:color w:val="auto"/>
              </w:rPr>
              <w:t>24.1*</w:t>
            </w:r>
          </w:p>
        </w:tc>
        <w:tc>
          <w:tcPr>
            <w:tcW w:w="220" w:type="dxa"/>
            <w:vAlign w:val="bottom"/>
          </w:tcPr>
          <w:p>
            <w:pPr>
              <w:spacing w:after="0"/>
              <w:rPr>
                <w:sz w:val="4"/>
                <w:szCs w:val="4"/>
                <w:color w:val="auto"/>
              </w:rPr>
            </w:pPr>
          </w:p>
        </w:tc>
        <w:tc>
          <w:tcPr>
            <w:tcW w:w="7360" w:type="dxa"/>
            <w:vAlign w:val="bottom"/>
            <w:tcBorders>
              <w:bottom w:val="single" w:sz="8" w:color="0000EE"/>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0" w:type="dxa"/>
            <w:vAlign w:val="bottom"/>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7360" w:type="dxa"/>
            <w:vAlign w:val="bottom"/>
            <w:gridSpan w:val="5"/>
          </w:tcPr>
          <w:p>
            <w:pPr>
              <w:spacing w:after="0" w:line="196" w:lineRule="exact"/>
              <w:rPr>
                <w:sz w:val="20"/>
                <w:szCs w:val="20"/>
                <w:color w:val="auto"/>
              </w:rPr>
            </w:pPr>
            <w:r>
              <w:rPr>
                <w:rFonts w:ascii="Arial" w:cs="Arial" w:eastAsia="Arial" w:hAnsi="Arial"/>
                <w:sz w:val="18"/>
                <w:szCs w:val="18"/>
                <w:color w:val="0000EE"/>
              </w:rPr>
              <w:t>Form S-1 (File No. 333</w:t>
            </w:r>
            <w:r>
              <w:rPr>
                <w:rFonts w:ascii="Arial" w:cs="Arial" w:eastAsia="Arial" w:hAnsi="Arial"/>
                <w:sz w:val="18"/>
                <w:szCs w:val="18"/>
                <w:color w:val="000000"/>
              </w:rPr>
              <w:t>-</w:t>
            </w:r>
            <w:r>
              <w:rPr>
                <w:rFonts w:ascii="Arial" w:cs="Arial" w:eastAsia="Arial" w:hAnsi="Arial"/>
                <w:sz w:val="18"/>
                <w:szCs w:val="18"/>
                <w:color w:val="0000EE"/>
              </w:rPr>
              <w:t>272420)).</w:t>
            </w:r>
          </w:p>
        </w:tc>
        <w:tc>
          <w:tcPr>
            <w:tcW w:w="0" w:type="dxa"/>
            <w:vAlign w:val="bottom"/>
          </w:tcPr>
          <w:p>
            <w:pPr>
              <w:spacing w:after="0"/>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4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EE"/>
                <w:w w:val="94"/>
              </w:rPr>
              <w:t>Filing Fee Table</w:t>
            </w:r>
          </w:p>
        </w:tc>
        <w:tc>
          <w:tcPr>
            <w:tcW w:w="540" w:type="dxa"/>
            <w:vAlign w:val="bottom"/>
            <w:tcBorders>
              <w:top w:val="single" w:sz="8" w:color="0000EE"/>
            </w:tcBorders>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740" w:type="dxa"/>
            <w:vAlign w:val="bottom"/>
            <w:tcBorders>
              <w:top w:val="single" w:sz="8" w:color="0000EE"/>
            </w:tcBorders>
            <w:vMerge w:val="restart"/>
          </w:tcPr>
          <w:p>
            <w:pPr>
              <w:spacing w:after="0"/>
              <w:rPr>
                <w:sz w:val="15"/>
                <w:szCs w:val="15"/>
                <w:color w:val="auto"/>
              </w:rPr>
            </w:pPr>
          </w:p>
        </w:tc>
        <w:tc>
          <w:tcPr>
            <w:tcW w:w="47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20" w:type="dxa"/>
            <w:vAlign w:val="bottom"/>
          </w:tcPr>
          <w:p>
            <w:pPr>
              <w:spacing w:after="0" w:line="81" w:lineRule="exact"/>
              <w:rPr>
                <w:sz w:val="20"/>
                <w:szCs w:val="20"/>
                <w:color w:val="auto"/>
              </w:rPr>
            </w:pPr>
            <w:r>
              <w:rPr>
                <w:rFonts w:ascii="Arial" w:cs="Arial" w:eastAsia="Arial" w:hAnsi="Arial"/>
                <w:sz w:val="9"/>
                <w:szCs w:val="9"/>
                <w:color w:val="auto"/>
              </w:rPr>
              <w:t>107</w:t>
            </w:r>
          </w:p>
        </w:tc>
        <w:tc>
          <w:tcPr>
            <w:tcW w:w="220" w:type="dxa"/>
            <w:vAlign w:val="bottom"/>
          </w:tcPr>
          <w:p>
            <w:pPr>
              <w:spacing w:after="0"/>
              <w:rPr>
                <w:sz w:val="7"/>
                <w:szCs w:val="7"/>
                <w:color w:val="auto"/>
              </w:rPr>
            </w:pPr>
          </w:p>
        </w:tc>
        <w:tc>
          <w:tcPr>
            <w:tcW w:w="1240" w:type="dxa"/>
            <w:vAlign w:val="bottom"/>
            <w:tcBorders>
              <w:bottom w:val="single" w:sz="8" w:color="0000EE"/>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3851275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280" w:space="180"/>
            <w:col w:w="41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Jerusalem, Israel on June 7, 2023.</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40640</wp:posOffset>
            </wp:positionV>
            <wp:extent cx="2468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Name: Professor Amnon Shashua</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Chief Executive Officer and President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Principal Executive Officer)</w:t>
      </w:r>
    </w:p>
    <w:p>
      <w:pPr>
        <w:spacing w:after="0" w:line="143"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June 7, 2023.</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080" w:type="dxa"/>
            <w:vAlign w:val="bottom"/>
          </w:tcPr>
          <w:p>
            <w:pPr>
              <w:ind w:left="500"/>
              <w:spacing w:after="0"/>
              <w:rPr>
                <w:sz w:val="20"/>
                <w:szCs w:val="20"/>
                <w:color w:val="auto"/>
              </w:rPr>
            </w:pPr>
            <w:r>
              <w:rPr>
                <w:rFonts w:ascii="Arial" w:cs="Arial" w:eastAsia="Arial" w:hAnsi="Arial"/>
                <w:sz w:val="14"/>
                <w:szCs w:val="14"/>
                <w:b w:val="1"/>
                <w:bCs w:val="1"/>
                <w:color w:val="auto"/>
              </w:rPr>
              <w:t>Signature</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w:t>
            </w:r>
          </w:p>
        </w:tc>
        <w:tc>
          <w:tcPr>
            <w:tcW w:w="3680" w:type="dxa"/>
            <w:vAlign w:val="bottom"/>
          </w:tcPr>
          <w:p>
            <w:pPr>
              <w:ind w:left="1700"/>
              <w:spacing w:after="0"/>
              <w:rPr>
                <w:sz w:val="20"/>
                <w:szCs w:val="20"/>
                <w:color w:val="auto"/>
              </w:rPr>
            </w:pPr>
            <w:r>
              <w:rPr>
                <w:rFonts w:ascii="Arial" w:cs="Arial" w:eastAsia="Arial" w:hAnsi="Arial"/>
                <w:sz w:val="14"/>
                <w:szCs w:val="14"/>
                <w:b w:val="1"/>
                <w:bCs w:val="1"/>
                <w:color w:val="auto"/>
              </w:rPr>
              <w:t>Title</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1500" w:type="dxa"/>
            <w:vAlign w:val="bottom"/>
          </w:tcPr>
          <w:p>
            <w:pPr>
              <w:ind w:left="620"/>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520" w:type="dxa"/>
            <w:vAlign w:val="bottom"/>
            <w:tcBorders>
              <w:bottom w:val="single" w:sz="8" w:color="auto"/>
            </w:tcBorders>
            <w:vMerge w:val="continue"/>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220" w:type="dxa"/>
            <w:vAlign w:val="bottom"/>
            <w:vMerge w:val="continue"/>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Professor Amnon Shashua</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600" w:type="dxa"/>
            <w:vAlign w:val="bottom"/>
            <w:tcBorders>
              <w:bottom w:val="single" w:sz="8" w:color="auto"/>
            </w:tcBorders>
          </w:tcPr>
          <w:p>
            <w:pPr>
              <w:spacing w:after="0" w:line="108" w:lineRule="exact"/>
              <w:rPr>
                <w:sz w:val="20"/>
                <w:szCs w:val="20"/>
                <w:color w:val="auto"/>
              </w:rPr>
            </w:pPr>
            <w:r>
              <w:rPr>
                <w:rFonts w:ascii="Arial" w:cs="Arial" w:eastAsia="Arial" w:hAnsi="Arial"/>
                <w:sz w:val="12"/>
                <w:szCs w:val="12"/>
                <w:color w:val="auto"/>
              </w:rPr>
              <w:t>​</w:t>
            </w: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8"/>
                <w:szCs w:val="18"/>
                <w:color w:val="auto"/>
              </w:rPr>
              <w:t>Anat Heller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8"/>
                <w:szCs w:val="18"/>
                <w:color w:val="auto"/>
              </w:rPr>
              <w:t>Patrick P. Gelsinger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Eyal Desheh</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8"/>
                <w:szCs w:val="18"/>
                <w:color w:val="auto"/>
              </w:rPr>
              <w:t>Jon M. Huntsman, Jr.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Claire C. McCaskill</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r>
              <w:rPr>
                <w:rFonts w:ascii="Arial" w:cs="Arial" w:eastAsia="Arial" w:hAnsi="Arial"/>
                <w:sz w:val="18"/>
                <w:szCs w:val="18"/>
                <w:color w:val="auto"/>
              </w:rPr>
              <w:t>Christine Pambianchi</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0"/>
                <w:szCs w:val="20"/>
                <w:color w:val="auto"/>
              </w:rPr>
            </w:pPr>
            <w:r>
              <w:rPr>
                <w:rFonts w:ascii="Arial" w:cs="Arial" w:eastAsia="Arial" w:hAnsi="Arial"/>
                <w:sz w:val="18"/>
                <w:szCs w:val="18"/>
                <w:color w:val="auto"/>
              </w:rPr>
              <w:t>Frank D. Yeary</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r>
              <w:rPr>
                <w:rFonts w:ascii="Arial" w:cs="Arial" w:eastAsia="Arial" w:hAnsi="Arial"/>
                <w:sz w:val="18"/>
                <w:szCs w:val="18"/>
                <w:color w:val="auto"/>
              </w:rPr>
              <w:t>Saf Yeboah-Amankwah</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left="20" w:hanging="20"/>
        <w:spacing w:after="0" w:line="308" w:lineRule="auto"/>
        <w:rPr>
          <w:sz w:val="20"/>
          <w:szCs w:val="20"/>
          <w:color w:val="auto"/>
        </w:rPr>
      </w:pPr>
      <w:r>
        <w:rPr>
          <w:rFonts w:ascii="Arial" w:cs="Arial" w:eastAsia="Arial" w:hAnsi="Arial"/>
          <w:sz w:val="17"/>
          <w:szCs w:val="17"/>
          <w:color w:val="auto"/>
        </w:rPr>
        <w:t>Chief Executive Officer, President and Director (Principal Executive Officer)</w:t>
      </w:r>
    </w:p>
    <w:p>
      <w:pPr>
        <w:spacing w:after="0" w:line="295" w:lineRule="exact"/>
        <w:rPr>
          <w:sz w:val="20"/>
          <w:szCs w:val="20"/>
          <w:color w:val="auto"/>
        </w:rPr>
      </w:pPr>
    </w:p>
    <w:p>
      <w:pPr>
        <w:jc w:val="center"/>
        <w:ind w:left="260"/>
        <w:spacing w:after="0" w:line="286" w:lineRule="auto"/>
        <w:rPr>
          <w:sz w:val="20"/>
          <w:szCs w:val="20"/>
          <w:color w:val="auto"/>
        </w:rPr>
      </w:pPr>
      <w:r>
        <w:rPr>
          <w:rFonts w:ascii="Arial" w:cs="Arial" w:eastAsia="Arial" w:hAnsi="Arial"/>
          <w:sz w:val="17"/>
          <w:szCs w:val="17"/>
          <w:color w:val="auto"/>
        </w:rPr>
        <w:t>Chief Financial Officer (Principal Financial Officer and Principal Accounting Officer)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91"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30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3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3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200" w:lineRule="exact"/>
        <w:rPr>
          <w:sz w:val="20"/>
          <w:szCs w:val="20"/>
          <w:color w:val="auto"/>
        </w:rPr>
      </w:pPr>
    </w:p>
    <w:p>
      <w:pPr>
        <w:spacing w:after="0" w:line="23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ind w:left="440"/>
        <w:spacing w:after="0"/>
        <w:rPr>
          <w:sz w:val="20"/>
          <w:szCs w:val="20"/>
          <w:color w:val="auto"/>
        </w:rPr>
      </w:pPr>
      <w:r>
        <w:rPr>
          <w:rFonts w:ascii="Arial" w:cs="Arial" w:eastAsia="Arial" w:hAnsi="Arial"/>
          <w:sz w:val="18"/>
          <w:szCs w:val="18"/>
          <w:color w:val="auto"/>
        </w:rPr>
        <w:t>June 7, 2023</w:t>
      </w:r>
    </w:p>
    <w:p>
      <w:pPr>
        <w:spacing w:after="0" w:line="355" w:lineRule="exact"/>
        <w:rPr>
          <w:sz w:val="20"/>
          <w:szCs w:val="20"/>
          <w:color w:val="auto"/>
        </w:rPr>
      </w:pPr>
    </w:p>
    <w:p>
      <w:pPr>
        <w:sectPr>
          <w:pgSz w:w="11900" w:h="16838" w:orient="portrait"/>
          <w:cols w:equalWidth="0" w:num="3">
            <w:col w:w="4060" w:space="380"/>
            <w:col w:w="2920" w:space="440"/>
            <w:col w:w="2079"/>
          </w:cols>
          <w:pgMar w:left="580" w:top="90" w:right="1440" w:bottom="1440" w:gutter="0" w:footer="0" w:header="0"/>
          <w:type w:val="continuous"/>
        </w:sectPr>
      </w:pPr>
    </w:p>
    <w:p>
      <w:pPr>
        <w:spacing w:after="0" w:line="150" w:lineRule="exact"/>
        <w:rPr>
          <w:sz w:val="20"/>
          <w:szCs w:val="20"/>
          <w:color w:val="auto"/>
        </w:rPr>
      </w:pPr>
    </w:p>
    <w:p>
      <w:pPr>
        <w:ind w:left="1260"/>
        <w:spacing w:after="0"/>
        <w:tabs>
          <w:tab w:leader="none" w:pos="5240" w:val="left"/>
        </w:tabs>
        <w:rPr>
          <w:sz w:val="20"/>
          <w:szCs w:val="20"/>
          <w:color w:val="auto"/>
        </w:rPr>
      </w:pPr>
      <w:r>
        <w:rPr>
          <w:rFonts w:ascii="Arial" w:cs="Arial" w:eastAsia="Arial" w:hAnsi="Arial"/>
          <w:sz w:val="18"/>
          <w:szCs w:val="18"/>
          <w:color w:val="auto"/>
        </w:rPr>
        <w:t>*By:​ /s/ Professor Amnon Shashua</w:t>
      </w:r>
      <w:r>
        <w:rPr>
          <w:sz w:val="20"/>
          <w:szCs w:val="20"/>
          <w:color w:val="auto"/>
        </w:rPr>
        <w:tab/>
      </w: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23495</wp:posOffset>
            </wp:positionV>
            <wp:extent cx="2263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Professor Amnon Shashua,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610870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740" w:space="720"/>
            <w:col w:w="419"/>
          </w:cols>
          <w:pgMar w:left="580" w:top="90" w:right="14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5410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4100" cy="205740"/>
                    </a:xfrm>
                    <a:prstGeom prst="rect">
                      <a:avLst/>
                    </a:prstGeom>
                    <a:noFill/>
                  </pic:spPr>
                </pic:pic>
              </a:graphicData>
            </a:graphic>
          </wp:anchor>
        </w:drawing>
      </w:r>
    </w:p>
    <w:p>
      <w:pPr>
        <w:spacing w:after="0" w:line="3" w:lineRule="exact"/>
        <w:rPr>
          <w:sz w:val="20"/>
          <w:szCs w:val="20"/>
          <w:color w:val="auto"/>
        </w:rPr>
      </w:pPr>
    </w:p>
    <w:p>
      <w:pPr>
        <w:ind w:left="2020" w:right="7580" w:firstLine="10"/>
        <w:spacing w:after="0" w:line="302" w:lineRule="auto"/>
        <w:tabs>
          <w:tab w:leader="none" w:pos="2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Lexington Avenue New York, NY 10017 davispolk.com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45157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9777513,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acted as special counsel to Mobileye Global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Registration Statement on Form S-1 (the “</w:t>
      </w:r>
      <w:r>
        <w:rPr>
          <w:rFonts w:ascii="Arial" w:cs="Arial" w:eastAsia="Arial" w:hAnsi="Arial"/>
          <w:sz w:val="16"/>
          <w:szCs w:val="16"/>
          <w:b w:val="1"/>
          <w:bCs w:val="1"/>
          <w:color w:val="auto"/>
        </w:rPr>
        <w:t>Abbreviated Registration Statement</w:t>
      </w:r>
      <w:r>
        <w:rPr>
          <w:rFonts w:ascii="Arial" w:cs="Arial" w:eastAsia="Arial" w:hAnsi="Arial"/>
          <w:sz w:val="16"/>
          <w:szCs w:val="16"/>
          <w:color w:val="auto"/>
        </w:rPr>
        <w:t>”) filed with the Securities and Exchange Commission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for the registration of 4,025,000 shares of its Class A common stock, par value $0.01 per share (the “</w:t>
      </w:r>
      <w:r>
        <w:rPr>
          <w:rFonts w:ascii="Arial" w:cs="Arial" w:eastAsia="Arial" w:hAnsi="Arial"/>
          <w:sz w:val="16"/>
          <w:szCs w:val="16"/>
          <w:b w:val="1"/>
          <w:bCs w:val="1"/>
          <w:color w:val="auto"/>
        </w:rPr>
        <w:t>Class A</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including 525,000 Class A Shares subject to the underwriters’ option to purchase additional shares, as described in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consists of up to 4,025,000 issued and outstanding shares of Class B common stock, par value $0.01 per share, to be exchanged for up to 4,025,000 Class A Shares stock in accordance with the Company’s amended and restated certificate of incorporation) (the “</w:t>
      </w:r>
      <w:r>
        <w:rPr>
          <w:rFonts w:ascii="Arial" w:cs="Arial" w:eastAsia="Arial" w:hAnsi="Arial"/>
          <w:sz w:val="16"/>
          <w:szCs w:val="16"/>
          <w:b w:val="1"/>
          <w:bCs w:val="1"/>
          <w:color w:val="auto"/>
        </w:rPr>
        <w:t>Exchange Shares</w:t>
      </w:r>
      <w:r>
        <w:rPr>
          <w:rFonts w:ascii="Arial" w:cs="Arial" w:eastAsia="Arial" w:hAnsi="Arial"/>
          <w:sz w:val="16"/>
          <w:szCs w:val="16"/>
          <w:color w:val="auto"/>
        </w:rPr>
        <w:t>”). The securities are to be purchased by certain underwriters and offered for sale to the public together with the securities registered pursuant to a Registration Statement on Form S-1 (File No. 333-272420) of the Company that was declared effective earlier today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w:t>
      </w:r>
    </w:p>
    <w:p>
      <w:pPr>
        <w:spacing w:after="0" w:line="1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Based upon the foregoing, we advise you that, in our opinion, when the Class A Shares have been issued and delivered in exchange for the Exchange Shares in accordance with the terms of the Underwriting Agreement referred to in the prospectus included in the Initial Registration Statement and incorporated by reference in the Abbreviated Registration Statement, and the Company’s amended and restated certificate of incorporation, the Class A Shares will be validly issued, fully paid and non-assessable.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hereby consent to the filing of this opinion as an exhibit to the Abbreviated Registration Statement and further consent to the reference to our name under the caption “Legal Matters” in the prospectus included in the Initial Registration Statement and incorporated by reference in the Abbreviated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Registration Statement. In giving this consent, we do not admit that we are in the category of persons whose consent is required under Section 7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8" w:right="7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hereby consent to the incorporation by reference in this Registration Statement on Form S-1 of our report dated March 9, 2023 relating to the financial statements, which appears in Mobileye Global Inc.’s Annual Report on Form 10-K for the year ended December 31, 2022, which is incorporated by reference in the Registration Statement on Form S-1 (No. 333-272420) of Mobileye Global Inc. We also consent to the reference to us under the heading “Experts” in the Registration Statement on Form S-1 (No. 333-272420) incorporated by reference in this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Filing Fee</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Previously Paid</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In Connection</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7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Proposed</w:t>
            </w: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Carry</w:t>
            </w: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with Unsold</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7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Amount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3"/>
              </w:rPr>
              <w:t>Forward</w:t>
            </w: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Security Type</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70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5"/>
              </w:rPr>
              <w:t>Registered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Offering Price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68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Forward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Forward</w:t>
            </w: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Initial</w:t>
            </w:r>
          </w:p>
        </w:tc>
        <w:tc>
          <w:tcPr>
            <w:tcW w:w="14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9"/>
              </w:rPr>
              <w:t>to be Carried</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 (3)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Fee Rate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Registration Fee (4)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Form Type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effective date</w:t>
            </w: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3"/>
              </w:rPr>
              <w:t>Forward</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Newly Registered Securities</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jc w:val="center"/>
              <w:spacing w:after="0" w:line="114" w:lineRule="exact"/>
              <w:rPr>
                <w:sz w:val="20"/>
                <w:szCs w:val="20"/>
                <w:color w:val="auto"/>
              </w:rPr>
            </w:pPr>
            <w:r>
              <w:rPr>
                <w:rFonts w:ascii="Arial" w:cs="Arial" w:eastAsia="Arial" w:hAnsi="Arial"/>
                <w:sz w:val="13"/>
                <w:szCs w:val="13"/>
                <w:color w:val="auto"/>
                <w:w w:val="84"/>
              </w:rPr>
              <w:t>Class A</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spacing w:after="0"/>
              <w:rPr>
                <w:sz w:val="20"/>
                <w:szCs w:val="20"/>
                <w:color w:val="auto"/>
              </w:rPr>
            </w:pPr>
            <w:r>
              <w:rPr>
                <w:rFonts w:ascii="Arial" w:cs="Arial" w:eastAsia="Arial" w:hAnsi="Arial"/>
                <w:sz w:val="13"/>
                <w:szCs w:val="13"/>
                <w:b w:val="1"/>
                <w:bCs w:val="1"/>
                <w:color w:val="auto"/>
                <w:w w:val="85"/>
              </w:rPr>
              <w:t>Fees to Be</w:t>
            </w:r>
          </w:p>
        </w:tc>
        <w:tc>
          <w:tcPr>
            <w:tcW w:w="7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w w:val="88"/>
              </w:rPr>
              <w:t>common</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0" w:type="dxa"/>
            <w:vAlign w:val="bottom"/>
            <w:vMerge w:val="continue"/>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Equity</w:t>
            </w:r>
          </w:p>
        </w:tc>
        <w:tc>
          <w:tcPr>
            <w:tcW w:w="540" w:type="dxa"/>
            <w:vAlign w:val="bottom"/>
          </w:tcPr>
          <w:p>
            <w:pPr>
              <w:jc w:val="center"/>
              <w:spacing w:after="0" w:line="131" w:lineRule="exact"/>
              <w:rPr>
                <w:sz w:val="20"/>
                <w:szCs w:val="20"/>
                <w:color w:val="auto"/>
              </w:rPr>
            </w:pPr>
            <w:r>
              <w:rPr>
                <w:rFonts w:ascii="Arial" w:cs="Arial" w:eastAsia="Arial" w:hAnsi="Arial"/>
                <w:sz w:val="13"/>
                <w:szCs w:val="13"/>
                <w:color w:val="auto"/>
                <w:w w:val="88"/>
              </w:rPr>
              <w:t>stock, par</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5"/>
              </w:rPr>
              <w:t>457(a)</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w w:val="96"/>
              </w:rPr>
              <w:t>4,025,000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$42.00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$169,050,000.00</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w w:val="94"/>
              </w:rPr>
              <w:t>0.0001102</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86"/>
              </w:rPr>
              <w:t>$18,629.31</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8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Paid</w:t>
            </w:r>
          </w:p>
        </w:tc>
        <w:tc>
          <w:tcPr>
            <w:tcW w:w="780" w:type="dxa"/>
            <w:vAlign w:val="bottom"/>
            <w:vMerge w:val="continue"/>
          </w:tcPr>
          <w:p>
            <w:pPr>
              <w:spacing w:after="0"/>
              <w:rPr>
                <w:sz w:val="8"/>
                <w:szCs w:val="8"/>
                <w:color w:val="auto"/>
              </w:rPr>
            </w:pPr>
          </w:p>
        </w:tc>
        <w:tc>
          <w:tcPr>
            <w:tcW w:w="540" w:type="dxa"/>
            <w:vAlign w:val="bottom"/>
            <w:vMerge w:val="restart"/>
          </w:tcPr>
          <w:p>
            <w:pPr>
              <w:jc w:val="center"/>
              <w:spacing w:after="0" w:line="139" w:lineRule="exact"/>
              <w:rPr>
                <w:sz w:val="20"/>
                <w:szCs w:val="20"/>
                <w:color w:val="auto"/>
              </w:rPr>
            </w:pPr>
            <w:r>
              <w:rPr>
                <w:rFonts w:ascii="Arial" w:cs="Arial" w:eastAsia="Arial" w:hAnsi="Arial"/>
                <w:sz w:val="13"/>
                <w:szCs w:val="13"/>
                <w:color w:val="auto"/>
                <w:w w:val="89"/>
              </w:rPr>
              <w:t>value</w:t>
            </w: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color w:val="auto"/>
                <w:w w:val="87"/>
              </w:rPr>
              <w:t>$0.01 per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79"/>
              </w:rPr>
              <w:t>share</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line="110" w:lineRule="exact"/>
              <w:rPr>
                <w:sz w:val="20"/>
                <w:szCs w:val="20"/>
                <w:color w:val="auto"/>
              </w:rPr>
            </w:pPr>
            <w:r>
              <w:rPr>
                <w:rFonts w:ascii="Arial" w:cs="Arial" w:eastAsia="Arial" w:hAnsi="Arial"/>
                <w:sz w:val="12"/>
                <w:szCs w:val="12"/>
                <w:b w:val="1"/>
                <w:bCs w:val="1"/>
                <w:color w:val="auto"/>
              </w:rPr>
              <w:t>Fees</w:t>
            </w: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line="135" w:lineRule="exact"/>
              <w:rPr>
                <w:sz w:val="20"/>
                <w:szCs w:val="20"/>
                <w:color w:val="auto"/>
              </w:rPr>
            </w:pPr>
            <w:r>
              <w:rPr>
                <w:rFonts w:ascii="Arial" w:cs="Arial" w:eastAsia="Arial" w:hAnsi="Arial"/>
                <w:sz w:val="13"/>
                <w:szCs w:val="13"/>
                <w:b w:val="1"/>
                <w:bCs w:val="1"/>
                <w:color w:val="auto"/>
                <w:w w:val="85"/>
              </w:rPr>
              <w:t>Previously</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20"/>
                <w:szCs w:val="20"/>
                <w:color w:val="auto"/>
              </w:rPr>
            </w:pPr>
            <w:r>
              <w:rPr>
                <w:rFonts w:ascii="Arial" w:cs="Arial" w:eastAsia="Arial" w:hAnsi="Arial"/>
                <w:sz w:val="13"/>
                <w:szCs w:val="13"/>
                <w:b w:val="1"/>
                <w:bCs w:val="1"/>
                <w:color w:val="auto"/>
              </w:rPr>
              <w:t>Paid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Carry Forward Securities</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580" w:type="dxa"/>
            <w:vAlign w:val="bottom"/>
          </w:tcPr>
          <w:p>
            <w:pPr>
              <w:spacing w:after="0" w:line="114" w:lineRule="exact"/>
              <w:rPr>
                <w:sz w:val="20"/>
                <w:szCs w:val="20"/>
                <w:color w:val="auto"/>
              </w:rPr>
            </w:pPr>
            <w:r>
              <w:rPr>
                <w:rFonts w:ascii="Arial" w:cs="Arial" w:eastAsia="Arial" w:hAnsi="Arial"/>
                <w:sz w:val="13"/>
                <w:szCs w:val="13"/>
                <w:color w:val="auto"/>
              </w:rPr>
              <w:t>Carry</w:t>
            </w: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line="135" w:lineRule="exact"/>
              <w:rPr>
                <w:sz w:val="20"/>
                <w:szCs w:val="20"/>
                <w:color w:val="auto"/>
              </w:rPr>
            </w:pPr>
            <w:r>
              <w:rPr>
                <w:rFonts w:ascii="Arial" w:cs="Arial" w:eastAsia="Arial" w:hAnsi="Arial"/>
                <w:sz w:val="13"/>
                <w:szCs w:val="13"/>
                <w:color w:val="auto"/>
              </w:rPr>
              <w:t>Forward</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20"/>
                <w:szCs w:val="20"/>
                <w:color w:val="auto"/>
              </w:rPr>
            </w:pPr>
            <w:r>
              <w:rPr>
                <w:rFonts w:ascii="Arial" w:cs="Arial" w:eastAsia="Arial" w:hAnsi="Arial"/>
                <w:sz w:val="13"/>
                <w:szCs w:val="13"/>
                <w:color w:val="auto"/>
                <w:w w:val="98"/>
              </w:rPr>
              <w:t>Securities</w:t>
            </w: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9"/>
              </w:rPr>
              <w:t>Total Offering Amounts</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$169,050,000.00</w:t>
            </w:r>
          </w:p>
        </w:tc>
        <w:tc>
          <w:tcPr>
            <w:tcW w:w="6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86"/>
              </w:rPr>
              <w:t>$18,629.31</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Fees Previously Paid</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Fee Offsets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58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rPr>
              <w:t>Net Fee Due</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6"/>
              </w:rPr>
              <w:t>$18,629.31</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securities are being registered solely in connection with the resale of ordinary shares by the selling stockholder named in the registration statement to which this exhibit relates (the “Selling Stockholder”).</w:t>
      </w:r>
    </w:p>
    <w:p>
      <w:pPr>
        <w:spacing w:after="0" w:line="155" w:lineRule="exact"/>
        <w:rPr>
          <w:rFonts w:ascii="Arial" w:cs="Arial" w:eastAsia="Arial" w:hAnsi="Arial"/>
          <w:sz w:val="10"/>
          <w:szCs w:val="10"/>
          <w:color w:val="auto"/>
        </w:rPr>
      </w:pPr>
    </w:p>
    <w:p>
      <w:pPr>
        <w:ind w:left="660" w:right="80" w:hanging="328"/>
        <w:spacing w:after="0" w:line="236"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shares of Class A common stock, par value $0.01 per share (“Class A common stock”), of Mobileye Global Inc. (“Mobileye”) subject to the underwriters’ option to purchase additional shares from the Selling Stockholder.</w:t>
      </w:r>
    </w:p>
    <w:p>
      <w:pPr>
        <w:spacing w:after="0" w:line="191" w:lineRule="exact"/>
        <w:rPr>
          <w:rFonts w:ascii="Arial" w:cs="Arial" w:eastAsia="Arial" w:hAnsi="Arial"/>
          <w:sz w:val="13"/>
          <w:szCs w:val="13"/>
          <w:color w:val="auto"/>
        </w:r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the public offering price.</w:t>
      </w:r>
    </w:p>
    <w:p>
      <w:pPr>
        <w:spacing w:after="0" w:line="120" w:lineRule="exact"/>
        <w:rPr>
          <w:rFonts w:ascii="Arial" w:cs="Arial" w:eastAsia="Arial" w:hAnsi="Arial"/>
          <w:sz w:val="13"/>
          <w:szCs w:val="13"/>
          <w:color w:val="auto"/>
        </w:rPr>
      </w:pPr>
    </w:p>
    <w:p>
      <w:pPr>
        <w:ind w:left="660" w:right="120" w:hanging="328"/>
        <w:spacing w:after="0" w:line="224"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Mobileye previously registered securities with a proposed maximum aggregate offering price of $1,789,917,500.00 on its registration statement on Form S-1 (File No. 333-272420) (the “Prior Registration Statement”), which was declared effective by the Securities and Exchange Commission on June 7, 2023. In accordance with Rule 462(b) under the Securities Act of 1933, as amended, an additional amount of securities having a proposed maximum aggregate offering price of $169,050,000.00 is hereby registered for resale by the Selling Stockholder, which includes shares of Class A common stock subject to the underwriters’ option to purchase additional shares. The registration fee is calculated in accordance with Rule 457(a) under the Securities Act of 1933, as amended, based on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450"/>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2023-06-07T21:01:04Z</dcterms:created>
  <dcterms:modified xsi:type="dcterms:W3CDTF">2023-06-07T21:01:04Z</dcterms:modified>
</cp:coreProperties>
</file>