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 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7" w:lineRule="exact"/>
        <w:rPr>
          <w:sz w:val="24"/>
          <w:szCs w:val="24"/>
          <w:color w:val="auto"/>
        </w:rPr>
      </w:pPr>
    </w:p>
    <w:p>
      <w:pPr>
        <w:ind w:left="220" w:hanging="211"/>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1, 2022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220" w:hanging="211"/>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2960"/>
        <w:spacing w:after="0"/>
        <w:tabs>
          <w:tab w:leader="none" w:pos="5980" w:val="left"/>
          <w:tab w:leader="none" w:pos="69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 001-41541</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Mobileye Global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0"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47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0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88-0666433</w:t>
            </w:r>
          </w:p>
        </w:tc>
      </w:tr>
      <w:tr>
        <w:trPr>
          <w:trHeight w:val="216"/>
        </w:trPr>
        <w:tc>
          <w:tcPr>
            <w:tcW w:w="47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3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16"/>
        </w:trPr>
        <w:tc>
          <w:tcPr>
            <w:tcW w:w="47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c/o Mobileye B.V.</w:t>
            </w:r>
          </w:p>
        </w:tc>
        <w:tc>
          <w:tcPr>
            <w:tcW w:w="43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+972-2-541-7333</w:t>
            </w:r>
          </w:p>
        </w:tc>
      </w:tr>
      <w:tr>
        <w:trPr>
          <w:trHeight w:val="216"/>
        </w:trPr>
        <w:tc>
          <w:tcPr>
            <w:tcW w:w="47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Har Hotzvim, 13 Hartom Street</w:t>
            </w:r>
          </w:p>
        </w:tc>
        <w:tc>
          <w:tcPr>
            <w:tcW w:w="4300" w:type="dxa"/>
            <w:vAlign w:val="bottom"/>
          </w:tcPr>
          <w:p>
            <w:pPr>
              <w:spacing w:after="0"/>
              <w:rPr>
                <w:sz w:val="18"/>
                <w:szCs w:val="18"/>
                <w:color w:val="auto"/>
              </w:rPr>
            </w:pPr>
          </w:p>
        </w:tc>
      </w:tr>
      <w:tr>
        <w:trPr>
          <w:trHeight w:val="216"/>
        </w:trPr>
        <w:tc>
          <w:tcPr>
            <w:tcW w:w="47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P.O. Box 45157 Jerusalem 9777513, Israel</w:t>
            </w:r>
          </w:p>
        </w:tc>
        <w:tc>
          <w:tcPr>
            <w:tcW w:w="4300" w:type="dxa"/>
            <w:vAlign w:val="bottom"/>
          </w:tcPr>
          <w:p>
            <w:pPr>
              <w:spacing w:after="0"/>
              <w:rPr>
                <w:sz w:val="18"/>
                <w:szCs w:val="18"/>
                <w:color w:val="auto"/>
              </w:rPr>
            </w:pPr>
          </w:p>
        </w:tc>
      </w:tr>
      <w:tr>
        <w:trPr>
          <w:trHeight w:val="234"/>
        </w:trPr>
        <w:tc>
          <w:tcPr>
            <w:tcW w:w="47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43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9920"/>
          </w:cols>
          <w:pgMar w:left="980" w:top="661" w:right="999" w:bottom="1440" w:gutter="0" w:footer="0" w:header="0"/>
        </w:sectPr>
      </w:pPr>
    </w:p>
    <w:p>
      <w:pPr>
        <w:spacing w:after="0" w:line="127"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7"/>
          <w:szCs w:val="17"/>
          <w:color w:val="auto"/>
        </w:rPr>
        <w:t>Class A common stock, par value $0.01</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Trading Symbol</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MBLY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Name of Each Exchange on Which Registered </w:t>
      </w:r>
      <w:r>
        <w:rPr>
          <w:rFonts w:ascii="Times New Roman" w:cs="Times New Roman" w:eastAsia="Times New Roman" w:hAnsi="Times New Roman"/>
          <w:sz w:val="18"/>
          <w:szCs w:val="18"/>
          <w:color w:val="auto"/>
        </w:rPr>
        <w:t>The Nasdaq Global Select Market</w:t>
      </w:r>
    </w:p>
    <w:p>
      <w:pPr>
        <w:spacing w:after="0" w:line="24" w:lineRule="exact"/>
        <w:rPr>
          <w:sz w:val="24"/>
          <w:szCs w:val="24"/>
          <w:color w:val="auto"/>
        </w:rPr>
      </w:pPr>
    </w:p>
    <w:p>
      <w:pPr>
        <w:sectPr>
          <w:pgSz w:w="11900" w:h="16838" w:orient="portrait"/>
          <w:cols w:equalWidth="0" w:num="3">
            <w:col w:w="3580" w:space="720"/>
            <w:col w:w="1340" w:space="720"/>
            <w:col w:w="3560"/>
          </w:cols>
          <w:pgMar w:left="980" w:top="661" w:right="999" w:bottom="1440" w:gutter="0" w:footer="0" w:header="0"/>
          <w:type w:val="continuous"/>
        </w:sect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type w:val="continuous"/>
        </w:sectPr>
      </w:pPr>
    </w:p>
    <w:p>
      <w:pPr>
        <w:spacing w:after="0" w:line="12" w:lineRule="exact"/>
        <w:rPr>
          <w:sz w:val="24"/>
          <w:szCs w:val="24"/>
          <w:color w:val="auto"/>
        </w:rPr>
      </w:pPr>
    </w:p>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0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99"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97" w:lineRule="exact"/>
        <w:rPr>
          <w:sz w:val="24"/>
          <w:szCs w:val="24"/>
          <w:color w:val="auto"/>
        </w:rPr>
      </w:pPr>
    </w:p>
    <w:p>
      <w:pPr>
        <w:sectPr>
          <w:pgSz w:w="11900" w:h="16838" w:orient="portrait"/>
          <w:cols w:equalWidth="0" w:num="2">
            <w:col w:w="4420" w:space="720"/>
            <w:col w:w="4780"/>
          </w:cols>
          <w:pgMar w:left="980" w:top="661" w:right="999" w:bottom="1440" w:gutter="0" w:footer="0" w:header="0"/>
          <w:type w:val="continuous"/>
        </w:sect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76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There were 51,911,905 shares of Class A common stock, $0.01 par value, outstanding at November 1, 2022</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1021080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52070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95250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gridSpan w:val="9"/>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9"/>
              </w:rPr>
              <w:t>MOBILEYE GLOBAL INC.</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40" w:type="dxa"/>
            <w:vAlign w:val="bottom"/>
            <w:gridSpan w:val="8"/>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gridSpan w:val="13"/>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October 1, 2022</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gridSpan w:val="9"/>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5"/>
              </w:rPr>
              <w:t>Part I.</w:t>
            </w:r>
          </w:p>
        </w:tc>
        <w:tc>
          <w:tcPr>
            <w:tcW w:w="780" w:type="dxa"/>
            <w:vAlign w:val="bottom"/>
            <w:gridSpan w:val="4"/>
            <w:vMerge w:val="restart"/>
          </w:tcPr>
          <w:p>
            <w:pPr>
              <w:spacing w:after="0"/>
              <w:rPr>
                <w:sz w:val="24"/>
                <w:szCs w:val="24"/>
                <w:color w:val="auto"/>
              </w:rPr>
            </w:pPr>
          </w:p>
        </w:tc>
        <w:tc>
          <w:tcPr>
            <w:tcW w:w="22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4940" w:type="dxa"/>
            <w:vAlign w:val="bottom"/>
            <w:gridSpan w:val="11"/>
            <w:vMerge w:val="restart"/>
          </w:tcPr>
          <w:p>
            <w:pPr>
              <w:spacing w:after="0"/>
              <w:rPr>
                <w:sz w:val="24"/>
                <w:szCs w:val="24"/>
                <w:color w:val="auto"/>
              </w:rPr>
            </w:pPr>
          </w:p>
        </w:tc>
        <w:tc>
          <w:tcPr>
            <w:tcW w:w="11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40" w:type="dxa"/>
            <w:vAlign w:val="bottom"/>
            <w:tcBorders>
              <w:bottom w:val="single" w:sz="8" w:color="0000EE"/>
            </w:tcBorders>
            <w:vMerge w:val="continue"/>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2260" w:type="dxa"/>
            <w:vAlign w:val="bottom"/>
            <w:tcBorders>
              <w:bottom w:val="single" w:sz="8" w:color="0000EE"/>
            </w:tcBorders>
            <w:gridSpan w:val="9"/>
            <w:vMerge w:val="continue"/>
          </w:tcPr>
          <w:p>
            <w:pPr>
              <w:spacing w:after="0"/>
              <w:rPr>
                <w:sz w:val="15"/>
                <w:szCs w:val="15"/>
                <w:color w:val="auto"/>
              </w:rPr>
            </w:pPr>
          </w:p>
        </w:tc>
        <w:tc>
          <w:tcPr>
            <w:tcW w:w="4940" w:type="dxa"/>
            <w:vAlign w:val="bottom"/>
            <w:gridSpan w:val="11"/>
            <w:vMerge w:val="continue"/>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w:t>
            </w:r>
          </w:p>
        </w:tc>
        <w:tc>
          <w:tcPr>
            <w:tcW w:w="720" w:type="dxa"/>
            <w:vAlign w:val="bottom"/>
            <w:gridSpan w:val="3"/>
          </w:tcPr>
          <w:p>
            <w:pPr>
              <w:spacing w:after="0"/>
              <w:rPr>
                <w:sz w:val="17"/>
                <w:szCs w:val="17"/>
                <w:color w:val="auto"/>
              </w:rPr>
            </w:pPr>
          </w:p>
        </w:tc>
        <w:tc>
          <w:tcPr>
            <w:tcW w:w="72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Balance Sheets</w:t>
            </w: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Statements of Operations and Comprehensive Income (Loss)</w:t>
            </w: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Statements of Changes in Equity</w:t>
            </w:r>
          </w:p>
        </w:tc>
        <w:tc>
          <w:tcPr>
            <w:tcW w:w="2020" w:type="dxa"/>
            <w:vAlign w:val="bottom"/>
            <w:tcBorders>
              <w:top w:val="single" w:sz="8" w:color="0000EE"/>
            </w:tcBorders>
            <w:gridSpan w:val="3"/>
          </w:tcPr>
          <w:p>
            <w:pPr>
              <w:spacing w:after="0"/>
              <w:rPr>
                <w:sz w:val="17"/>
                <w:szCs w:val="17"/>
                <w:color w:val="auto"/>
              </w:rPr>
            </w:pPr>
          </w:p>
        </w:tc>
        <w:tc>
          <w:tcPr>
            <w:tcW w:w="1040" w:type="dxa"/>
            <w:vAlign w:val="bottom"/>
            <w:gridSpan w:val="2"/>
          </w:tcPr>
          <w:p>
            <w:pPr>
              <w:spacing w:after="0"/>
              <w:rPr>
                <w:sz w:val="17"/>
                <w:szCs w:val="17"/>
                <w:color w:val="auto"/>
              </w:rPr>
            </w:pP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Statements of Cash Flows</w:t>
            </w: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Combined Financial Statements</w:t>
            </w: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680" w:type="dxa"/>
            <w:vAlign w:val="bottom"/>
            <w:gridSpan w:val="2"/>
          </w:tcPr>
          <w:p>
            <w:pPr>
              <w:spacing w:after="0"/>
              <w:rPr>
                <w:sz w:val="17"/>
                <w:szCs w:val="17"/>
                <w:color w:val="auto"/>
              </w:rPr>
            </w:pPr>
          </w:p>
        </w:tc>
        <w:tc>
          <w:tcPr>
            <w:tcW w:w="72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80" w:type="dxa"/>
            <w:vAlign w:val="bottom"/>
            <w:gridSpan w:val="2"/>
          </w:tcPr>
          <w:p>
            <w:pPr>
              <w:spacing w:after="0"/>
              <w:rPr>
                <w:sz w:val="17"/>
                <w:szCs w:val="17"/>
                <w:color w:val="auto"/>
              </w:rPr>
            </w:pPr>
          </w:p>
        </w:tc>
        <w:tc>
          <w:tcPr>
            <w:tcW w:w="438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2"/>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4.</w:t>
            </w:r>
          </w:p>
        </w:tc>
        <w:tc>
          <w:tcPr>
            <w:tcW w:w="720" w:type="dxa"/>
            <w:vAlign w:val="bottom"/>
            <w:gridSpan w:val="3"/>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420" w:type="dxa"/>
            <w:vAlign w:val="bottom"/>
            <w:gridSpan w:val="13"/>
          </w:tcPr>
          <w:p>
            <w:pPr>
              <w:spacing w:after="0"/>
              <w:rPr>
                <w:sz w:val="17"/>
                <w:szCs w:val="17"/>
                <w:color w:val="auto"/>
              </w:rPr>
            </w:pP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1"/>
              </w:rPr>
              <w:t>Part II.</w:t>
            </w:r>
          </w:p>
        </w:tc>
        <w:tc>
          <w:tcPr>
            <w:tcW w:w="720" w:type="dxa"/>
            <w:vAlign w:val="bottom"/>
            <w:gridSpan w:val="3"/>
          </w:tcPr>
          <w:p>
            <w:pPr>
              <w:spacing w:after="0"/>
              <w:rPr>
                <w:sz w:val="17"/>
                <w:szCs w:val="17"/>
                <w:color w:val="auto"/>
              </w:rPr>
            </w:pPr>
          </w:p>
        </w:tc>
        <w:tc>
          <w:tcPr>
            <w:tcW w:w="72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680" w:type="dxa"/>
            <w:vAlign w:val="bottom"/>
            <w:gridSpan w:val="2"/>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860" w:type="dxa"/>
            <w:vAlign w:val="bottom"/>
            <w:gridSpan w:val="14"/>
          </w:tcPr>
          <w:p>
            <w:pPr>
              <w:spacing w:after="0"/>
              <w:rPr>
                <w:sz w:val="17"/>
                <w:szCs w:val="17"/>
                <w:color w:val="auto"/>
              </w:rPr>
            </w:pP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58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6280" w:type="dxa"/>
            <w:vAlign w:val="bottom"/>
            <w:gridSpan w:val="16"/>
          </w:tcPr>
          <w:p>
            <w:pPr>
              <w:spacing w:after="0"/>
              <w:rPr>
                <w:sz w:val="17"/>
                <w:szCs w:val="17"/>
                <w:color w:val="auto"/>
              </w:rPr>
            </w:pP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680" w:type="dxa"/>
            <w:vAlign w:val="bottom"/>
            <w:gridSpan w:val="2"/>
          </w:tcPr>
          <w:p>
            <w:pPr>
              <w:spacing w:after="0"/>
              <w:rPr>
                <w:sz w:val="17"/>
                <w:szCs w:val="17"/>
                <w:color w:val="auto"/>
              </w:rPr>
            </w:pPr>
          </w:p>
        </w:tc>
        <w:tc>
          <w:tcPr>
            <w:tcW w:w="43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2840" w:type="dxa"/>
            <w:vAlign w:val="bottom"/>
            <w:gridSpan w:val="4"/>
          </w:tcPr>
          <w:p>
            <w:pPr>
              <w:spacing w:after="0"/>
              <w:rPr>
                <w:sz w:val="17"/>
                <w:szCs w:val="17"/>
                <w:color w:val="auto"/>
              </w:rPr>
            </w:pP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80" w:type="dxa"/>
            <w:vAlign w:val="bottom"/>
            <w:gridSpan w:val="2"/>
          </w:tcPr>
          <w:p>
            <w:pPr>
              <w:spacing w:after="0"/>
              <w:rPr>
                <w:sz w:val="17"/>
                <w:szCs w:val="17"/>
                <w:color w:val="auto"/>
              </w:rPr>
            </w:pPr>
          </w:p>
        </w:tc>
        <w:tc>
          <w:tcPr>
            <w:tcW w:w="72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80" w:type="dxa"/>
            <w:vAlign w:val="bottom"/>
            <w:gridSpan w:val="2"/>
          </w:tcPr>
          <w:p>
            <w:pPr>
              <w:spacing w:after="0"/>
              <w:rPr>
                <w:sz w:val="17"/>
                <w:szCs w:val="17"/>
                <w:color w:val="auto"/>
              </w:rPr>
            </w:pPr>
          </w:p>
        </w:tc>
        <w:tc>
          <w:tcPr>
            <w:tcW w:w="17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3"/>
          </w:tcPr>
          <w:p>
            <w:pPr>
              <w:spacing w:after="0"/>
              <w:rPr>
                <w:sz w:val="17"/>
                <w:szCs w:val="17"/>
                <w:color w:val="auto"/>
              </w:rPr>
            </w:pPr>
          </w:p>
        </w:tc>
        <w:tc>
          <w:tcPr>
            <w:tcW w:w="4880" w:type="dxa"/>
            <w:vAlign w:val="bottom"/>
            <w:gridSpan w:val="10"/>
          </w:tcPr>
          <w:p>
            <w:pPr>
              <w:spacing w:after="0"/>
              <w:rPr>
                <w:sz w:val="17"/>
                <w:szCs w:val="17"/>
                <w:color w:val="auto"/>
              </w:rPr>
            </w:pP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680" w:type="dxa"/>
            <w:vAlign w:val="bottom"/>
            <w:gridSpan w:val="2"/>
          </w:tcPr>
          <w:p>
            <w:pPr>
              <w:spacing w:after="0"/>
              <w:rPr>
                <w:sz w:val="17"/>
                <w:szCs w:val="17"/>
                <w:color w:val="auto"/>
              </w:rPr>
            </w:pPr>
          </w:p>
        </w:tc>
        <w:tc>
          <w:tcPr>
            <w:tcW w:w="13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5880" w:type="dxa"/>
            <w:vAlign w:val="bottom"/>
            <w:gridSpan w:val="15"/>
          </w:tcPr>
          <w:p>
            <w:pPr>
              <w:spacing w:after="0"/>
              <w:rPr>
                <w:sz w:val="17"/>
                <w:szCs w:val="17"/>
                <w:color w:val="auto"/>
              </w:rPr>
            </w:pP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720" w:type="dxa"/>
            <w:vAlign w:val="bottom"/>
            <w:gridSpan w:val="3"/>
          </w:tcPr>
          <w:p>
            <w:pPr>
              <w:spacing w:after="0"/>
              <w:rPr>
                <w:sz w:val="17"/>
                <w:szCs w:val="17"/>
                <w:color w:val="auto"/>
              </w:rPr>
            </w:pPr>
          </w:p>
        </w:tc>
        <w:tc>
          <w:tcPr>
            <w:tcW w:w="72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40" w:type="dxa"/>
            <w:vAlign w:val="bottom"/>
            <w:gridSpan w:val="1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100" w:type="dxa"/>
            <w:vAlign w:val="bottom"/>
          </w:tcPr>
          <w:p>
            <w:pPr>
              <w:jc w:val="center"/>
              <w:ind w:left="710"/>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80"/>
          </w:cols>
          <w:pgMar w:left="980" w:top="500" w:right="1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this report,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prior to our initial public offering, where such terms refer to Mobileye Group, which combines the operations of Cyclops Holdings Corporation, Mobileye B.V., GG Acquisition Ltd., Moovit App Global Ltd., and their respective subsidiaries, along with certain Intel employees mainly in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40" w:type="dxa"/>
            <w:vAlign w:val="bottom"/>
          </w:tcPr>
          <w:p>
            <w:pPr>
              <w:spacing w:after="0"/>
              <w:rPr>
                <w:sz w:val="13"/>
                <w:szCs w:val="13"/>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100" w:type="dxa"/>
            <w:vAlign w:val="bottom"/>
          </w:tcPr>
          <w:p>
            <w:pPr>
              <w:spacing w:after="0"/>
              <w:rPr>
                <w:sz w:val="13"/>
                <w:szCs w:val="1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 receivables,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 loan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 payable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Note with related party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Parent net investment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15,889</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7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 except share and per share amounts</w:t>
            </w:r>
          </w:p>
        </w:tc>
        <w:tc>
          <w:tcPr>
            <w:tcW w:w="160" w:type="dxa"/>
            <w:vAlign w:val="bottom"/>
          </w:tcPr>
          <w:p>
            <w:pPr>
              <w:spacing w:after="0"/>
              <w:rPr>
                <w:sz w:val="10"/>
                <w:szCs w:val="10"/>
                <w:color w:val="auto"/>
              </w:rPr>
            </w:pPr>
          </w:p>
        </w:tc>
        <w:tc>
          <w:tcPr>
            <w:tcW w:w="98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9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8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9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(25)</w:t>
            </w:r>
          </w:p>
        </w:tc>
        <w:tc>
          <w:tcPr>
            <w:tcW w:w="1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w:t>
            </w:r>
          </w:p>
        </w:tc>
        <w:tc>
          <w:tcPr>
            <w:tcW w:w="1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(61)</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income with related party</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with related party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(45)</w:t>
            </w:r>
          </w:p>
        </w:tc>
        <w:tc>
          <w:tcPr>
            <w:tcW w:w="1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(26)</w:t>
            </w:r>
          </w:p>
        </w:tc>
        <w:tc>
          <w:tcPr>
            <w:tcW w:w="1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(112)</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Earnings (loss) per share:</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58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Weighted-average number of shares used in computation of earnings (loss) per</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(in millions):</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750</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750</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750</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Parent Net</w:t>
            </w: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3"/>
                <w:szCs w:val="13"/>
                <w:color w:val="auto"/>
              </w:rPr>
            </w:pPr>
          </w:p>
        </w:tc>
        <w:tc>
          <w:tcPr>
            <w:tcW w:w="8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9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5"/>
                <w:szCs w:val="15"/>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5"/>
                <w:szCs w:val="15"/>
                <w:color w:val="auto"/>
              </w:rPr>
            </w:pPr>
          </w:p>
        </w:tc>
        <w:tc>
          <w:tcPr>
            <w:tcW w:w="8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July 2, 2022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11,223</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sharing agreement with Parent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transfer from (to) Parent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October 1, 2022</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26, 2021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transfer from (to) Parent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25, 2021</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15,857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25, 2021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15,884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transaction in connection with the legal purchase of Moovit entities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 Note with related party</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Dividend distribution</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sharing agreement with Parent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transfer from (to) Parent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October 1, 2022</w:t>
            </w:r>
          </w:p>
        </w:tc>
        <w:tc>
          <w:tcPr>
            <w:tcW w:w="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11,178</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26, 2020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15,842</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transfer from (to) Parent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25, 2021</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15,857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15,861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center"/>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0" w:type="dxa"/>
            <w:vAlign w:val="bottom"/>
          </w:tcPr>
          <w:p>
            <w:pPr>
              <w:spacing w:after="0"/>
              <w:rPr>
                <w:sz w:val="1"/>
                <w:szCs w:val="1"/>
                <w:color w:val="auto"/>
              </w:rPr>
            </w:pPr>
          </w:p>
        </w:tc>
      </w:tr>
      <w:tr>
        <w:trPr>
          <w:trHeight w:val="173"/>
        </w:trPr>
        <w:tc>
          <w:tcPr>
            <w:tcW w:w="676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Adjustments to reconcile net income (loss) to net cash provided by operating activities: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of property and equipment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Exchange rate differences on cash and cash equivalents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Deferred income taxes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on Dividend Note</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with related party, net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Decrease (increase) in trade accounts receivables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Decrease (increase) in other current assets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Decrease (increase) in inventories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Increase (decrease) in account payables and accrued expenses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 (decrease) in employee-related accrued expenses and long term benefits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Increase (decrease) in other current-liabilities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Decrease (increase) in other long term assets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Increase (decrease) in long-term liabilities</w:t>
            </w:r>
          </w:p>
        </w:tc>
        <w:tc>
          <w:tcPr>
            <w:tcW w:w="4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4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395</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438</w:t>
            </w:r>
          </w:p>
        </w:tc>
        <w:tc>
          <w:tcPr>
            <w:tcW w:w="0" w:type="dxa"/>
            <w:vAlign w:val="bottom"/>
          </w:tcPr>
          <w:p>
            <w:pPr>
              <w:spacing w:after="0"/>
              <w:rPr>
                <w:sz w:val="1"/>
                <w:szCs w:val="1"/>
                <w:color w:val="auto"/>
              </w:rPr>
            </w:pP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Repayments of loan due from related party</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Issuance of loan to related party</w:t>
            </w:r>
          </w:p>
        </w:tc>
        <w:tc>
          <w:tcPr>
            <w:tcW w:w="4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cash provided by (used in) investing activities</w:t>
            </w:r>
          </w:p>
        </w:tc>
        <w:tc>
          <w:tcPr>
            <w:tcW w:w="4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transfers from Parent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 paid</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Share-based compensation recharge</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offering costs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Changes in withholding tax related to employee stock plans</w:t>
            </w:r>
          </w:p>
        </w:tc>
        <w:tc>
          <w:tcPr>
            <w:tcW w:w="4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4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(451)</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67</w:t>
            </w:r>
          </w:p>
        </w:tc>
        <w:tc>
          <w:tcPr>
            <w:tcW w:w="0" w:type="dxa"/>
            <w:vAlign w:val="bottom"/>
          </w:tcPr>
          <w:p>
            <w:pPr>
              <w:spacing w:after="0"/>
              <w:rPr>
                <w:sz w:val="1"/>
                <w:szCs w:val="1"/>
                <w:color w:val="auto"/>
              </w:rPr>
            </w:pP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cash, cash equivalents and restricted cash</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Balance of cash, cash equivalents and restricted cash, at beginning of year</w:t>
            </w:r>
          </w:p>
        </w:tc>
        <w:tc>
          <w:tcPr>
            <w:tcW w:w="4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of cash, cash equivalents and restricted cash, at end of period</w:t>
            </w:r>
          </w:p>
        </w:tc>
        <w:tc>
          <w:tcPr>
            <w:tcW w:w="4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882</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110</w:t>
            </w:r>
          </w:p>
        </w:tc>
        <w:tc>
          <w:tcPr>
            <w:tcW w:w="0" w:type="dxa"/>
            <w:vAlign w:val="bottom"/>
          </w:tcPr>
          <w:p>
            <w:pPr>
              <w:spacing w:after="0"/>
              <w:rPr>
                <w:sz w:val="1"/>
                <w:szCs w:val="1"/>
                <w:color w:val="auto"/>
              </w:rPr>
            </w:pP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Supplementary non-cash investing and financing activities: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 cash purchase of property and equipment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share based compensation recharge</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 transaction in connection with the legal purchase of Moovit entities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Dividend Note with related party</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 cash deferred offering costs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Tax sharing agreement with Parent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(paid) for income taxes, net of refunds</w:t>
            </w: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received from related party</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combined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Mobileye Group is a leader in the development and deployment of advanced driver assistance systems (“ADAS”) and autonomous driving technologies and solutions. Mobileye Group combines the operations of Cyclops Holdings LLC (“Cyclops”), Mobileye B.V. and its subsidiaries (“Mobileye”) GG Acquisition Ltd. and the Moovit App Global Ltd. and its subsidiaries (“Moovit”) and certain Intel employees mainly in research and development (the “Intel Aligned Groups”) (collectively, unless the context otherwise requires, the “Company”, “we”, and “our”).</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Mobileye operates as a component of Intel, which acquired a majority stake in Mobileye in August 2017 (the “Mobileye Acquisition”). The remaining issued and outstanding shares of Mobileye were acquired by Intel during 2018. The Company is building a robust portfolio of end-to-end ADAS and autonomous driving solutions to provide the capabilities required for the future of autonomous driving, leveraging a comprehensive suite of purpose-built software and hardware technologies.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Moovit, a leading urban mobility app and mobility-as-a-service (“MaaS”) solutions provider also operates as a component of Intel upon acquisition of the issued and outstanding equity interests of Moovit in May 2020 (the “Moovit Acquisition”). On May 31, 2022, we legally purchased from Intel 100% of the issued and outstanding equity interests of the Moovit entities. For further detail see Note 6.</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2021, Intel announced plans to pursue an initial public offering (“IPO”) of Mobileye Group. In January 2022, Intel incorporated a new legal entity, Mobileye Global Inc., with the intent to contribute the Company to Mobileye Global Inc. and be able to offer newly issued shares of common stock of Mobileye Global Inc. in an IPO.</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October 2022, the initial public offering of Mobileye (the “Mobileye IPO”) was completed. The registration statement related to the Mobileye IPO was declared effective on October 25, 2022, and our Class A common stock began trading on the Nasdaq Global Select Market under the ticker symbol “MBLY” on October 26, 2022.</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completion of the Mobileye IPO, we were a wholly-owned business of Intel Corporation (“Intel” or the “Parent”). Upon the closing of the Mobileye IPO (after giving effect to the exercise of the underwriters’ over-allotment option), Intel continues to directly or indirectly hold all of the Class B common stock of Mobileye, which represents approximately 99.3% of the voting power of our common stock. Upon completion of the IPO, we completed the legal entity reorganization of our operations comprising the Mobileye Group business so that they are all under the single parent entity, Mobileye Global Inc., and the filing and effectiveness of our amended and restated certificate of incorporation.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9, Subsequent Events, for details relating to the Company’s IPO and related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condensed combined financial statements have been prepared in accordance with United States generally accepted accounting principles (“U.S. GAAP”) and applicable rules and regulations of the Securities and Exchange Commission (“SEC”) for interim financial reporting.</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GAAP have been condensed or omitted pursuant to such rules and regulations. These condensed combined financial statements have been prepared on the same basis as the Company’s annual audited combined financial statements and, in the opinion of management, reflect all adjustments, consisting only of normal recurring adjustments, which are necessary for the fair statement of the Company’s financial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October 1, 2022 shown in this report are not necessarily indicative of the results to be expected for the full year ending 2022. The condensed combined financial statements should be read in conjunction with the audited combined financial statements for the fiscal year ended December 25, 2021.</w:t>
      </w:r>
    </w:p>
    <w:p>
      <w:pPr>
        <w:spacing w:after="0" w:line="1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condensed combined financial statements and accompanying notes have been derived from the consolidated financial statements and accounting records of Intel and are presented as if the Company had been operating as a stand-alone company for all periods presented. The assets, liabilities, revenue, and expenses directly attributable to the Company’s operations, including the acquired goodwill and intangible assets, have been reflected in these condensed combined financial statements on a historical cost basis, as included in the consolidated financial statements of Intel.</w:t>
      </w:r>
    </w:p>
    <w:p>
      <w:pPr>
        <w:spacing w:after="0" w:line="17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utilized the Intel Aligned Groups mainly in research and development activities. The associated costs of the Intel Aligned Groups are reflected on a specific attribution basis in the condensed combined statements of operations and comprehensive income (loss). Intel Aligned Groups also participated in various Intel compensation and benefit plans. Portions of those plans’ costs were based on actual headcount and included in these condensed combined financial statements. These costs are not necessarily indicative of costs that would have been incurred had the Company operated on a stand-alone basis.</w:t>
      </w:r>
    </w:p>
    <w:p>
      <w:pPr>
        <w:spacing w:after="0" w:line="17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condensed combined statements of operations and comprehensive income (loss) also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w:t>
      </w:r>
    </w:p>
    <w:p>
      <w:pPr>
        <w:spacing w:after="0" w:line="15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Mobileye largely continued to operate as a standalone operation and had not been fully integrated into 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Mobileye Group was not historically held by a single legal entity, total parent net investment is shown in lieu of equity in the condensed combined financial statements and represents Intel’s total interest in the recorded net assets of Mobileye Group. All intercompany transactions within the combined businesses of the Company have been eliminated. Transactions between the Company and Intel, arising from arrangements with Intel and other similar related-party transactions, were considered to be effectively settled in the condensed combined financial statements at the time the transactions were recorded, unless otherwise noted. The total net effect of the settlement of these transactions was reflected within parent net investment as a component of equity in the condensed combined balance sheets and within net transfers from Parent as a financing activity in the condensed combined statements of cash flows, unless otherwise noted.</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significant accounting policies as described in our combined financial statements for the fiscal year ended December 25, 2021, other than described below regarding deferred offering costs and income tax and regarding earnings per share as described in Note 4. For further detail, see Note 2 in the audited combined financial statements for the fiscal year ended December 25,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Deferred offering costs consisting of legal, accounting and other fees and costs incurred that are directly related to the IPO, are capitalized and recorded on the condensed combined balance sheet. These deferred costs will be reclassified to shareholders’ equity upon the consummation of the IPO, which was completed in October 2022, and recorded against the proceeds received. If the IPO would have been aborted, all the deferred offering costs would have been expensed. The Company capitalized $15 million and $0 million of deferred offering costs within other long-term assets, in the condensed combined balance sheet as of October 1, 2022, and December 25, 2021, respectively. Transaction costs which are not directly related to the IPO, are expensed as incurred within general and administrative expenses. The Company recognized $1 million and $4 million of offering costs as an expense in the three and nine months ended October 1, 2022, respectively.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the cash, cash equivalents and restricted cash as of each period end: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October 1, 2022</w:t>
            </w:r>
          </w:p>
        </w:tc>
        <w:tc>
          <w:tcPr>
            <w:tcW w:w="2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25, 2021</w:t>
            </w:r>
          </w:p>
        </w:tc>
      </w:tr>
      <w:tr>
        <w:trPr>
          <w:trHeight w:val="20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(within other long-term assets)</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carrying amounts of the related party loan, trade accounts receivable, Dividend Note with related party, accounts payable and investments in short term deposits classified as cash equivalents, approximate their respective fair value because of their generally short maturities.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Short term deposits included in cash and cash equivalents were $770 million and $209 million as of October 1, 2022 and December 25, 2021,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also has goodwill and acquisition-related in-process research and development assets that are required to be recorded at fair value only if an impairment is recognized in the current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consist primarily of personnel, facilities, equipment, and supplies for research and development activities.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occasionally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Participation in expenses for research and development projects are recognized on the basis of the costs incurred and are netted against research and development expenses in the condensed combined statements of operations and comprehensive income (loss). Research and development reimbursements of $15 million, and $17 million were offset against research and development costs in the three months ended October 1, 2022 and September 25, 2021, respectively; and $40 million and $39 million were offset in the nine months ended October 1, 2022 and September 25, 2021,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Beginning in 2021, as part of Intel’s corporate hedging program, Intel is hedging forecast cash flows denominated in Israel Shekels (“ILS”) related to the Company. ILS is the largest operating expense currency of the Company. Intel combines all of its ILS exposures, and as part of Intel’s hedging program enters into hedging contracts to hedge Intel’s combined ILS exposure. Derivative gains and losses attributed to these condensed combined financial statements are recorded under accumulated other comprehensive income and reclassified into earnings in the same period or periods during which the hedged transaction affects earnings.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notional amount and fair value of derivatives outstanding at Intel on behalf of Mobileye were: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October 1, 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25, 2021</w:t>
            </w:r>
          </w:p>
        </w:tc>
      </w:tr>
      <w:tr>
        <w:trPr>
          <w:trHeight w:val="196"/>
        </w:trPr>
        <w:tc>
          <w:tcPr>
            <w:tcW w:w="69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460"/>
              <w:spacing w:after="0" w:line="196" w:lineRule="exact"/>
              <w:rPr>
                <w:sz w:val="20"/>
                <w:szCs w:val="20"/>
                <w:color w:val="auto"/>
              </w:rPr>
            </w:pPr>
            <w:r>
              <w:rPr>
                <w:rFonts w:ascii="Times New Roman" w:cs="Times New Roman" w:eastAsia="Times New Roman" w:hAnsi="Times New Roman"/>
                <w:sz w:val="18"/>
                <w:szCs w:val="18"/>
                <w:b w:val="1"/>
                <w:bCs w:val="1"/>
                <w:color w:val="auto"/>
              </w:rPr>
              <w:t>U.S. dollars</w:t>
            </w:r>
          </w:p>
        </w:tc>
        <w:tc>
          <w:tcPr>
            <w:tcW w:w="138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Notional amount of derivatives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derivatives receivable from (payable to) Intel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accumulated other comprehensive income (loss) relating to gains (losses) on derivatives used for hedging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40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October 1, 2022</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October 1, 2022</w:t>
            </w:r>
          </w:p>
        </w:tc>
      </w:tr>
      <w:tr>
        <w:trPr>
          <w:trHeight w:val="196"/>
        </w:trPr>
        <w:tc>
          <w:tcPr>
            <w:tcW w:w="69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54"/>
              <w:spacing w:after="0" w:line="196" w:lineRule="exact"/>
              <w:rPr>
                <w:sz w:val="20"/>
                <w:szCs w:val="20"/>
                <w:color w:val="auto"/>
              </w:rPr>
            </w:pPr>
            <w:r>
              <w:rPr>
                <w:rFonts w:ascii="Times New Roman" w:cs="Times New Roman" w:eastAsia="Times New Roman" w:hAnsi="Times New Roman"/>
                <w:sz w:val="18"/>
                <w:szCs w:val="18"/>
                <w:b w:val="1"/>
                <w:bCs w:val="1"/>
                <w:color w:val="auto"/>
              </w:rPr>
              <w:t>U.S. dollars in millions</w:t>
            </w: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income (loss)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2"/>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provision for income tax consists of income taxes in the various jurisdictions where the Company is subject to taxation, primarily the United States and Israel. For interim periods, the Company recognizes an income tax benefit (provision) based on the estimated annual effective tax rate, calculated on a worldwide consolidated basis, expected for the entire year. The Company applies this rate to the year-to-date pre-tax income. The overall effective tax rate is influenced by valuation allowances on tax assets for which no benefit can be recognized due to the Company’s recent history of pretax losses sustained. Tax jurisdictions with forecasted pretax losses for the year for which no benefit can be recognized are excluded from the calculation of the worldwide estimated annual effective tax rate, and any associated tax expense for those jurisdiction is recorded separately.</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legal entities of Mobileye file tax returns on a consolidated basis with our parent Intel Corporation. We have entered into a tax sharing agreement with Intel Corporation that establishes the amount of cash we will pay to our parent for our share of the tax liability owed on these consolidated filings. The income tax provision included in these combined financial statements has been calculated using the separate return method, as if the Company had filed its own tax returns. This method can limit our ability to benefit losses that may have been used by Intel in the consolidated tax returns. To the extent the tax sharing agreement and the separate return method differ, an adjustment to our net parent investment balance is recorded.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condensed combined financial statements in conformity with U.S. GAAP requires management to make estimates, judgments and assumptions that affect the amounts and events reported and disclosed in the combined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an on-going basis, management evaluates its estimates, judgments, and assumptions. The most significant estimates and assumptions relate to recognition and useful lives of intangible assets, impairment assessment of intangible assets and goodwill, and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believes that there are no current matters that would have a material effect on the Company’s condensed combined balance sheets, statement of operations or cash flows. Legal fees are expensed as incurred.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which include short-term deposits, and trade accounts receivable.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banks domiciled in the U.S., as well as in Israel. Generally, these cash equivalents may be redeemed upon demand. Short term bank deposits, included in cash and cash equivalents, are held in the aforementioned banks. Accordingly, management believes that these bank deposits have minimal credit risk.</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accounts receivables are derived primarily from sales to Tier 1 suppliers to the automotive manufacturing industry located mainly in the U.S., Europe, and China. Concentration of credit risk with respect to accounts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The Company establishes credit losses accounts receivable by considering a number of factors, including the length of time accounts receivable are past due, the Company’s previous loss history from such customers, and the customers’ current ability to pay its obligation to the Company. As of October 1, 2022 and December 25, 2021, the credit losses in respect of accounts receivable, which are determined with respect to specific debts that are doubtful of collection and netted against accounts receivable, were not material. The Company writes off accounts receivable when they are deemed uncollectible. For the three and nine months ended October 1, 2022 and September 25, 2021, the charge-offs and recoveries in relation to the credit losses accounts were not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8 related to customers that accounted for more than 10% of the Company’s total revenue and accounts receivable for each of the periods presented in these condensed combined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Dependence on a single supplier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purchases all its System on Chip (“EyeQ® SoC”) from a single supplier. Any issues that occur and persist in connection with the manufacture, delivery, quality, or cost of the assembly and testing of inventory could have a material adverse effect on the Company’s business, results of operations and financial condition. See below regarding a shortage in EyeQ® SoC that the Company has been experiencing during 2021 and through the nine months ended October 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COVID-19 pandemic has adversely affected significant portions of the Company’s business and could have a continued adverse effect on the Company’s business, results of operations, and financial condition. There is a significant constraint in the global supply of semiconductors. The COVID-19 pandemic led to an increase in the demand for consumer electronics and global semiconductor manufacturers allocated significant capacity to meet such demand. As global automakers resumed production in 2020 following shutdowns resulting from the COVID-19 pandemic, semiconductor supply became further strained, and these factors, combined with the long lead times associated with the Company, have contributed to a shortage of semiconductors.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During the fiscal year ended December 25, 2021, and through nine months ended October 1, 2022, the Company’s sole supplier was not able to meet demand of the Company for the EyeQ® SoC, causing a significant reduction in the Company’s inventory levels. We expect to continue to experience a shortfall of EyeQ® SoC which has already caused certain delays and may continue to cause further delays in our ability to fulfil customers’ orders. Since the EyeQ® SoC is the core of the ADAS and AV products, continued shortages in the supply of sufficient EyeQ® SoC to meet production needs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In addition, issues relating to the COVID-19 pandemic have led to port congestion and intermittent supplier shutdowns and delays in the delivery of critical components, resulting in additional expenses to expedite delivery of critical parts. Sustaining the Company’s production trajectory will require the readiness and solvency of its suppliers and vendors, a stable and motivated production workforce and ongoing government cooperation, including for travel and visa allowances, which many governments have restricted in connection with efforts to address the COVID-19 pandemic.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condensed combined financial statements, and any significant terms and conditions of the agreements, including commitments and contingencies. The new standard which can be applied prospectively or retrospectively, was adopted by the Company, and only impacts annual financial statement footnote disclosures. The impact of adoption of this standard is immaterial.</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Facilitation of the Effects of Reference Rate Reform on Financial Reporting, which provides practical expedients and exceptions for applying U.S. GAAP to contracts, hedging relationships, and other transactions affected by reference rate reform if certain criteria are met. The amendments in this ASU apply only to contracts, hedging relationships, and other transactions that reference the London Interbank Offered Rate (“LIBOR”) or another reference rate expected to be discontinued due to reference rate reform. ASU No. 2020-04 is effective and can be applied prospectively through December 31, 2022. The Company has completed its evaluation of significant contracts. The Company has adopted the ASU in these unaudited condensed combined financial statements. There was no material impact on these unaudited condensed combined financial statements. For further information, see Note 6 regarding related party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OTHER FINANCIAL STATEMENT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25,</w:t>
            </w:r>
          </w:p>
        </w:tc>
      </w:tr>
      <w:tr>
        <w:trPr>
          <w:trHeight w:val="173"/>
        </w:trPr>
        <w:tc>
          <w:tcPr>
            <w:tcW w:w="43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4380" w:type="dxa"/>
            <w:vAlign w:val="bottom"/>
            <w:tcBorders>
              <w:bottom w:val="single" w:sz="8" w:color="CCEEFF"/>
            </w:tcBorders>
          </w:tcPr>
          <w:p>
            <w:pPr>
              <w:spacing w:after="0"/>
              <w:rPr>
                <w:sz w:val="11"/>
                <w:szCs w:val="11"/>
                <w:color w:val="auto"/>
              </w:rPr>
            </w:pPr>
          </w:p>
        </w:tc>
        <w:tc>
          <w:tcPr>
            <w:tcW w:w="3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5"/>
          </w:tcPr>
          <w:p>
            <w:pPr>
              <w:jc w:val="right"/>
              <w:ind w:right="396"/>
              <w:spacing w:after="0" w:line="129" w:lineRule="exact"/>
              <w:rPr>
                <w:sz w:val="20"/>
                <w:szCs w:val="20"/>
                <w:color w:val="auto"/>
              </w:rPr>
            </w:pPr>
            <w:r>
              <w:rPr>
                <w:rFonts w:ascii="Times New Roman" w:cs="Times New Roman" w:eastAsia="Times New Roman" w:hAnsi="Times New Roman"/>
                <w:sz w:val="14"/>
                <w:szCs w:val="14"/>
                <w:b w:val="1"/>
                <w:bCs w:val="1"/>
                <w:color w:val="auto"/>
              </w:rPr>
              <w:t>U.S. dollars in millions</w:t>
            </w: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0"/>
        </w:trPr>
        <w:tc>
          <w:tcPr>
            <w:tcW w:w="43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r>
      <w:tr>
        <w:trPr>
          <w:trHeight w:val="20"/>
        </w:trPr>
        <w:tc>
          <w:tcPr>
            <w:tcW w:w="43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 write-downs and write-offs were not material for the periods presented in these condensed combined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25,</w:t>
            </w:r>
          </w:p>
        </w:tc>
      </w:tr>
      <w:tr>
        <w:trPr>
          <w:trHeight w:val="173"/>
        </w:trPr>
        <w:tc>
          <w:tcPr>
            <w:tcW w:w="7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r>
      <w:tr>
        <w:trPr>
          <w:trHeight w:val="128"/>
        </w:trPr>
        <w:tc>
          <w:tcPr>
            <w:tcW w:w="73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5"/>
          </w:tcPr>
          <w:p>
            <w:pPr>
              <w:jc w:val="right"/>
              <w:ind w:right="514"/>
              <w:spacing w:after="0" w:line="129"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0" w:type="dxa"/>
            <w:vAlign w:val="bottom"/>
          </w:tcPr>
          <w:p>
            <w:pPr>
              <w:spacing w:after="0"/>
              <w:rPr>
                <w:sz w:val="11"/>
                <w:szCs w:val="11"/>
                <w:color w:val="auto"/>
              </w:rPr>
            </w:pPr>
          </w:p>
        </w:tc>
      </w:tr>
      <w:tr>
        <w:trPr>
          <w:trHeight w:val="20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electronic equipment and software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on process</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18"/>
                <w:szCs w:val="18"/>
                <w:color w:val="auto"/>
              </w:rPr>
            </w:pP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plant and equipment, gross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2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20" w:type="dxa"/>
            <w:vAlign w:val="bottom"/>
          </w:tcPr>
          <w:p>
            <w:pPr>
              <w:spacing w:after="0"/>
              <w:rPr>
                <w:sz w:val="18"/>
                <w:szCs w:val="18"/>
                <w:color w:val="auto"/>
              </w:rPr>
            </w:pPr>
          </w:p>
        </w:tc>
      </w:tr>
      <w:tr>
        <w:trPr>
          <w:trHeight w:val="20"/>
        </w:trPr>
        <w:tc>
          <w:tcPr>
            <w:tcW w:w="7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expenses totaled $7 million and $5 million for the three months ended October 1, 2022 and September 25, 2021, respectively; and $17 million and $12 million for the nine months ended October 1, 2022 and September 25,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EQUITY</w:t>
      </w:r>
    </w:p>
    <w:p>
      <w:pPr>
        <w:spacing w:after="0" w:line="22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plans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equity incentive plans are broad-based, long-term programs intended to attract and retain talented employees. The Company’s employees participate in Intel’s equity incentive plan. All references to share and per share data in the tables below refer to Intel’s common stock.</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Outstanding and exercisable options for Intel’s common stock under Intel’s plan as of October 1, 2022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0"/>
                <w:szCs w:val="10"/>
                <w:color w:val="auto"/>
              </w:rPr>
            </w:pPr>
          </w:p>
        </w:tc>
        <w:tc>
          <w:tcPr>
            <w:tcW w:w="13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4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0" w:type="dxa"/>
            <w:vAlign w:val="bottom"/>
            <w:gridSpan w:val="2"/>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5"/>
                <w:szCs w:val="15"/>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6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42"/>
        </w:trPr>
        <w:tc>
          <w:tcPr>
            <w:tcW w:w="3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2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2"/>
                <w:szCs w:val="12"/>
                <w:color w:val="auto"/>
              </w:rPr>
            </w:pPr>
          </w:p>
        </w:tc>
        <w:tc>
          <w:tcPr>
            <w:tcW w:w="1160" w:type="dxa"/>
            <w:vAlign w:val="bottom"/>
            <w:tcBorders>
              <w:top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2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160" w:type="dxa"/>
            <w:vAlign w:val="bottom"/>
            <w:tcBorders>
              <w:top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$ 4.01 - 21.59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$ 22.41 - 26.89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$55.17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09"/>
        </w:trPr>
        <w:tc>
          <w:tcPr>
            <w:tcW w:w="4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option activity for the nine months ended October 1, 2022 for options granted to the Company’s employees for Intel’s common stock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Aggregated</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intrinsic value(1)</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U.S. dollars</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In Years</w:t>
            </w:r>
          </w:p>
        </w:tc>
        <w:tc>
          <w:tcPr>
            <w:tcW w:w="2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outstanding at December 25, 2021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outstanding at October 1,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Options exercisable as of October 1, 2022</w:t>
            </w: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2,217</w:t>
            </w: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27.1</w:t>
            </w:r>
          </w:p>
        </w:tc>
        <w:tc>
          <w:tcPr>
            <w:tcW w:w="20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option activity for the three months ended October 1, 2022 for options granted to the Company’s employees for Intel’s common stock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Aggregated</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1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intrinsic value(1)</w:t>
            </w:r>
          </w:p>
        </w:tc>
        <w:tc>
          <w:tcPr>
            <w:tcW w:w="0" w:type="dxa"/>
            <w:vAlign w:val="bottom"/>
          </w:tcPr>
          <w:p>
            <w:pPr>
              <w:spacing w:after="0"/>
              <w:rPr>
                <w:sz w:val="1"/>
                <w:szCs w:val="1"/>
                <w:color w:val="auto"/>
              </w:rPr>
            </w:pPr>
          </w:p>
        </w:tc>
      </w:tr>
      <w:tr>
        <w:trPr>
          <w:trHeight w:val="142"/>
        </w:trPr>
        <w:tc>
          <w:tcPr>
            <w:tcW w:w="460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14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outstanding at July 2,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outstanding at October 1, 2022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Options exercisable at October 1, 2022</w:t>
            </w: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2,217</w:t>
            </w:r>
          </w:p>
        </w:tc>
        <w:tc>
          <w:tcPr>
            <w:tcW w:w="1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27.1</w:t>
            </w:r>
          </w:p>
        </w:tc>
        <w:tc>
          <w:tcPr>
            <w:tcW w:w="14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261"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closing stock price of the Intel’s ordinary share. On October 1, 2022 and December 25, 2021, Intel’s ordinary share prices were $25.77, and $51.31, respectively. This represents the potential pre-tax amount receivable by the option holders had all option holders exercised their options as of such date.</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expected to vest as of October 1, 2022 are 63 thousand options with an average weighted exercise price of $26.49.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RSU activity for the nine months ended October 1, 2022 for RSUs granted to Company’s employees for Intel’s common stock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4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1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fair value</w:t>
            </w:r>
          </w:p>
        </w:tc>
        <w:tc>
          <w:tcPr>
            <w:tcW w:w="0" w:type="dxa"/>
            <w:vAlign w:val="bottom"/>
          </w:tcPr>
          <w:p>
            <w:pPr>
              <w:spacing w:after="0"/>
              <w:rPr>
                <w:sz w:val="1"/>
                <w:szCs w:val="1"/>
                <w:color w:val="auto"/>
              </w:rPr>
            </w:pPr>
          </w:p>
        </w:tc>
      </w:tr>
      <w:tr>
        <w:trPr>
          <w:trHeight w:val="142"/>
        </w:trPr>
        <w:tc>
          <w:tcPr>
            <w:tcW w:w="718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09"/>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25, 2021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5,278</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46.49</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80" w:type="dxa"/>
            <w:vAlign w:val="bottom"/>
            <w:vMerge w:val="continue"/>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3,752</w:t>
            </w:r>
          </w:p>
        </w:tc>
        <w:tc>
          <w:tcPr>
            <w:tcW w:w="2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43.65</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October 1, 2022</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44.84</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RSU activity for the three months ended October 1, 2022 for RSUs granted to Company’s employees for Intel’s common stock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4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1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fair value</w:t>
            </w:r>
          </w:p>
        </w:tc>
        <w:tc>
          <w:tcPr>
            <w:tcW w:w="0" w:type="dxa"/>
            <w:vAlign w:val="bottom"/>
          </w:tcPr>
          <w:p>
            <w:pPr>
              <w:spacing w:after="0"/>
              <w:rPr>
                <w:sz w:val="1"/>
                <w:szCs w:val="1"/>
                <w:color w:val="auto"/>
              </w:rPr>
            </w:pPr>
          </w:p>
        </w:tc>
      </w:tr>
      <w:tr>
        <w:trPr>
          <w:trHeight w:val="142"/>
        </w:trPr>
        <w:tc>
          <w:tcPr>
            <w:tcW w:w="718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09"/>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July 2,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7,967</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45.34</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80" w:type="dxa"/>
            <w:vAlign w:val="bottom"/>
            <w:vMerge w:val="continue"/>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33.33</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0" w:type="dxa"/>
            <w:vAlign w:val="bottom"/>
          </w:tcPr>
          <w:p>
            <w:pPr>
              <w:spacing w:after="0"/>
              <w:rPr>
                <w:sz w:val="1"/>
                <w:szCs w:val="1"/>
                <w:color w:val="auto"/>
              </w:rPr>
            </w:pPr>
          </w:p>
        </w:tc>
      </w:tr>
      <w:tr>
        <w:trPr>
          <w:trHeight w:val="209"/>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October 1,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8,060</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44.84</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Share-based compensation expenses included in the condensed combined statements of operations and comprehensive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36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October 1, 2022   September 25, 2021</w:t>
            </w:r>
          </w:p>
        </w:tc>
        <w:tc>
          <w:tcPr>
            <w:tcW w:w="200" w:type="dxa"/>
            <w:vAlign w:val="bottom"/>
          </w:tcPr>
          <w:p>
            <w:pPr>
              <w:spacing w:after="0"/>
              <w:rPr>
                <w:sz w:val="12"/>
                <w:szCs w:val="12"/>
                <w:color w:val="auto"/>
              </w:rPr>
            </w:pPr>
          </w:p>
        </w:tc>
        <w:tc>
          <w:tcPr>
            <w:tcW w:w="240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October 1, 2022   September 25, 2021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 w:type="dxa"/>
            <w:vAlign w:val="bottom"/>
            <w:tcBorders>
              <w:bottom w:val="single" w:sz="8" w:color="CCEEFF"/>
            </w:tcBorders>
          </w:tcPr>
          <w:p>
            <w:pPr>
              <w:spacing w:after="0"/>
              <w:rPr>
                <w:sz w:val="11"/>
                <w:szCs w:val="11"/>
                <w:color w:val="auto"/>
              </w:rPr>
            </w:pPr>
          </w:p>
        </w:tc>
        <w:tc>
          <w:tcPr>
            <w:tcW w:w="3280" w:type="dxa"/>
            <w:vAlign w:val="bottom"/>
            <w:tcBorders>
              <w:bottom w:val="single" w:sz="8" w:color="CCEEFF"/>
            </w:tcBorders>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98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center"/>
              <w:ind w:right="4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1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32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vMerge w:val="continue"/>
          </w:tcPr>
          <w:p>
            <w:pPr>
              <w:spacing w:after="0"/>
              <w:rPr>
                <w:sz w:val="24"/>
                <w:szCs w:val="24"/>
                <w:color w:val="auto"/>
              </w:rPr>
            </w:pPr>
          </w:p>
        </w:tc>
        <w:tc>
          <w:tcPr>
            <w:tcW w:w="32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12, 2022, Mobileye Group declared and paid a dividend in an aggregate amount of $336 million to Intel, net of $14 million of cash paid to tax authorities to settle related tax obligations.</w:t>
      </w:r>
    </w:p>
    <w:p>
      <w:pPr>
        <w:spacing w:after="0" w:line="158"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Before the Mobileye IPO, Intel held directly or indirectly the 100 shares of common stock of Mobileye Global Inc. with a par value of $0.01 per share, that were issued and outstanding. Immediately prior to the IPO, those 100 shares of common stock held by Intel were reclassified into 100 shares of Class B common stock with a par value of $0.01 per share. Concurrently, we issued to Intel an additional 749,999,900 shares of our Class B common stock pursuant to an agreement with Intel. Accordingly, as of the completion of the IPO, we have 750,000,000 Class B shares, all held by Intel. This share amount is being utilized for the calculation of basic and diluted earnings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 share for all periods presented. Basic and diluted net income (loss) per share is computed by dividing net income (loss) for the period by the weighted average number of common shares outstanding during the period.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IPO, we issued 41,000,000 shares of our Class A common stock to the public at a public offering price of $21.00 per share and an additional 4,761,905 Class A shares at a private placement. The IPO closed on October 28, 2022. On November 1, 2022, we closed the sale of an additional 6,150,000 shares pursuant to the exercise of the underwriters’ option. In accordance with ASC 260, the Class A shares issued in connection with the IPO will be included in earnings per share calculations for periods subsequent to the closing of the IPO and are not included in the earning per share calculations for periods prior to the closing of the IPO.</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October 2022, our board of directors approved the issuance of restricted stock units in connection with the IPO. These restricted stock units were not included in the computation of diluted earnings per share for the three and nine months ended October 1, 2022.</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net income (loss) per share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6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0" w:type="dxa"/>
            <w:vAlign w:val="bottom"/>
          </w:tcPr>
          <w:p>
            <w:pPr>
              <w:spacing w:after="0"/>
              <w:rPr>
                <w:sz w:val="10"/>
                <w:szCs w:val="10"/>
                <w:color w:val="auto"/>
              </w:rPr>
            </w:pPr>
          </w:p>
        </w:tc>
        <w:tc>
          <w:tcPr>
            <w:tcW w:w="9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r>
      <w:tr>
        <w:trPr>
          <w:trHeight w:val="173"/>
        </w:trPr>
        <w:tc>
          <w:tcPr>
            <w:tcW w:w="4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498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8"/>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7"/>
              </w:rPr>
              <w:t>in millions, except per share amounts</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 basic and diluted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r>
      <w:tr>
        <w:trPr>
          <w:trHeight w:val="20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0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r>
              <w:rPr>
                <w:rFonts w:ascii="Times New Roman" w:cs="Times New Roman" w:eastAsia="Times New Roman" w:hAnsi="Times New Roman"/>
                <w:sz w:val="18"/>
                <w:szCs w:val="18"/>
                <w:b w:val="1"/>
                <w:bCs w:val="1"/>
                <w:u w:val="single" w:color="auto"/>
                <w:color w:val="auto"/>
              </w:rPr>
              <w:t>15)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r>
      <w:tr>
        <w:trPr>
          <w:trHeight w:val="20"/>
        </w:trPr>
        <w:tc>
          <w:tcPr>
            <w:tcW w:w="4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quarterly benefit (provision) for income taxes and the estimates of its annual effective tax rate, are subject to fluctuation due to several factors, principally including variability in overall pre-tax income and the mix of paying for certain components to which such income relates.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income tax provision included in these condensed combined financial statements has been calculated using the separate return method, as if the Company had filed its own tax returns. This method can limit the Company’s ability to benefit from losses that may have been used by Intel in its consolidated tax returns. The Company has entered into a tax sharing agreement with Intel, which establishes the amount of cash payable to Intel for our share of the tax liability owed on a consolidated tax filing basis with Intel. To the extent the tax sharing agreement and the separate return method differ, and the liability to Intel is higher or lower than the amount that would have been payable if the Company had filed its own tax returns, an adjustment to the net parent investment balance is recorded within equity. The adjustment to the net parent investment for the nine months ended October 1, 2022 was an aggregate decrease in net parent investment of $16 million because amounts payable under the tax sharing agreement in respect of the nine-month period exceeded amounts calculated under the separate return method.</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tax expense for the nine months ended October 1, 2022, was unfavorably impacted by an accrued withholding tax expense and valuation allowances for certain jurisdictions. A withholding tax expense of $14 million related to a dividend distribution between entities within the Mobileye Group (see Note 4 regarding a dividend distribution to Intel) was recorded in the nine months ended October 1, 2022. As the Company has jurisdictions that have sustained recent losses based on the separate return method, a valuation allowance is required for deferred tax assets for which no benefit can be currently realized. The Company also estimates cash taxes for these jurisdictions this year due to unfavorable timing adjustments based upon tax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RELATED PARTIES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entered into a series of related party arrangements with Intel. The arrangements were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Loan arrangements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entered into a series of bilateral lending/borrowing arrangements with Intel. The purposes of the facilities are to enable bilateral cash movements between the parties. The arrangements are denominated in U.S dollars.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2017, Intel along with the Company, entered into a bilateral lending/borrowing arrangement (“Arrangement 1”) to make available to either party up to an aggregate principal amount of $1.5 billion. Arrangement 1 has a mechanism of automatic renewal for additional periods of one year. In 2021, Arrangement 1 was amended to increase the capacity from $1.5 billion to $1.8 billion, and was automatically renewed to December 2022.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2017, Intel along with the Company, entered into a bilateral lending/borrowing arrangement (“Arrangement 2”) to make cash available to either party up to an aggregate principal amount of $750 million. Arrangement 2 has a mechanism for automatic renewal for additional periods of one year each. In March 2022, Arrangement 2 was amended to increase the aggregate principal amount from $750 million to $1.0 billion and the maturity date was extended to March 2023.</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2021, the Company and Intel entered into a bilateral lending/borrowing arrangement (“Arrangement 3” and together with Arrangement 1 and Arrangement 2, the “Bilateral Loan Arrangements”) to make cash available to either party up to an aggregate principal amount of $100 million. Arrangement 3 has a maturity date of July 2022 with a mechanism of automatic renewal for additional periods of one year. In March 2022, Arrangement 3 was amended to increase the aggregate principal amount available to draw from $100 million to $500 million. The interest rate is based on an applicable margin of 0.0% with an option for Intel to elect to increase or decrease the applicable margin on or after the first day of the 2022 fiscal year. If the election to increase the applicable margin is applied, the spread adjustment would be reflective of the difference between three-month LIBOR and the term Secured Overnight Financing Rate (“SOFR”).</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2022, due to reference rate reform, Arrangement 1 and Arrangement 2 were amended to change the interest rate from LIBOR based to SOFR based. The modification was accounted for as if it is not substantial in accordance with the expedient for ASC 470 and an updated effective interest rate was calculated to reflect the change in terms. There was no gain or loss recognized for the nine months ended October 1, 2022.</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total outstanding balance under the Bilateral Loan Arrangements was approximately $901 million and $1.3 billion as of October 1, 2022 and December 25, 2021 respectively, and is reflected in current assets as a related party loan based on the maturity date as of each balance sheet period (accumulated interest is presented within other current assets). Interest income recognized by the Company totaled $5 million, and $0.6 million for the three months ended October 1, 2022 and September 25, 2021, respectively; and $9 million and $2 million for the nine months ended October 1, 2022 and September 25, 2021, respectively.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Compensation Recharge Agreement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condensed combined balance sheets, under related party payable was approximately $14 million and $162 million as of October 1, 2022 and December 25, 2021, respectively. As for the inclusion of the Company’s employees in Intel’s equity incentive plan, see Note 4.</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Hedging services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Intel centrally hedges its exposure to changes in foreign exchange rates. At the beginning of 2021, the Company entered into a hedging services agreement with Intel, pursuant to which the Company is entitled to a certain allocation of the gains and obligated to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allocation of the losses arising from the execution of the hedging contracts. For further information, see Note 2, Derivatives and hedging.</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Development Services and Lease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Intel entered into agreements with the Company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in the condensed combined statements of operations and comprehensive income (loss) primarily on a specific and direct attribution basis.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services to a related party</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reimbursed its Chief Executive Officer for reasonable travel related expenses incurred while conducting business on behalf of the Company. Travel expenses totaled $0.8 million and $0.6 million for nine months ended October 1, 2022 and September 25, 2021, respectively.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Note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21, 2022, Intel and Mobileye Group signed a loan agreement whereby Mobileye Group agreed to issue a promissory note to Intel in an aggregate principal amount of $3.5 billion (the “Dividend Note”). The Dividend Note is scheduled to mature on April 21, 2025 and accrues interest at a rate equal to 1.26% per annum, such interest to accrue quarterly. Prior to June 30, 2024, such interest will be paid by being automatically added to the outstanding principal amount of the loan and will thereafter be payable quarterly in cash in arrears and shall also be payable upon any prepayment, whether in whole or in part, to the extent accrued on the amount being prepaid and upon maturity. Under the Dividend Note, Mobileye Group has the right, at its option, on any business day, to prepay the loan, including principal and any accrued interest thereon, in whole or in part without premium or penalty. As of October 1, 2022, accrued interest expense was $20 million. The aggregate principal amount plus related accrued interest is presented as Dividend Note with related party. Refer to Note 9 for the settlement of the Dividend Note.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Equity transaction in connection with the legal purchase of Moovit entities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31, 2022, we entered into an agreement with Intel pursuant to which we legally purchased from Intel 100% of the issued and outstanding equity interests of the Moovit entities for an aggregate amount of $900 million that is payable in cash to Intel and presented within related party payable. Moovit’s operations are already reflected as part of the Mobileye Group in these condensed combined financial statements as further detailed in Note 1 and therefore the transaction is treated within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IDENTIFIED INTANGIBLE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1, 2022</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25, 2021</w:t>
            </w: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55"/>
        </w:trPr>
        <w:tc>
          <w:tcPr>
            <w:tcW w:w="4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75"/>
              <w:spacing w:after="0" w:line="155"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71"/>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3"/>
        </w:trPr>
        <w:tc>
          <w:tcPr>
            <w:tcW w:w="448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Gross Assets</w:t>
            </w:r>
          </w:p>
        </w:tc>
        <w:tc>
          <w:tcPr>
            <w:tcW w:w="20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5"/>
                <w:szCs w:val="15"/>
                <w:color w:val="auto"/>
              </w:rPr>
            </w:pP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$ 2,217</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$ 2,572</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0"/>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$ 2,658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$ 3,071</w:t>
            </w: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844"/>
        </w:trPr>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47"/>
        </w:trPr>
        <w:tc>
          <w:tcPr>
            <w:tcW w:w="4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amortization expenses recorded for these identified intangible assets and their weighted average useful lives: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0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25,</w:t>
            </w:r>
          </w:p>
        </w:tc>
        <w:tc>
          <w:tcPr>
            <w:tcW w:w="100" w:type="dxa"/>
            <w:vAlign w:val="bottom"/>
          </w:tcPr>
          <w:p>
            <w:pPr>
              <w:spacing w:after="0"/>
              <w:rPr>
                <w:sz w:val="15"/>
                <w:szCs w:val="15"/>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16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25,</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56"/>
        </w:trPr>
        <w:tc>
          <w:tcPr>
            <w:tcW w:w="47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58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1080" w:type="dxa"/>
            <w:vAlign w:val="bottom"/>
            <w:tcBorders>
              <w:bottom w:val="single" w:sz="8" w:color="auto"/>
            </w:tcBorders>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6"/>
              </w:rPr>
              <w:t>Dollars in millions</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amortization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expects future amortization expenses for the next five years and thereafter to be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80" w:type="dxa"/>
            <w:vAlign w:val="bottom"/>
          </w:tcPr>
          <w:p>
            <w:pPr>
              <w:spacing w:after="0"/>
              <w:rPr>
                <w:sz w:val="15"/>
                <w:szCs w:val="15"/>
                <w:color w:val="auto"/>
              </w:rPr>
            </w:pPr>
          </w:p>
        </w:tc>
        <w:tc>
          <w:tcPr>
            <w:tcW w:w="2080" w:type="dxa"/>
            <w:vAlign w:val="bottom"/>
            <w:gridSpan w:val="4"/>
          </w:tcPr>
          <w:p>
            <w:pPr>
              <w:ind w:left="118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3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56"/>
        </w:trPr>
        <w:tc>
          <w:tcPr>
            <w:tcW w:w="338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7"/>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Amortization Expenses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$ 2,658</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operating segment is defined as a component of an enterprise for which discrete financial information is available and is reviewed regularly by the Chief Operating Decision Maker (“CODM”), or decision- making group, to evaluate performance and make operating decisions. The Company has identified its CODM as the Chief Executive Officer (“CEO”).</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Mobileye is the Company’s only reportable operating segment and Moovit is presented within “Other” as per ASC 280, Segment Reporting. Segment performance is the operating income reported excluding the amortization of acquisition-related intangible assets and IPO related expense. The measure of assets has not been disclosed for each segment as it is not regularly reviewed by the CODM.</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accounting policies of the individual segments are the same as those described in the summary of significant accounting policies in Note 2 to the audited combined financial statements for the fiscal year ended December 25, 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segment results for each period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October 1, 2022</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Amounts not</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allocated to</w:t>
            </w:r>
          </w:p>
        </w:tc>
        <w:tc>
          <w:tcPr>
            <w:tcW w:w="12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80" w:type="dxa"/>
            <w:vAlign w:val="bottom"/>
            <w:tcBorders>
              <w:bottom w:val="single" w:sz="8" w:color="CCEEFF"/>
            </w:tcBorders>
          </w:tcPr>
          <w:p>
            <w:pPr>
              <w:spacing w:after="0"/>
              <w:rPr>
                <w:sz w:val="11"/>
                <w:szCs w:val="11"/>
                <w:color w:val="auto"/>
              </w:rPr>
            </w:pPr>
          </w:p>
        </w:tc>
        <w:tc>
          <w:tcPr>
            <w:tcW w:w="18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94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18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7"/>
        </w:trPr>
        <w:tc>
          <w:tcPr>
            <w:tcW w:w="3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(expense) with a related party</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1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588"/>
        </w:trPr>
        <w:tc>
          <w:tcPr>
            <w:tcW w:w="3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0"/>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rPr>
              <w:t>Three Months Ended September 25, 2021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Amounts not</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allocated to</w:t>
            </w:r>
          </w:p>
        </w:tc>
        <w:tc>
          <w:tcPr>
            <w:tcW w:w="12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80" w:type="dxa"/>
            <w:vAlign w:val="bottom"/>
            <w:tcBorders>
              <w:bottom w:val="single" w:sz="8" w:color="CCEEFF"/>
            </w:tcBorders>
          </w:tcPr>
          <w:p>
            <w:pPr>
              <w:spacing w:after="0"/>
              <w:rPr>
                <w:sz w:val="11"/>
                <w:szCs w:val="11"/>
                <w:color w:val="auto"/>
              </w:rPr>
            </w:pPr>
          </w:p>
        </w:tc>
        <w:tc>
          <w:tcPr>
            <w:tcW w:w="18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94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18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income with a related party</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8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1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858"/>
        </w:trPr>
        <w:tc>
          <w:tcPr>
            <w:tcW w:w="3880" w:type="dxa"/>
            <w:vAlign w:val="bottom"/>
          </w:tcPr>
          <w:p>
            <w:pPr>
              <w:spacing w:after="0"/>
              <w:rPr>
                <w:sz w:val="24"/>
                <w:szCs w:val="24"/>
                <w:color w:val="auto"/>
              </w:rPr>
            </w:pPr>
          </w:p>
        </w:tc>
        <w:tc>
          <w:tcPr>
            <w:tcW w:w="18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 1, 2022</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Amounts not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allocated to</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300" w:type="dxa"/>
            <w:vAlign w:val="bottom"/>
            <w:tcBorders>
              <w:bottom w:val="single" w:sz="8" w:color="CCEEFF"/>
            </w:tcBorders>
          </w:tcPr>
          <w:p>
            <w:pPr>
              <w:spacing w:after="0"/>
              <w:rPr>
                <w:sz w:val="11"/>
                <w:szCs w:val="11"/>
                <w:color w:val="auto"/>
              </w:rPr>
            </w:pPr>
          </w:p>
        </w:tc>
        <w:tc>
          <w:tcPr>
            <w:tcW w:w="14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94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9"/>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14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(expenses) with a related party</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1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72"/>
        </w:trPr>
        <w:tc>
          <w:tcPr>
            <w:tcW w:w="4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3"/>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rPr>
              <w:t>Nine Months Ended September 25, 2021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Amounts not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allocated to</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300" w:type="dxa"/>
            <w:vAlign w:val="bottom"/>
            <w:tcBorders>
              <w:bottom w:val="single" w:sz="8" w:color="CCEEFF"/>
            </w:tcBorders>
          </w:tcPr>
          <w:p>
            <w:pPr>
              <w:spacing w:after="0"/>
              <w:rPr>
                <w:sz w:val="11"/>
                <w:szCs w:val="11"/>
                <w:color w:val="auto"/>
              </w:rPr>
            </w:pPr>
          </w:p>
        </w:tc>
        <w:tc>
          <w:tcPr>
            <w:tcW w:w="14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94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14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4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income with a related party</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1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4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revenues based on the country that the product was shipped to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30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60" w:type="dxa"/>
            <w:vAlign w:val="bottom"/>
          </w:tcPr>
          <w:p>
            <w:pPr>
              <w:spacing w:after="0"/>
              <w:rPr>
                <w:sz w:val="10"/>
                <w:szCs w:val="10"/>
                <w:color w:val="auto"/>
              </w:rPr>
            </w:pPr>
          </w:p>
        </w:tc>
        <w:tc>
          <w:tcPr>
            <w:tcW w:w="9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60" w:type="dxa"/>
            <w:vAlign w:val="bottom"/>
          </w:tcPr>
          <w:p>
            <w:pPr>
              <w:spacing w:after="0"/>
              <w:rPr>
                <w:sz w:val="10"/>
                <w:szCs w:val="10"/>
                <w:color w:val="auto"/>
              </w:rPr>
            </w:pP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r>
      <w:tr>
        <w:trPr>
          <w:trHeight w:val="173"/>
        </w:trPr>
        <w:tc>
          <w:tcPr>
            <w:tcW w:w="30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3040" w:type="dxa"/>
            <w:vAlign w:val="bottom"/>
            <w:tcBorders>
              <w:bottom w:val="single" w:sz="8" w:color="CCEEFF"/>
            </w:tcBorders>
          </w:tcPr>
          <w:p>
            <w:pPr>
              <w:spacing w:after="0"/>
              <w:rPr>
                <w:sz w:val="11"/>
                <w:szCs w:val="11"/>
                <w:color w:val="auto"/>
              </w:rPr>
            </w:pPr>
          </w:p>
        </w:tc>
        <w:tc>
          <w:tcPr>
            <w:tcW w:w="26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160" w:type="dxa"/>
            <w:vAlign w:val="bottom"/>
            <w:tcBorders>
              <w:bottom w:val="single" w:sz="8" w:color="auto"/>
            </w:tcBorders>
          </w:tcPr>
          <w:p>
            <w:pPr>
              <w:spacing w:after="0"/>
              <w:rPr>
                <w:sz w:val="11"/>
                <w:szCs w:val="11"/>
                <w:color w:val="auto"/>
              </w:rPr>
            </w:pPr>
          </w:p>
        </w:tc>
        <w:tc>
          <w:tcPr>
            <w:tcW w:w="94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w w:val="86"/>
              </w:rPr>
              <w:t>U.S. dollars</w:t>
            </w:r>
          </w:p>
        </w:tc>
        <w:tc>
          <w:tcPr>
            <w:tcW w:w="160" w:type="dxa"/>
            <w:vAlign w:val="bottom"/>
            <w:tcBorders>
              <w:bottom w:val="single" w:sz="8" w:color="auto"/>
            </w:tcBorders>
          </w:tcPr>
          <w:p>
            <w:pPr>
              <w:spacing w:after="0"/>
              <w:rPr>
                <w:sz w:val="11"/>
                <w:szCs w:val="11"/>
                <w:color w:val="auto"/>
              </w:rPr>
            </w:pPr>
          </w:p>
        </w:tc>
        <w:tc>
          <w:tcPr>
            <w:tcW w:w="940" w:type="dxa"/>
            <w:vAlign w:val="bottom"/>
            <w:tcBorders>
              <w:top w:val="single" w:sz="8" w:color="auto"/>
              <w:bottom w:val="single" w:sz="8" w:color="auto"/>
            </w:tcBorders>
            <w:gridSpan w:val="2"/>
          </w:tcPr>
          <w:p>
            <w:pPr>
              <w:jc w:val="right"/>
              <w:ind w:right="232"/>
              <w:spacing w:after="0" w:line="129" w:lineRule="exact"/>
              <w:rPr>
                <w:sz w:val="20"/>
                <w:szCs w:val="20"/>
                <w:color w:val="auto"/>
              </w:rPr>
            </w:pPr>
            <w:r>
              <w:rPr>
                <w:rFonts w:ascii="Times New Roman" w:cs="Times New Roman" w:eastAsia="Times New Roman" w:hAnsi="Times New Roman"/>
                <w:sz w:val="14"/>
                <w:szCs w:val="14"/>
                <w:b w:val="1"/>
                <w:bCs w:val="1"/>
                <w:color w:val="auto"/>
                <w:w w:val="95"/>
              </w:rPr>
              <w:t>in millions</w:t>
            </w:r>
          </w:p>
        </w:tc>
      </w:tr>
      <w:tr>
        <w:trPr>
          <w:trHeight w:val="21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Hungary</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9"/>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160" w:type="dxa"/>
            <w:vAlign w:val="bottom"/>
          </w:tcPr>
          <w:p>
            <w:pPr>
              <w:spacing w:after="0"/>
              <w:rPr>
                <w:sz w:val="18"/>
                <w:szCs w:val="18"/>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326</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1,030</w:t>
            </w:r>
          </w:p>
        </w:tc>
      </w:tr>
      <w:tr>
        <w:trPr>
          <w:trHeight w:val="858"/>
        </w:trPr>
        <w:tc>
          <w:tcPr>
            <w:tcW w:w="3040" w:type="dxa"/>
            <w:vAlign w:val="bottom"/>
          </w:tcPr>
          <w:p>
            <w:pPr>
              <w:spacing w:after="0"/>
              <w:rPr>
                <w:sz w:val="24"/>
                <w:szCs w:val="24"/>
                <w:color w:val="auto"/>
              </w:rPr>
            </w:pPr>
          </w:p>
        </w:tc>
        <w:tc>
          <w:tcPr>
            <w:tcW w:w="26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47"/>
        </w:trPr>
        <w:tc>
          <w:tcPr>
            <w:tcW w:w="30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the majority of its revenue from the sale of the EyeQ® SoCs to OEM customers through Tier 1 suppliers.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generated by other product types was deemed to be not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major customers that amount to 10% or more of total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20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6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78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9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60" w:type="dxa"/>
            <w:vAlign w:val="bottom"/>
          </w:tcPr>
          <w:p>
            <w:pPr>
              <w:spacing w:after="0"/>
              <w:rPr>
                <w:sz w:val="10"/>
                <w:szCs w:val="10"/>
                <w:color w:val="auto"/>
              </w:rPr>
            </w:pPr>
          </w:p>
        </w:tc>
        <w:tc>
          <w:tcPr>
            <w:tcW w:w="6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60" w:type="dxa"/>
            <w:vAlign w:val="bottom"/>
          </w:tcPr>
          <w:p>
            <w:pPr>
              <w:spacing w:after="0"/>
              <w:rPr>
                <w:sz w:val="10"/>
                <w:szCs w:val="10"/>
                <w:color w:val="auto"/>
              </w:rPr>
            </w:pPr>
          </w:p>
        </w:tc>
      </w:tr>
      <w:tr>
        <w:trPr>
          <w:trHeight w:val="173"/>
        </w:trPr>
        <w:tc>
          <w:tcPr>
            <w:tcW w:w="5780" w:type="dxa"/>
            <w:vAlign w:val="bottom"/>
          </w:tcPr>
          <w:p>
            <w:pPr>
              <w:spacing w:after="0"/>
              <w:rPr>
                <w:sz w:val="15"/>
                <w:szCs w:val="15"/>
                <w:color w:val="auto"/>
              </w:rPr>
            </w:pP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920" w:type="dxa"/>
            <w:vAlign w:val="bottom"/>
            <w:tcBorders>
              <w:bottom w:val="single" w:sz="8" w:color="auto"/>
            </w:tcBorders>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c>
          <w:tcPr>
            <w:tcW w:w="6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5780" w:type="dxa"/>
            <w:vAlign w:val="bottom"/>
          </w:tcPr>
          <w:p>
            <w:pPr>
              <w:spacing w:after="0"/>
              <w:rPr>
                <w:sz w:val="17"/>
                <w:szCs w:val="17"/>
                <w:color w:val="auto"/>
              </w:rPr>
            </w:pPr>
          </w:p>
        </w:tc>
        <w:tc>
          <w:tcPr>
            <w:tcW w:w="20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06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revenues</w:t>
            </w: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31 %</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32 %</w:t>
            </w:r>
          </w:p>
        </w:tc>
        <w:tc>
          <w:tcPr>
            <w:tcW w:w="9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39 %</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18 %</w:t>
            </w:r>
          </w:p>
        </w:tc>
        <w:tc>
          <w:tcPr>
            <w:tcW w:w="960" w:type="dxa"/>
            <w:vAlign w:val="bottom"/>
            <w:gridSpan w:val="4"/>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17 %</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16 %</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18 %</w:t>
            </w:r>
          </w:p>
        </w:tc>
        <w:tc>
          <w:tcPr>
            <w:tcW w:w="9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15 %</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r>
      <w:tr>
        <w:trPr>
          <w:trHeight w:val="414"/>
        </w:trPr>
        <w:tc>
          <w:tcPr>
            <w:tcW w:w="882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Accounts receivable balances of major customers that amount to 10% or more of total accounts receivable balance:</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5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2022</w:t>
            </w:r>
          </w:p>
        </w:tc>
        <w:tc>
          <w:tcPr>
            <w:tcW w:w="13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25, 2021</w:t>
            </w: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accounts receivables balance</w:t>
            </w:r>
          </w:p>
        </w:tc>
        <w:tc>
          <w:tcPr>
            <w:tcW w:w="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41 %</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32 %</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11 %</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30 %</w:t>
            </w: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24 %</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16 %</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condensed combined financial statements of the Company are derived from the consolidated financial statements of Intel, which were previously issued for the three and nine months ended October 1, 2022 on October 28, 2022. Accordingly, the Company has evaluated transactions or other events for consideration as recognized subsequent events in these condensed combined financial statements through October 28, 2022. Additionally, the Company has evaluated transactions and other events that occurred through December 7, 2022, the date these condensed combined financial statements were available to be issued, for purposes of disclosure of unrecognized subsequent events.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28, 2022, upon completion of Mobileye IPO, we issued 41,000,000 shares of our Class A common stock, at $21.00 per share, before underwriting discounts and commissions. On November 1, 2022, the underwriters exercised their option to purchase an additional 6,150,000 shares.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offer and sale was pursuant to the registration statement on Form S-1 (File No. 333-267685), as amended, which was declared effective by the SEC on October 25, 2022. Mobileye’s Class A common stock began trading on the Nasdaq Global Select Market on October 26, 2022 under the ticker symbol “MBLY”.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closing of the Mobileye IPO, we issued an additional 4,761,905 shares of our Class A common stock to General Atlantic (ME), L.P., a Delaware limited partnership, at $21.00 per share, pursuant to a private placement exempt from registration under Section 4(a)(2) of the Securities Act of 1933, as amended, for gross proceeds of $100 million (the “Concurrent Private Placement”).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IPO, we have entered into certain agreements with Intel, including the Master Transaction Agreement, which provides that immediately after completion of the IPO, Intel agrees to ensure that we will have $1.0 billion in cash, cash equivalents, or marketable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Mobileye IPO generated proceeds to the Company of approximately $1.0 billion, including the proceeds from the underwriters exercise of their option and the Concurrent Private Placement, net of underwriting discounts and commissions. In November 2022, we used approximately $0.9 billion out of the net proceeds to repay a portion of the indebtedness under the Dividend Note and Intel has contributed to Mobileye the remaining portion of the Dividend Note such that no amounts under the Dividend Note remain owed by us to Intel. The portion of the net proceeds used to repay part of the Dividend note was such that we retain the $1.0 billion cash, cash equivalents, or marketable securities as stipulated by the Master Transaction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October 2022, our board of directors approved issuance of restricted stock units to be issued under our equity incentive plan in an aggregate value of $264.5 million issuable upon the vesting of such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combined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historical financial data has been derived from the consolidated financial statements and accounting records of Intel Corporation (“Intel”) using the historical results of operations and the historical basis of assets and liabilities. The financial data herein includes costs of our business, which may not, however, reflect the expenses we would have incurred as a stand-alone company for the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October 1, 2022, our solutions had been installed in approximately 800 vehicle models (including local country, year, and other vehicle model variations), and our System-on-Chips (“SoCs”) had been deployed in over 125 million vehicles. We are actively working with more than 50 Original Equipment Manufacturers (“OEMs”) worldwide on the implementation of our ADAS solutions, and we announced over 40 new design wins in 2021 alone. In the nine months ended October 1, 2022, we shipped approximately 24.0 million of our SoCs. This represents an increase from the approximately 21.2 million of our SoCs that we shipped in the first nine months of 2021. We estimate, based on our existing design wins through October 1, 2022, that our ADAS solutions will be deployed in more than an additional 270 million vehicles by 2030, including approximately 54 million vehicles based on our 2022 design wins through October 1, 2022 and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volumes (which may be higher or lower than the estimates) and do not include design wins after October 1, 2022. We currently ship a variety of ADAS solutions to 13 of the 15 largest automakers in the world in addition to many smaller OEMs, and we are recognized for our top-rated safety solutions globally. For example, 66% of Euro New Car Assessment Programs (“NCAP”) 5-star rated vehicle models for 2018-2021 are equipped with our solutions.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January 2022, we announced a design win of our consumer Autonomous Vehicle (“AV”) system, Mobileye Chauffeur™, with ZEEKR, Geely Group’s premium electric vehicle brand. Mobileye Chauffeur™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We believe that this is an early sign of broad interest in consumer-level eyes-off/hands-free driving. Building upon Mobileye Chauffeur™, we are developing Mobileye Drive™, our Level 4 self-driving system targeted for fleet-owned Autonomous Mobility as a Service (“AMaaS”) and goods delivery networks. Mobileye Drive™ will encompass our core autonomous driving technologies and will deliver the driving functions without the need for any in-vehicle human intervention by adding teleoperability and by minimizing cases where human input would be required. We are working to deploy Mobileye Drive™ through various business-to-business and business-to-consumer channels through the formation of collaborations with potential partners around the world.</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were founded in Israel in 1999. Our co-founder,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and Initial Public Offering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October 2022, Intel completed the internal reorganization and design of our new public entity (the “Reorganization”) for purposes of the Mobileye IPO. The registration statement related to the Mobileye IPO was declared effective on October 25, 2022, and our Class A common stock began trading on The Nasdaq Global Select Market under the ticker symbol “MBLY” on October 26, 2022. Prior to the completion of the Mobileye IPO, we were a wholly-owned business of Intel. On November 1, 2022, the underwriters of the Mobileye IPO exercised the over-allotment option granted to them in full. Upon the closing of the Mobileye IPO (after giving effect to the exercise of the over-allotment option), Intel continues to directly or indirectly hold all of the Class B common stock of Mobileye, which represents approximately 99.3% of the voting power of our common stock.</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further information and descriptions of the transactions in the Reorganization related to the Mobileye IPO, see “Certain Relationships and Related Party Transactions” and “Unaudited Pro Forma Condensed Combined Financial Information” included in Mobileye’s final prospectus dated as of October 25, 2022, filed pursuant to Rule 424(b)(4) under the Act relating to Mobileye’s Registration Statement on Form S-1 (the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 the future, propelled by our next generation AV-on-Chip SoC, which we call EyeQ Ultra™, our surround computer vision Mobileye SuperVision™ solution and our True Redundancy™ architecture, we believe that we will be positioned to deliver an autonomous driving solution that can enable the mass adoption of AV.</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generate the majority of our revenue from the sale of our EyeQ® SoCs to OEMs through sales to Tier 1 automotive suppliers. We typically sell our products with volume-based pricing and recognize the revenue and costs associated with our products upon shipment.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our family of EyeQ® SoCs with STMicroelectronics. We have also established a relationship with Quanta Computer to develop and assemble our ECUs, including the design for our Mobileye SuperVision™, which includes our EyeQ®5 SoCs manufactured by STMicroelectronics.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affected and that we expect to continue to affect our results of operations:</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demand for automotive vehicles. </w:t>
      </w:r>
      <w:r>
        <w:rPr>
          <w:rFonts w:ascii="Times New Roman" w:cs="Times New Roman" w:eastAsia="Times New Roman" w:hAnsi="Times New Roman"/>
          <w:sz w:val="18"/>
          <w:szCs w:val="18"/>
          <w:color w:val="auto"/>
        </w:rPr>
        <w:t>Our business performance is related to global automotive sales and automotive vehicle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by our OEM customers. Economic conditions in North America, Europe and Asia can have a large impact on the production volume of new vehicles, and, accordingly, have an impact on our revenue. Our OEM customers’ production can vary from period to</w:t>
      </w:r>
    </w:p>
    <w:p>
      <w:pPr>
        <w:sectPr>
          <w:pgSz w:w="11900" w:h="16838" w:orient="portrait"/>
          <w:cols w:equalWidth="0" w:num="1">
            <w:col w:w="9920"/>
          </w:cols>
          <w:pgMar w:left="980" w:top="513"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period due to global demand, market conditions and competitive conditions, as well as other factors, including the effects of the COVID-19 pandemic. While the automotive industry is showing recovery from the COVID-19 pandemic, with approximately 3% growth in global vehicle production year over year in 2021, production in 2021 was still approximately 13% below the 2019 level. Moreover, automakers continue to face supply chain shortages, and we expect that global vehicle production will not fully recover to pre-COVID-19 pandemic levels from the impact of supply chain constraints in 2022 and 2023. Furthermore, current uncertain economic conditions and inflation may contribute to a reduction in consumer demand, which may reduce vehicle production over at least the next several quarters. In addition, in prior periods, certain Tier 1 customers increased their orders for components and parts, including our solutions, to counteract the impact of supply chain shortages for auto parts, and we expect these Tier 1 customers will utilize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 We cannot predict when the impact of these factors on global vehicle production will substantially diminish. However, ADAS volumes have grown faster in recent years than the overall automotive market as ADAS penetration rates have increased, and we believe that we will continue to benefit from that trend. Our revenue of $1.3 billion in the nine months ended October 1, 2022 was up 27% year-over-year, outperforming the increase of global automotive production. However, we believe that the expected continued constraint on global automotive production resulting from supply chain shortages and the effects of economic uncertainty will limit our ability to increase our revenue. We expect to continue to capitalize on our strong and collaborative relationships with OEMs and Tier 1s to expand our presence in key markets and capture the long-term growth opportunities in those markets.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 wins with new and existing customers. </w:t>
      </w:r>
      <w:r>
        <w:rPr>
          <w:rFonts w:ascii="Times New Roman" w:cs="Times New Roman" w:eastAsia="Times New Roman" w:hAnsi="Times New Roman"/>
          <w:sz w:val="18"/>
          <w:szCs w:val="18"/>
          <w:color w:val="auto"/>
        </w:rPr>
        <w:t>Global OEMs are continuously looking for innovative ways to improve the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through investment in research and development. Together with Tier 1 automotive suppliers, we work closely with OEMs to understand their solution requirements and have built close long-term relationships with them extending across multiple generations of EyeQ® products, though there is no guarantee that our customers will purchase our solutions in any certain quantity or at any certain price even after we achieve design wins. As of October 1, 2022 our solutions had been installed in approximately 800 vehicle models (including local country, year, and other vehicle model variations), and our SoCs had been deployed in over 125 million vehicles. We are actively working with more than 50 OEMs worldwide on the implementation of our ADAS solutions, and we announced over 40 new design wins in 2021. In the nine months ended October 1, 2022, we shipped approximately 24.0 million of our SoCs. This represents an increase from the approximately 21.2 million of our SoCs that we shipped in the nine months ended September 25, 2021. We estimate, based on our existing design wins through October 1, 2022, that our ADAS solutions will be deployed in more than an additional 270 million vehicles by 2030, including approximately 54 million vehicles based on our of 2022 design wins through October 1, 2022 and 50 million vehicles based on our 2021 design wins.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technology leadership and product development. </w:t>
      </w:r>
      <w:r>
        <w:rPr>
          <w:rFonts w:ascii="Times New Roman" w:cs="Times New Roman" w:eastAsia="Times New Roman" w:hAnsi="Times New Roman"/>
          <w:sz w:val="18"/>
          <w:szCs w:val="18"/>
          <w:color w:val="auto"/>
        </w:rPr>
        <w:t>We believe our ability to continue to develop and design highly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advanced and cost-efficient ADAS and AV solutions will position us to extend our technology leadership and encourage greater adoption of our solutions by enabling greater levels of autonomy. We also believe that our roadmap for future generations of EyeQ® SoCs and advanced systems will ultimately power autonomous driving solutions. The EyeQ® family design further enables scalable ECU architectures, supporting a variety of ADAS solution architectures, and our announced EyeQ Ultra™ AV-on-Chip is designed to host the full workload of autonomous driving, while meeting stringent cost and power efficiency requirements. We expect that our development of software-defined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 Together with Intel, we also are currently in the early stages of development of FMCW lidar, which has the potential to replace alternative third-party lidar to further enhance the performance of our sensor suite. We believe the ability of our foundational technology to provide a low-cost scale solution with low power-consumption, both from an on-board technology and sensor suite perspective, will be critical to enabling the mass adoption of autonomous driving solutions. While our significant investments in these technologies may not result in revenue in the near term, we believe these investments will position us for revenue growth over time.</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for ADAS and autonomous driving solutions. </w:t>
      </w:r>
      <w:r>
        <w:rPr>
          <w:rFonts w:ascii="Times New Roman" w:cs="Times New Roman" w:eastAsia="Times New Roman" w:hAnsi="Times New Roman"/>
          <w:sz w:val="18"/>
          <w:szCs w:val="18"/>
          <w:color w:val="auto"/>
        </w:rPr>
        <w:t>Demand for our solutions is influenced by the impact of regulation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We are recognized for our top-rated safety with 66% of Euro NCAP 5 star rated vehicle models for 2018-2021 equipped with our solutions.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Consumer adoption of our ADAS and autonomous driving solutions. </w:t>
      </w:r>
      <w:r>
        <w:rPr>
          <w:rFonts w:ascii="Times New Roman" w:cs="Times New Roman" w:eastAsia="Times New Roman" w:hAnsi="Times New Roman"/>
          <w:sz w:val="18"/>
          <w:szCs w:val="18"/>
          <w:color w:val="auto"/>
        </w:rPr>
        <w:t>Our financial performance is in part driven by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Solution mix, pricing, and product costs. </w:t>
      </w:r>
      <w:r>
        <w:rPr>
          <w:rFonts w:ascii="Times New Roman" w:cs="Times New Roman" w:eastAsia="Times New Roman" w:hAnsi="Times New Roman"/>
          <w:sz w:val="18"/>
          <w:szCs w:val="18"/>
          <w:color w:val="auto"/>
        </w:rPr>
        <w:t>Solution mix is among the most important factors affecting our revenue and gross margin,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Average selling price (“ASP”)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believe our differentiated and scalable solutions consistently enhanced by additional features can enable us to maintain or increase overall ASPs over time.</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and is continuing. We are currently experiencing increases in input costs as a result of supply chain shortages, including the global semiconductor shortage, and inflationary pressures. While we seek to increase our ASPs to reflect these cost increases, we anticipate that our gross margin will decrease, at least in the short term,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and Quanta on a continuous basis to manage material costs, increase yields and improve manufacturing, assembly, and test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and manufacturing capacity. </w:t>
      </w:r>
      <w:r>
        <w:rPr>
          <w:rFonts w:ascii="Times New Roman" w:cs="Times New Roman" w:eastAsia="Times New Roman" w:hAnsi="Times New Roman"/>
          <w:sz w:val="18"/>
          <w:szCs w:val="18"/>
          <w:color w:val="auto"/>
        </w:rPr>
        <w:t>Our solutions are dependent on the global semiconductor supply chain. The continued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as a result of COVID-19 or other factors could limit our ability to meet customer demand and result in delayed, reduced, or canceled orders. The semiconductor industry is experiencing widespread shortages of substrates and other components and available foundry manufacturing capacity, and we anticipate that such shortages will continue. During 2021 and through the nine months ended October 1, 2022, STMicroelectronics, our sole supplier of EyeQ® SoCs, was not able to meet our demand for EyeQ® SoCs, causing a significant reduction in our inventory level, and we expect to continue to experience a shortfall of chips during the fourth quarter of 2022 and continuing through 2023. We have entered 2022 with significantly lower inventories of our EyeQ® SoCs as a result of the limited supply during 2021, and, due to continuing supply chain constraints, we are operating with minimal or no inventory of EyeQ® SoCs on hand. As a result, we are substantially reliant on timely shipments of EyeQ® SoCs from STMicroelectronics to fulfill customer orders and are unable to offset future supply constraints through the use of inventory on hand. The limited supply of EyeQ® SoCs has already led to rescheduling deliveries to our customers on certain occasions and may continue to cause delays in our ability to fulfill our customers’ orders as scheduled. Our results of operations in the nine months ended October 1, 2022 have not been significantly impacted by the shortfall of chips.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is monitoring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 on a long-term basis.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Public company expenses. </w:t>
      </w:r>
      <w:r>
        <w:rPr>
          <w:rFonts w:ascii="Times New Roman" w:cs="Times New Roman" w:eastAsia="Times New Roman" w:hAnsi="Times New Roman"/>
          <w:sz w:val="18"/>
          <w:szCs w:val="18"/>
          <w:color w:val="auto"/>
        </w:rPr>
        <w:t>As a recently public company, we will be implementing additional procedures and processes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 of addressing the standards and requirements applicable to public companies. In particular, we expect our accounting, legal and personnel-related expenses to increase as we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will reflect the impact of these expenses. We also expect the costs of our insurance, including directors’ and officers’ insurance and insurance coverage for AV activity, to increase as a result of higher premiums.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in connection with the Mobileye IPO, we established an equity incentive plan for purposes of granting share-based compensation awards to certain members of our senior management, to our non-executive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 Segment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We generate the majority of our revenue from the sale of our EyeQ® SoCs to OEMs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EyeQ® SoC sales represented approximately 88% and 94% of our revenue for the three months ended October 1, 2022 and September 25, 2021, respectively, and 90% and 94% of our revenue for the nine months ended October 1, 2022 and September 25, 2021, respectively. Sales of our SuperVision™ product represented the majority of the remainder of our revenue for the three and nine months ended October 1, 2022 and sales of our aftermarket products represented the majority of the remainder of our revenue in the three and nine months ended September 25, 2021. Revenue from the sale of our EyeQ® products, SuperVision™ products and our aftermarket products is recognized at the time of product shipment from our facilities, as determined by the agreed-upon shipping terms. Our sales to any single Tier 1 automotive supplier typically cover more than one OEM and more than one production program from any OEM.</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manufacturing cost of our EyeQ® SoCs and our SuperVision™ product, and amortization of acquired intangible assets, identified as developed technology. Additional costs are royalty fees for the intellectual property that is included in the EyeQ® SoC, personnel-related expenses, including share-based compensation for employees on our operations teams, logistics costs and allocated overhead costs. As we develop and sell full systems that include hardware beyond EyeQ® SoCs, we expect that our gross margin will decrease because of the greater hardware content included in our solutions. However, as a result of a higher expected selling price for such systems, we expect our gross profit per unit will increase on a dollar basis.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expenses related to personnel, facilities, equipment and supplies for research and development activities including share-based compensation, material, parts and other prototype development, cloud computing services, consulting, and other professional services, including data labeling, quality assurance within the development programs, and allocated overhead costs.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occasionally enter into best-efforts nonrefundable non-recurring engineering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over time. We expect that in the near term our research and development expenses will increase compared to 2021, mainly due to additional research and development headcount and higher direct expenses that we expect to incur in connection with the development of our new EyeQ® SoC generations, Premium Driver-Assist offerings and the productization of our AV solutions and active sensor suite.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expenses associated with the amortization of acquired intangible assets, comprised of customer relationships and branding costs, personnel-related expenses, including share-based compensation, of our sales force, as well as advertising and marketing expenses and allocated overhead costs.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increase our sales and marketing expenses as we continue our efforts to increase market awareness of the benefits of our solutions, but we expect sales and marketing expenses to decrease as a percentage of total revenue as our business grows.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share-based compensation, of our executive, finance, and legal departments as well as legal and accounting fees, litigation expenses, and fees for professional and contract services.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but to decrease as a percentage of total revenue as our business grows. The primary reasons for the growth in general and administrative expenses will be the costs related to being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public company, including the need to hire more personnel to support compliance with the applicable provisions of the Sarbanes-Oxley Act and other SEC rules and regulations as well as increased premiums for directors’ and officers’ insurance and the increased use of share-based compensation for general and administrative personnel.</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and Other Expense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21, 2022, we and Intel entered into a loan agreement whereby we distributed to Intel the Dividend Note in an aggregate principal amount of $3.5 billion. The Dividend Note is scheduled to mature on April 21, 2025 and accrues interest at a rate equal to 1.26% per annum, such interest to accrue quarterly. In the nine months ended October 1, 2022, accrued interest expense was $20 million.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interest income consisted of interest earned on a loan to Intel in the amount of $0.9 billion as of October 1, 2022 and $1.3 billion as of December 25, 2021.</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functional currency is the U.S. dollar. Other expense consists primarily of fluctuations in value due to foreign exchange differences between our monetary assets and liabilities denominated in New Israeli Shekels and to a much lesser extent, the Euro, the Chinese Yuan, the Japanese Yen, and other currencies.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Benefit (provision) for income taxes consists primarily of income taxes related to the United States, Israel and other foreign jurisdictions in which we conduct business, and amortization of deferred tax liability with respect to acquired intangible assets. We are eligible for certain tax benefits in Israel under the Investment Law, at a reduced tax rate, subject to specified terms.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years presented in our combined financial statements, certain components of our business operations were included in the consolidated U.S. domestic and certain foreign income tax returns filed by Intel, where applicable. We also file certain foreign income tax returns on a separate basis, distinct from Intel. The income tax provision included in our combined financial statements has been calculated using the separate return method as if we had filed our own tax returns. We present tax loss carry-forward amounts that have not been utilized by Intel only to the extent such tax attributes can be claimed on a separate income tax return as opposed to a consolidated income tax return filing with Intel. The use of the separate return method may result in differences between our income tax provision compared to Intel’s income tax provision.</w:t>
      </w:r>
    </w:p>
    <w:p>
      <w:pPr>
        <w:spacing w:after="0" w:line="18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In the tax year ended December 25, 2021, Mobileye’s Israeli operations became taxable in the United States as a branch entity. In the nine months ended October 1, 2022, Moovit’s Israeli operations became taxable in the United States as a branch entity. As a result, these operations are taxed both in the United States and Israel. For U.S. tax purposes, there are favorable future tax deductions that we could not benefit from due to a valuation allowance position. If warranted in the future by our actual and projected profitability, the valuation allowances may be released, resulting in a benefit at that time. The valuation allowance also resulted in a residual tax expense associated with a deferred tax liability recorded for goodwill in the year ended December 25, 2021 and the nine months ended October 1, 2022.</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years presented in our combined financial statements primarily related to U.S. branch deferred tax assets not currently expected to be realized given that we have sustained recent losses based on the separate return method.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operating losses reported in the Intel consolidated tax return have not been reflected in our combined financial statements based on a return reality methodology since they will not be available to us in future periods.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in dollars and as a percentage of revenue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5"/>
          </w:tcPr>
          <w:p>
            <w:pPr>
              <w:jc w:val="center"/>
              <w:ind w:right="29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00" w:type="dxa"/>
            <w:vAlign w:val="bottom"/>
          </w:tcPr>
          <w:p>
            <w:pPr>
              <w:spacing w:after="0"/>
              <w:rPr>
                <w:sz w:val="10"/>
                <w:szCs w:val="10"/>
                <w:color w:val="auto"/>
              </w:rPr>
            </w:pPr>
          </w:p>
        </w:tc>
        <w:tc>
          <w:tcPr>
            <w:tcW w:w="1460" w:type="dxa"/>
            <w:vAlign w:val="bottom"/>
            <w:gridSpan w:val="5"/>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tcPr>
          <w:p>
            <w:pPr>
              <w:jc w:val="right"/>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6"/>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20" w:type="dxa"/>
            <w:vAlign w:val="bottom"/>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0"/>
                <w:szCs w:val="10"/>
                <w:color w:val="auto"/>
              </w:rPr>
            </w:pPr>
          </w:p>
        </w:tc>
        <w:tc>
          <w:tcPr>
            <w:tcW w:w="50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3"/>
          </w:tcPr>
          <w:p>
            <w:pPr>
              <w:jc w:val="right"/>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8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92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860" w:type="dxa"/>
            <w:vAlign w:val="bottom"/>
            <w:gridSpan w:val="4"/>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53 %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09"/>
        </w:trPr>
        <w:tc>
          <w:tcPr>
            <w:tcW w:w="2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9"/>
        </w:trPr>
        <w:tc>
          <w:tcPr>
            <w:tcW w:w="2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198"/>
        </w:trPr>
        <w:tc>
          <w:tcPr>
            <w:tcW w:w="2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Interest income (expense) with</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related party, net</w:t>
            </w: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0"/>
                <w:szCs w:val="20"/>
                <w:color w:val="auto"/>
              </w:rPr>
            </w:pP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4"/>
        </w:trPr>
        <w:tc>
          <w:tcPr>
            <w:tcW w:w="266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Income (loss) before income</w:t>
            </w: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w:t>
            </w:r>
          </w:p>
        </w:tc>
        <w:tc>
          <w:tcPr>
            <w:tcW w:w="60" w:type="dxa"/>
            <w:vAlign w:val="bottom"/>
          </w:tcPr>
          <w:p>
            <w:pPr>
              <w:spacing w:after="0"/>
              <w:rPr>
                <w:sz w:val="20"/>
                <w:szCs w:val="20"/>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(66)</w:t>
            </w:r>
          </w:p>
        </w:tc>
        <w:tc>
          <w:tcPr>
            <w:tcW w:w="3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198"/>
        </w:trPr>
        <w:tc>
          <w:tcPr>
            <w:tcW w:w="2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Benefit (provision) for income</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01"/>
        </w:trPr>
        <w:tc>
          <w:tcPr>
            <w:tcW w:w="2480" w:type="dxa"/>
            <w:vAlign w:val="bottom"/>
            <w:tcBorders>
              <w:bottom w:val="single" w:sz="8" w:color="auto"/>
            </w:tcBorders>
          </w:tcPr>
          <w:p>
            <w:pPr>
              <w:spacing w:after="0"/>
              <w:rPr>
                <w:sz w:val="8"/>
                <w:szCs w:val="8"/>
                <w:color w:val="auto"/>
              </w:rPr>
            </w:pPr>
          </w:p>
        </w:tc>
        <w:tc>
          <w:tcPr>
            <w:tcW w:w="2920" w:type="dxa"/>
            <w:vAlign w:val="bottom"/>
            <w:gridSpan w:val="11"/>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54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(1) Includes amortization of acquired intangible assets, as follows: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6"/>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00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0" w:type="dxa"/>
            <w:vAlign w:val="bottom"/>
          </w:tcPr>
          <w:p>
            <w:pPr>
              <w:spacing w:after="0"/>
              <w:rPr>
                <w:sz w:val="1"/>
                <w:szCs w:val="1"/>
                <w:color w:val="auto"/>
              </w:rPr>
            </w:pPr>
          </w:p>
        </w:tc>
      </w:tr>
      <w:tr>
        <w:trPr>
          <w:trHeight w:val="173"/>
        </w:trPr>
        <w:tc>
          <w:tcPr>
            <w:tcW w:w="2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3"/>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of acquired intangible assets</w:t>
            </w:r>
          </w:p>
        </w:tc>
        <w:tc>
          <w:tcPr>
            <w:tcW w:w="6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123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000" w:type="dxa"/>
            <w:vAlign w:val="bottom"/>
            <w:gridSpan w:val="7"/>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(2) Includes share-based compensation expense, as follows: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6"/>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00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0" w:type="dxa"/>
            <w:vAlign w:val="bottom"/>
          </w:tcPr>
          <w:p>
            <w:pPr>
              <w:spacing w:after="0"/>
              <w:rPr>
                <w:sz w:val="1"/>
                <w:szCs w:val="1"/>
                <w:color w:val="auto"/>
              </w:rPr>
            </w:pPr>
          </w:p>
        </w:tc>
      </w:tr>
      <w:tr>
        <w:trPr>
          <w:trHeight w:val="173"/>
        </w:trPr>
        <w:tc>
          <w:tcPr>
            <w:tcW w:w="2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3"/>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October 1, 2022 and September 25, 2021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three months ended October 1, 2022, revenue increased by $124 million, or 38%, compared to the three months ended September 25, 2021. This increase in revenue was primarily due to an increase of $87 million, or 28%, in EyeQ® SoC sales, attributable to a 21% increase in volume and a 6% increase in ASP. The remaining increase in revenue was mainly related to the sales of our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SuperVision™ solution, which was launched during the fourth quarter of 2021, and for which no revenue was generated in the three months ended September 25, 2021.</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nine months ended October 1, 2022, revenue increased by $274 million, or 27%, compared to the nine months ended September 25, 2021. This increase in revenue was primarily due to an increase of $207 million, or 21%, in EyeQ® SoC sales, attributable to a 13% increase in volume and a 7% increase in ASP. The remaining increase in revenue was mainly related to the sales of our SuperVision™ solution, which was launched during the fourth quarter of 2021, and for which no revenue was generated in the nine months ended September 25, 2021.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three months ended October 1, 2022, our cost of revenue increased by $60 million, or 35%, compared to the three months ended September 25, 2021. This increase was primarily due to an increase of $45 million in manufacturing costs relating primarily to increased sales of our EyeQ® SoC and our sales of SuperVision™ solution. The remaining increase of $15 million resulted from an increase in amortization of intangible assets transferred from in-process research and development to acquisition-related developed technology.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nine months ended October 1, 2022, our cost of revenue increased by $153 million, or 29%, compared to the nine months ended September 25, 2021. This increase was primarily due to an increase of $96 million in manufacturing costs relating primarily to increased sales of our EyeQ® SoC and our sales of SuperVision™ solution. The remaining increase resulted primarily from an increase of $55 million in amortization of intangible assets transferred from in-process research and development to acquisition-related developed technology.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three months ended October 1 2022, our gross profit increased by $64 million, or 42% compared to the three months ended September 25, 2021.</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nine months ended October 1 2022, our gross profit increased by $121 million, or 24%, compared to the nine months ended September 25, 2021.</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both periods, was mainly driven by the increase in revenue from our EyeQ® SoC sales, as well as the sales of our SuperVision™ solution, partially offset by the increase in amortization of intangible assets.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gross margin increased from 47% during the three months ended September 25, 2021, to 48% during the three months ended October 1, 2022. This increase was mainly due to the lower impact of the cost attributable to amortization of intangible assets as a percentage of revenues. This was partially offset by the impact of SuperVision™ sales contributing lower margin given the greater hardware this product contains. The rise in the cost of our EyeQ® SoCs due to the global semiconductor shortage and inflationary pressures also had a downward impact on our gross margin, but to a lesser extent than the foregoing because we entered 2022 with an opening balance of EyeQ® SoC inventory that we previously acquired at lower-than-current prices and passed on some of the increased costs of EyeQ® SoCs acquired at current prices to our customers.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gross margin decreased from 49% during the nine months ended September 25, 2021, to 48% during the nine months ended October 1, 2022. This decrease was primarily due to the impact of SuperVision™ sales contributing lower margin given the greater hardware content this product contains. The rise in the cost of our EyeQ SOCs due to the global semiconductor shortage and to inflationary pressures also had a downward impact on our gross margin. However, this impact was less than the increased amount of hardware because (i) we entered 2022 with an opening balance of EyeQ SoC inventory previously acquired at lower-than-current prices, and (ii) we passed on some of the increase in costs of our EyeQ SoCs to our customers. This was partially offset by the lower impact of the cost attributable to amortization of intangible assets as a percentage of revenues.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net, in the three months ended October 1, 2022, increased by $74 million, or 56%, compared to the three months ended September 25, 2021. This increase was primarily due to an increase of $46 million in payroll and related</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expenses, derived from an increase in average research and development headcount of 487 employees and an increase in payroll costs, including share-based compensation. Additionally, there was an increase of $19 million in cloud computing services and investments attributable to new product development..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net, in the nine months ended October 1, 2022, increased by $175 million, or 45%, compared to the nine months ended September 25, 2021. This increase was primarily due to an increase of $119 million in payroll and related expenses, derived from an increase in average research and development headcount of 437 employees and an increase in payroll costs, including share-based compensation.Additionally, there was an increase of $37 million in cloud computing services and investments attributable to new product development.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in the three months ended October 1 2022, decreased by $6 million, or 18%, compared to the three months ended September 25, 2021.</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in the nine months ended October 1 2022, decreased by $7 million, or 7%, compared to the nine months ended September 25, 2021.</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both periods was mainly due to a decrease in amortization of customer relationship and brand-related intangible assets.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three months ended October 1, 2022, increased by $1 million, or 13%, compared to the three months ended September 25, 2021. This increase was mainly due to IPO related expenses.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 the nine months ended October 1, 2022, increased by $1 million, or 4%, compared to the nine months ended September 25, 2021. This increase was mainly due to IPO related expenses, partially offset by a decrease in share-based compensation expenses.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with related party and Other Income (expense),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net in the three months ended October 1, 2022, increased by $6 million compared to the three months ended September 25, 2021.</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net in the nine months ended October 1, 2022, increased by $13 million compared to the nine months ended September 25, 2021.</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net interest expense in both periods was mainly due to accrued interest on the Dividend Note issued to Intel on April 21, 2022, partially offset by higher interest earned on a loan to Intel.</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net in the three months ended October 1, 2022, increased by $1 million, compared to the three months ended September 25, 2021. This increase in other income was mainly due to the increase in interest rate on short term bank deposits.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net in the nine months ended October 1, 2022, increased by $6 million, compared to the nine months ended September 25, 2021. This increase in other income was mainly due to the increase in interest rate on short term bank deposits and the effect of foreign exchange fluctuations.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three months ended October 1, 2022, provision for income tax increased by $9 million, compared to the three months ended September 25, 2021. This increase was mainly due to growth in our overall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nine months ended October 1, 2022, provision for income tax increased by $35 million, compared to the nine months ended September 25, 2021. This increase was mainly due to a withholding tax expense of $14 million related to a dividend distribution between entities within the Mobileye Group. The foregoing did not result in a corresponding benefit in the United States, as a result of a valuation allowance position and tax expenses incurred pursuant to U.S. tax law due to unfavorable timing adjustments and the amortization of deferred tax liability with respect to intangible assets attributable to the acquisition of Moovit.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primary uses of funds have been for funding increases in headcount in our research and development organization and for capital expenditures. Our capital expenditures have related mainly to the construction of our campus, data storage and other computer related equipment and were $79 million and $98 million for the nine months ended October 1, 2022, and September 25, 2021, respectively. In connection with the Reorganization, on May 12, 2022, we also declared and paid the Dividend in an aggregate amount of $336 million to Intel, net of $14 million of cash paid to tax authorities to settle related tax obligations.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fund our cash requirements in the ordinary course of business, we anticipate that we will continue to primarily rely on operating cash flows, supplemented by our total cash and cash equivalents, together with approximately $0.1 billion retained by us out of the Mobileye IPO net proceeds that we retained in accordance with the Master Transaction Agreement entered into in connection with the IPO, which requires that Intel ensure that immediately after completion of the IPO we will have $1.0 billion in cash, cash equivalents, or marketable securities. Accordingly, we used approximately $0.9 billion to repay a portion of the indebtedness owed by us to Intel under the Dividend Note. We expect our total capital expenditures for 2022 to be flat compared our total capital expenditures in 2021. The construction of our campus is planned to be completed by the end of the first quarter of 2023, with a remaining cost we estimate to be between $80 million and $90 million. Our future capital requirements will depend on many factors, including our growth rate and the timing and extent of operating expenses.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combined statements of cash flow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vMerge w:val="continue"/>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October 1, 2022</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2021</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October 1, 2022 compared to the nine months ended September 25, 2021, the $43 million decrease in cash provided by operating activities was mainly due to a change in employee related balances resulting from our recruitment of certain employees relating to the Mobileye business from Intel during the second quarter of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in the nine months ended October 1, 2022 was $319 million, consisting primarily of a $398 million net repayment of a loan by Intel, partially offset by capital expenditures.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the nine months ended September 25, 2021 was $488 million, consisting primarily of a $390 million loan to Intel and capital expenditures.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 the nine months ended October 1, 2022 was $451 million, consisting primarily of the $336 million Dividend to Intel and $200 million of share-based compensation recharge payments made to Intel, partially offset by $99 million as a result of net contributions from Intel.</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in financing activities in the nine months ended September 25, 2021 was $67 million, consisting primarily of $69 million as a result of net contributions from Intel.</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Liability in respect of employee rights upon retirement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combined balance sheets.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Severance pay liability decreased from $65 million as of September 25, 2021, to $53 million as of October 1, 2022, mainly due to the recruitment of certain employees relating to the Mobileye business from Intel during the second quarter of 2022, partially offset by an increase in salary and related costs.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several bank guarantees aggregating approximately $11 million (denominated in New Israeli Shekels) mainly in connection with lease agreements and import of vehicles.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Reorganization and the Mobileye IPO, on April 21, 2022, we distributed to Intel the Dividend Note, in the aggregate principal amount of $3.5 billion (the “Dividend Note”). The Dividend Note is scheduled to mature on April 21, 2025 and accrue interest at a rate equal to 1.26% per annum.</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2022, we used approximately $0.9 billion out of the net proceeds to repay a portion of indebtedness under the Dividend Note and Intel has contributed to Mobileye the remaining portion of the Dividend Note such that no amounts under the Dividend Note remain owed by us to Intel.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combined financial statements and related notes included elsewhere in this report.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excluding items that neither relate to the ordinary course of business nor reflect our underlying business performance, such as the amortization of intangible assets and certain expenses related the Mobileye IPO,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non-GAAP financial measures reflect adjustments for amortization charges for our acquisition-related intangible assets, share-based compensation expense and certain expenses related to the Mobileye IPO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 exclusion of expenses related to the Mobileye IPO is appropriate as they represent items that management believes are not indicative of our ongoing operating performance. These expenses are primarily composed of legal, accounting and professional fees incurred in connection with the Mobileye IPO that are not capitalizable, which are included within general and administrative expenses.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Set forth below is the reconciliation of gross profit to Adjusted Gross Profit and the calculations of gross margin and Adjusted Gross Margin: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4"/>
          </w:tcPr>
          <w:p>
            <w:pPr>
              <w:jc w:val="right"/>
              <w:ind w:right="51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80" w:type="dxa"/>
            <w:vAlign w:val="bottom"/>
          </w:tcPr>
          <w:p>
            <w:pPr>
              <w:spacing w:after="0"/>
              <w:rPr>
                <w:sz w:val="10"/>
                <w:szCs w:val="10"/>
                <w:color w:val="auto"/>
              </w:rPr>
            </w:pPr>
          </w:p>
        </w:tc>
        <w:tc>
          <w:tcPr>
            <w:tcW w:w="1160" w:type="dxa"/>
            <w:vAlign w:val="bottom"/>
            <w:gridSpan w:val="3"/>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4"/>
          </w:tcPr>
          <w:p>
            <w:pPr>
              <w:jc w:val="right"/>
              <w:ind w:right="51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60" w:type="dxa"/>
            <w:vAlign w:val="bottom"/>
          </w:tcPr>
          <w:p>
            <w:pPr>
              <w:spacing w:after="0"/>
              <w:rPr>
                <w:sz w:val="10"/>
                <w:szCs w:val="10"/>
                <w:color w:val="auto"/>
              </w:rPr>
            </w:pPr>
          </w:p>
        </w:tc>
        <w:tc>
          <w:tcPr>
            <w:tcW w:w="1180" w:type="dxa"/>
            <w:vAlign w:val="bottom"/>
            <w:gridSpan w:val="3"/>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jc w:val="right"/>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jc w:val="right"/>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2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7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80" w:type="dxa"/>
            <w:vAlign w:val="bottom"/>
            <w:gridSpan w:val="3"/>
            <w:vMerge w:val="continue"/>
          </w:tcPr>
          <w:p>
            <w:pPr>
              <w:spacing w:after="0"/>
              <w:rPr>
                <w:sz w:val="15"/>
                <w:szCs w:val="15"/>
                <w:color w:val="auto"/>
              </w:rPr>
            </w:pPr>
          </w:p>
        </w:tc>
        <w:tc>
          <w:tcPr>
            <w:tcW w:w="8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60" w:type="dxa"/>
            <w:vAlign w:val="bottom"/>
            <w:gridSpan w:val="3"/>
            <w:vMerge w:val="continue"/>
          </w:tcPr>
          <w:p>
            <w:pPr>
              <w:spacing w:after="0"/>
              <w:rPr>
                <w:sz w:val="15"/>
                <w:szCs w:val="15"/>
                <w:color w:val="auto"/>
              </w:rPr>
            </w:pPr>
          </w:p>
        </w:tc>
        <w:tc>
          <w:tcPr>
            <w:tcW w:w="8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60" w:type="dxa"/>
            <w:vAlign w:val="bottom"/>
            <w:gridSpan w:val="3"/>
            <w:vMerge w:val="continue"/>
          </w:tcPr>
          <w:p>
            <w:pPr>
              <w:spacing w:after="0"/>
              <w:rPr>
                <w:sz w:val="15"/>
                <w:szCs w:val="15"/>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and margin</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47 %</w:t>
            </w: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48 %</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31 %</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27 %</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and margin</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Gross Margin (gross profit as a percentage of revenue) and Adjusted Gross Margin (adjusted gross profit as a percentage of revenue) reflect the high value-added nature of our solutions and have remained consistent in recent periods. As we develop and sell full systems that include hardware beyond EyeQ®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Adjusted Gross Margin decreased from 78% for the three months ended September 25, 2021 to 74% for the three months ended October 1, 2022. Our Adjusted Gross Margin decreased from 78% for the nine months ended September 25, 2021 to 75% for the nine months ended October 1, 2022. The decrease in both periods was primarily due to increased sales of our SuperVision™, contributing lower margin given the greater hardware this product contains. The rise in the cost of our EyeQ® SoCs due to the global semiconductor shortage and inflationary pressures also had a downward impact on our gross margin, but to a lesser extent than the foregoing.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and Margin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Adjusted Operating Income as operating loss presented in accordance with GAAP, adjusted to exclude amortization of acquisition related intangibles and share-based compensation expense. Operating margin is calculated as operating loss divided by total revenue, and Adjusted Operating Margin is calculated as Adjusted Operating Income divided by total revenue.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Set forth below is the reconciliation of operating income (loss) to Adjusted Operating Income and the calculations of Operating Margin and Adjusted Operating Margin: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4"/>
          </w:tcPr>
          <w:p>
            <w:pPr>
              <w:jc w:val="right"/>
              <w:ind w:right="45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4"/>
          </w:tcPr>
          <w:p>
            <w:pPr>
              <w:jc w:val="right"/>
              <w:ind w:right="45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tcPr>
          <w:p>
            <w:pPr>
              <w:jc w:val="right"/>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0"/>
                <w:szCs w:val="10"/>
                <w:color w:val="auto"/>
              </w:rPr>
            </w:pPr>
          </w:p>
        </w:tc>
        <w:tc>
          <w:tcPr>
            <w:tcW w:w="540" w:type="dxa"/>
            <w:vAlign w:val="bottom"/>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jc w:val="right"/>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6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and operating margin</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8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Expenses related to the IPO</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 and margin</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operating loss increased in the three and nine months ended October 1, 2022 compared to the three and nine months ended September 25, 2021, mainly as a result of an increase in amortization of acquired intangible assets and share-based compensation expense, as well as an increase in research and development expenses, partially offset by revenue growth.</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Adjusted Operating Income increased in the three and nine months ended October 1, 2022 compared to the three and nine months ended September 25, 2021, primarily due to the growth in our overall business, partially offset by the increase in research and development expenses.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Operating Margin decreased in the three and nine months ended October 1, 2022 compared to the three and nine months ended September 25, 2021, primarily due to a decrease in our Adjusted Gross Margin and the impact of increased research and development headcount.</w:t>
      </w:r>
    </w:p>
    <w:p>
      <w:pPr>
        <w:spacing w:after="0" w:line="176"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We expect that our Adjusted Operating Margin in future near-term years will decrease compared to the nine months ended October 1, 2022, mainly due to additional research and development headcount and higher direct expenses that we expect to incur in connection with the development of new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generations, Mobileye SuperVision™ enhancements, and the productization of our AV solutions and active sensor suite.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Adjusted Net Income as net loss presented in accordance with GAAP, adjusted to exclude amortization of acquisition related intangibles and share-based compensation expense,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share based compensation adjustment did not have a material tax impact.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the reconciliation of net income (loss) to Adjusted Net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4"/>
          </w:tcPr>
          <w:p>
            <w:pPr>
              <w:jc w:val="right"/>
              <w:ind w:right="45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4"/>
          </w:tcPr>
          <w:p>
            <w:pPr>
              <w:jc w:val="right"/>
              <w:ind w:right="45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0"/>
                <w:szCs w:val="10"/>
                <w:color w:val="auto"/>
              </w:rPr>
            </w:pPr>
          </w:p>
        </w:tc>
        <w:tc>
          <w:tcPr>
            <w:tcW w:w="540" w:type="dxa"/>
            <w:vAlign w:val="bottom"/>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jc w:val="right"/>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jc w:val="right"/>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jc w:val="right"/>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6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8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Expenses related to the IPO</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loss increased in the three and nine months ended October 1, 2022, compared to the three and nine months ended September 25, 2021, mainly as a result of an increase in amortization of acquired intangible assets and share-based compensation expense, as well as an increase in research and development expenses, partially offset by revenue growth.</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Net Income increased in the three and nine months ended October 1, 2022, compared to the three and nine months ended September 25, 2021, primarily due to growth in our overall business, partially offset by the increase in our research and development expenses.</w:t>
      </w:r>
    </w:p>
    <w:p>
      <w:pPr>
        <w:spacing w:after="0" w:line="17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expect that our Adjusted Net Income margin (which is the Adjusted Net Income divided by total revenue) in future near-term years will decrease compared to the nine months ended October 1, 2022, mainly due to additional research and development headcount and higher direct expenses that we expect to incur in connection with the development of new EyeQ® SoC generations, Mobileye SuperVision™ enhancements, and the productization of our AV solutions and active sensor suite.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unaudited condensed combined financial statements have been prepared in accordance with U.S. GAAP. The application of our accounting policies may require us to make assumptions and estimates about future events and apply judgments that affect the reported amounts of assets, liabilities,revenue and expense, and the accompanying disclosures. We base our assumptions, estimates and judgments on historical experience, current trends and other factors that management believes to be relevant at the time the estimate was made.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consider an accounting policy to be a critical estimate if: (1) we must make assumptions that were uncertain when the judgment was made, and (2) changes in the relevant estimate or assumptions, or selection of a different estimate methodology, could have a significant impact on our financial position or the results that we report in our combined financial statements.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an ongoing basis, management evaluates its estimates, including those related to intangible assets, goodwill and deferred taxes. We base our estimates, assumptions and judgments on historical experience and on various other factors that we believe to be reasonable under the circumstances, the results of which form the basis for making judgments about the carrying values of assets and liabilities that are not readily apparent from other sources. Actual results may materially differ from the results implied by these estimates and judgments under different assumptions or conditions.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compared to the critical accounting policies and significant judgments and estimates disclosed in the Prospectus.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combined financial statements include acquisition-related intangible assets, consisting primarily of developed technology and customer relationships and brands. The identification and recognition of those intangible assets involve significant judgments relating to, among other things, the projected cash flows attributable to these intangible assets and the estimated useful lives of these intangible assets. We amortize acquisition-related intangible assets that are subject to amortization over their estimated useful lives. The useful lives are determined by management at the time of acquisition, based on historical experience and the economic life of the underlying technology, and are regularly reviewed for appropriateness. Acquisition-related in-process research and development assets represent the fair value of incomplete research and development projects that had not reached technological feasibility as of the date of acquisition; initially, these are classified as in-process research and development and are not subject to amortization. Once these projects are completed, the asset balances are transferred from in-process research and development to acquisition-related developed technology and are subject to amortization from that point forward based on their estimated useful lives at that time.</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asset balances relating to projects that are abandoned after acquisition are impaired and expensed to research and development. We perform a quarterly review of significant finite-lived identified intangible assets to make a judgment on whether facts and circumstances indicate that the carrying amount may not be recoverable and an impairment may be required.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reviews can be affected by various factors, including external factors such as industry and economic trends, and internal factors such as changes in our business strategy and our forecasts for specific product lines.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perform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we are permitted to first assess qualitative factors to determine whether a quantitative goodwill impairment test is necessary. Further testing is only required if we determine, based on the qualitative assessment, that it is more likely than not that a reporting unit’s fair value is less than its carrying amount.</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factors affecting the reporting unit. Additionally, as part of this assessment, we may perform a quantitative analysis to support the qualitative factors above by applying sensitivities to assumptions and inputs used in measuring a reporting unit’s fair value.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quantitative impairment test considers both the income approach and the market approach to estimate a reporting unit’s fair value. Significant estimates include growth rates, estimated costs, and discount rates based on a reporting unit’s weighted average cost of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2021, we performed a quantitative impairment test at the reporting unit level, which had $111 million of allocated goodwill as of December 25, 2021. As of December 25, 2021, the reporting unit was not at risk of failing the quantitative impairment test and the fair value of the reporting unit substantially exceeded its carrying amount. As of October 1, 2022, no indicators of impairment were identified.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based on the future tax consequences attributable to temporary differences between the combined financial statement carrying amounts of existing assets and liabilities and their respective tax bases. We reduce the carrying amounts of deferred tax assets by a valuation allowance if, based on the available evidence, it is more likely than not that such assets will not be realized. Use of the term “more likely than not” indicates the likelihood of occurrence is greater than 50%.</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Accordingly, the need to establish valuation allowances for deferred tax assets is continually assessed based on a more-likely-than-not realization threshold. This assessment considers, among other matters, the nature, frequency and severity of current and cumulative losses, forecasts of profitability and taxable income, the duration of statutory carryforward periods, our experience with the utilization of operating loss and tax credit carryforwards before expiration and tax planning strategies. In making such judgments, significant weight is given to evidence that can be objectively verified.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2: Significant Accounting Policies” to our combined financial statements included elsewhere in this report for information on new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shareholders.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contained in this report may include, but are not limited to, statements about:</w:t>
      </w:r>
    </w:p>
    <w:p>
      <w:pPr>
        <w:spacing w:after="0" w:line="225"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business, social and environmental performance, goals and measures;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prospects and trends in markets and industries relevant to our business;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investment plans;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ability to maintain or enhance our leadership position in the markets in which we participate;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consumer demand and behavior;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products and technology, and the expected availability and benefits of such products and technology;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regulatory frameworks for current and future technology;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 and pricing trends;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production capacity and product supply;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benefits and competitive advantages associated with our technologies and architecture and the data we have accumulated;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purchase, use and availability of products, components and services supplied by third parties, including third-party IP and manufacturing services;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events or assumptions, including statements relating to our addressable markets, estimated vehicle production and market opportunity, potential production volumes associated with design wins and other characterizations of future events or circumstances;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responses to and effects of the COVID-19 pandemic;</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uses, sufficiency and cost of capital and capital resources, including expected returns to stockholders such as dividends, and the expected timing of future dividends;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accounting-related expectations;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described in this report and under the sections entitled “Risk Factors,” “Management’s Discussion and Analysis of Financial Condition and Results of Operations” and “Business,” in the Prospectus.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risk factors discussed under the section entitled “Risk Factors” included in the Prospectus could cause our results to differ materially from those expressed in the forward-looking statements made in this Quarterly Report on Form 10-Q. There also may be other risks that are currently unknown to us or that we are unable to predict at this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rates.There were no material changes to the information on market risk disclosure from our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Securities Exchange Act of 1934, as amended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October 1, 2022 that have materially affected, or are reasonably likely to materially affect, our internal control over financial reporting.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We do not believe that these matters, and we are not a party to any other legal proceedings that we believe, if determined adversely to us, would have a material adverse effect on our business,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as disclosed in the section entitled “Risk Factors” included in the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Sale of Unregistered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three months ended October 1, 2022.</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28, 2022, we closed the sale of 41,000,000 shares of our Class A common stock in the Mobileye IPO. On November 1, 2022, we closed the sale of an additional 6,150,000 shares pursuant to the exercise of the underwriters’ option to purchase additional shares to cover over-allotments (the “Option”). The Mobileye IPO was completed upon the sale of the above-referenced shares.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IPO price per share was $21. The offer and sale was pursuant to the registration statement on Form S-1 (File No. 333-267685), as amended, which was declared effective by the SEC on October 25, 2022. Goldman Sachs &amp; Co. LLC and Morgan Stanley &amp; Co. LLC acted as joint lead book-running managers of the Mobileye IPO. None of the underwriting discounts and commissions or estimated offering expenses were incurred or paid to our directors or officers or their associates or to persons owning 10% or more of our common stock or to any of our affiliates. Mobileye’s Class A common stock began trading on the Nasdaq Global Select Market on October 26, 2022.</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Concurrently with the closing of the Mobileye IPO, we closed the sale of 4,761,905 shares of our Class A common stock to General Atlantic (ME), L.P., a Delaware limited partnership, at $21 per share, pursuant to a private placement exempt from registration under Section 4(a)(2) of the Securities Act of 1933, as amended, for gross proceeds of $100 million.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net proceeds received by us from the Mobileye IPO, including the exercise of the Option, and the Concurrent Private Placement, after deducting underwriting discounts and commissions, was approximately $1.0 billion. We used approximately $0.9 billion out of net proceeds to repay a portion of indebtedness under the Dividend Note and the remaining portion for working capital and general corporate purposes. There has been no material change in the anticipated use of proceeds from the Mobileye IPO as described in the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31.1*</w:t>
            </w: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the Chief Executive Officer pursuant to Section 302 of the Sarbanes-Oxley Act of 2002.</w:t>
            </w:r>
          </w:p>
        </w:tc>
      </w:tr>
      <w:tr>
        <w:trPr>
          <w:trHeight w:val="196"/>
        </w:trPr>
        <w:tc>
          <w:tcPr>
            <w:tcW w:w="980" w:type="dxa"/>
            <w:vAlign w:val="bottom"/>
          </w:tcPr>
          <w:p>
            <w:pPr>
              <w:jc w:val="center"/>
              <w:ind w:right="490"/>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74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Financial Officer pursuant to Section 302 of the Sarbanes-Oxley Act of 2002.</w:t>
            </w:r>
          </w:p>
        </w:tc>
        <w:tc>
          <w:tcPr>
            <w:tcW w:w="40" w:type="dxa"/>
            <w:vAlign w:val="bottom"/>
            <w:tcBorders>
              <w:top w:val="single" w:sz="8" w:color="0000EE"/>
            </w:tcBorders>
          </w:tcPr>
          <w:p>
            <w:pPr>
              <w:spacing w:after="0"/>
              <w:rPr>
                <w:sz w:val="17"/>
                <w:szCs w:val="17"/>
                <w:color w:val="auto"/>
              </w:rPr>
            </w:pPr>
          </w:p>
        </w:tc>
        <w:tc>
          <w:tcPr>
            <w:tcW w:w="1140" w:type="dxa"/>
            <w:vAlign w:val="bottom"/>
            <w:gridSpan w:val="2"/>
          </w:tcPr>
          <w:p>
            <w:pPr>
              <w:spacing w:after="0"/>
              <w:rPr>
                <w:sz w:val="17"/>
                <w:szCs w:val="17"/>
                <w:color w:val="auto"/>
              </w:rPr>
            </w:pPr>
          </w:p>
        </w:tc>
      </w:tr>
      <w:tr>
        <w:trPr>
          <w:trHeight w:val="196"/>
        </w:trPr>
        <w:tc>
          <w:tcPr>
            <w:tcW w:w="980" w:type="dxa"/>
            <w:vAlign w:val="bottom"/>
          </w:tcPr>
          <w:p>
            <w:pPr>
              <w:jc w:val="center"/>
              <w:ind w:right="490"/>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8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Certificate of the Chief Executive Officer of Mobileye Global Inc. pursuant to 18 U.S.C. § 1350 as adopted pursuant to</w:t>
            </w:r>
          </w:p>
        </w:tc>
      </w:tr>
      <w:tr>
        <w:trPr>
          <w:trHeight w:val="196"/>
        </w:trPr>
        <w:tc>
          <w:tcPr>
            <w:tcW w:w="980" w:type="dxa"/>
            <w:vAlign w:val="bottom"/>
          </w:tcPr>
          <w:p>
            <w:pPr>
              <w:spacing w:after="0"/>
              <w:rPr>
                <w:sz w:val="17"/>
                <w:szCs w:val="17"/>
                <w:color w:val="auto"/>
              </w:rPr>
            </w:pPr>
          </w:p>
        </w:tc>
        <w:tc>
          <w:tcPr>
            <w:tcW w:w="86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r>
      <w:tr>
        <w:trPr>
          <w:trHeight w:val="196"/>
        </w:trPr>
        <w:tc>
          <w:tcPr>
            <w:tcW w:w="980" w:type="dxa"/>
            <w:vAlign w:val="bottom"/>
          </w:tcPr>
          <w:p>
            <w:pPr>
              <w:jc w:val="center"/>
              <w:ind w:right="490"/>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86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Certificate of the Chief Financial Officer of Mobileye Global Inc. pursuant to 18 U.S.C. § 1350 as adopted pursuant to</w:t>
            </w:r>
          </w:p>
        </w:tc>
      </w:tr>
      <w:tr>
        <w:trPr>
          <w:trHeight w:val="196"/>
        </w:trPr>
        <w:tc>
          <w:tcPr>
            <w:tcW w:w="980" w:type="dxa"/>
            <w:vAlign w:val="bottom"/>
          </w:tcPr>
          <w:p>
            <w:pPr>
              <w:spacing w:after="0"/>
              <w:rPr>
                <w:sz w:val="17"/>
                <w:szCs w:val="17"/>
                <w:color w:val="auto"/>
              </w:rPr>
            </w:pPr>
          </w:p>
        </w:tc>
        <w:tc>
          <w:tcPr>
            <w:tcW w:w="8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98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r>
      <w:tr>
        <w:trPr>
          <w:trHeight w:val="218"/>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101*</w:t>
            </w: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financial statements from Mobileye Global Inc.’s Quarterly Report on Form 10-Q for the nine months</w:t>
            </w:r>
          </w:p>
        </w:tc>
      </w:tr>
      <w:tr>
        <w:trPr>
          <w:trHeight w:val="216"/>
        </w:trPr>
        <w:tc>
          <w:tcPr>
            <w:tcW w:w="98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ended October 1, 2022, filed with the Securities and Exchange Commission on December 7, 2022, formatted in iXBRL</w:t>
            </w:r>
          </w:p>
        </w:tc>
      </w:tr>
      <w:tr>
        <w:trPr>
          <w:trHeight w:val="216"/>
        </w:trPr>
        <w:tc>
          <w:tcPr>
            <w:tcW w:w="98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eXtensible Business Reporting Language): (i) the Condensed Combined Balance Sheets, (ii) the Condensed</w:t>
            </w:r>
          </w:p>
        </w:tc>
      </w:tr>
      <w:tr>
        <w:trPr>
          <w:trHeight w:val="216"/>
        </w:trPr>
        <w:tc>
          <w:tcPr>
            <w:tcW w:w="98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Combined Statements of Operations and Comprehensive Income (Loss), (iii) the Condensed Combined Statements of</w:t>
            </w:r>
          </w:p>
        </w:tc>
      </w:tr>
      <w:tr>
        <w:trPr>
          <w:trHeight w:val="216"/>
        </w:trPr>
        <w:tc>
          <w:tcPr>
            <w:tcW w:w="98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Changes in Equity, (iv) the Condensed Combined Statements of Cash Flows, and (v) the Notes to Condensed</w:t>
            </w:r>
          </w:p>
        </w:tc>
      </w:tr>
      <w:tr>
        <w:trPr>
          <w:trHeight w:val="216"/>
        </w:trPr>
        <w:tc>
          <w:tcPr>
            <w:tcW w:w="98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Combined Financial Statements.</w:t>
            </w:r>
          </w:p>
        </w:tc>
      </w:tr>
      <w:tr>
        <w:trPr>
          <w:trHeight w:val="234"/>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104*</w:t>
            </w: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7, 2022</w:t>
            </w:r>
          </w:p>
        </w:tc>
        <w:tc>
          <w:tcPr>
            <w:tcW w:w="4640" w:type="dxa"/>
            <w:vAlign w:val="bottom"/>
          </w:tcPr>
          <w:p>
            <w:pPr>
              <w:spacing w:after="0"/>
              <w:rPr>
                <w:sz w:val="17"/>
                <w:szCs w:val="17"/>
                <w:color w:val="auto"/>
              </w:rPr>
            </w:pPr>
          </w:p>
        </w:tc>
      </w:tr>
      <w:tr>
        <w:trPr>
          <w:trHeight w:val="234"/>
        </w:trPr>
        <w:tc>
          <w:tcPr>
            <w:tcW w:w="528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Professor Amnon Shashua</w:t>
            </w:r>
          </w:p>
        </w:tc>
      </w:tr>
      <w:tr>
        <w:trPr>
          <w:trHeight w:val="191"/>
        </w:trPr>
        <w:tc>
          <w:tcPr>
            <w:tcW w:w="5280" w:type="dxa"/>
            <w:vAlign w:val="bottom"/>
          </w:tcPr>
          <w:p>
            <w:pPr>
              <w:spacing w:after="0"/>
              <w:rPr>
                <w:sz w:val="16"/>
                <w:szCs w:val="16"/>
                <w:color w:val="auto"/>
              </w:rPr>
            </w:pPr>
          </w:p>
        </w:tc>
        <w:tc>
          <w:tcPr>
            <w:tcW w:w="4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Professor Amnon Shashua</w:t>
            </w:r>
          </w:p>
        </w:tc>
      </w:tr>
      <w:tr>
        <w:trPr>
          <w:trHeight w:val="216"/>
        </w:trPr>
        <w:tc>
          <w:tcPr>
            <w:tcW w:w="52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 (Principal</w:t>
            </w:r>
          </w:p>
        </w:tc>
      </w:tr>
      <w:tr>
        <w:trPr>
          <w:trHeight w:val="234"/>
        </w:trPr>
        <w:tc>
          <w:tcPr>
            <w:tcW w:w="52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Officer)</w:t>
            </w:r>
          </w:p>
        </w:tc>
      </w:tr>
      <w:tr>
        <w:trPr>
          <w:trHeight w:val="432"/>
        </w:trPr>
        <w:tc>
          <w:tcPr>
            <w:tcW w:w="528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Anat Heller</w:t>
            </w:r>
          </w:p>
        </w:tc>
      </w:tr>
      <w:tr>
        <w:trPr>
          <w:trHeight w:val="191"/>
        </w:trPr>
        <w:tc>
          <w:tcPr>
            <w:tcW w:w="5280" w:type="dxa"/>
            <w:vAlign w:val="bottom"/>
          </w:tcPr>
          <w:p>
            <w:pPr>
              <w:spacing w:after="0"/>
              <w:rPr>
                <w:sz w:val="16"/>
                <w:szCs w:val="16"/>
                <w:color w:val="auto"/>
              </w:rPr>
            </w:pPr>
          </w:p>
        </w:tc>
        <w:tc>
          <w:tcPr>
            <w:tcW w:w="4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Anat Heller</w:t>
            </w:r>
          </w:p>
        </w:tc>
      </w:tr>
      <w:tr>
        <w:trPr>
          <w:trHeight w:val="216"/>
        </w:trPr>
        <w:tc>
          <w:tcPr>
            <w:tcW w:w="52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w:t>
            </w:r>
          </w:p>
        </w:tc>
      </w:tr>
      <w:tr>
        <w:trPr>
          <w:trHeight w:val="234"/>
        </w:trPr>
        <w:tc>
          <w:tcPr>
            <w:tcW w:w="52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Professor </w:t>
      </w:r>
      <w:r>
        <w:rPr>
          <w:rFonts w:ascii="Times New Roman" w:cs="Times New Roman" w:eastAsia="Times New Roman" w:hAnsi="Times New Roman"/>
          <w:sz w:val="18"/>
          <w:szCs w:val="18"/>
          <w:color w:val="231F20"/>
        </w:rPr>
        <w:t>Amnon Shashua</w:t>
      </w:r>
      <w:r>
        <w:rPr>
          <w:rFonts w:ascii="Times New Roman" w:cs="Times New Roman" w:eastAsia="Times New Roman" w:hAnsi="Times New Roman"/>
          <w:sz w:val="18"/>
          <w:szCs w:val="18"/>
          <w:color w:val="auto"/>
        </w:rPr>
        <w:t>, certify that:</w:t>
      </w:r>
    </w:p>
    <w:p>
      <w:pPr>
        <w:spacing w:after="0" w:line="18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pursuant to Exchange Act Rule 13a-14];</w:t>
      </w:r>
    </w:p>
    <w:p>
      <w:pPr>
        <w:spacing w:after="0" w:line="225" w:lineRule="exact"/>
        <w:rPr>
          <w:rFonts w:ascii="Times New Roman" w:cs="Times New Roman" w:eastAsia="Times New Roman" w:hAnsi="Times New Roman"/>
          <w:sz w:val="18"/>
          <w:szCs w:val="18"/>
          <w:color w:val="auto"/>
        </w:rPr>
      </w:pPr>
    </w:p>
    <w:p>
      <w:pPr>
        <w:ind w:left="1300" w:right="26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2022</w:t>
      </w:r>
    </w:p>
    <w:p>
      <w:pPr>
        <w:spacing w:after="0" w:line="2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By:s/ Professor Amnon Shashua</w:t>
      </w:r>
    </w:p>
    <w:p>
      <w:pPr>
        <w:spacing w:after="0" w:line="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231F20"/>
        </w:rPr>
        <w:t>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-127635</wp:posOffset>
            </wp:positionV>
            <wp:extent cx="29832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color w:val="231F20"/>
        </w:rPr>
        <w:t>Anat Heller</w:t>
      </w:r>
      <w:r>
        <w:rPr>
          <w:rFonts w:ascii="Times New Roman" w:cs="Times New Roman" w:eastAsia="Times New Roman" w:hAnsi="Times New Roman"/>
          <w:sz w:val="18"/>
          <w:szCs w:val="18"/>
          <w:color w:val="auto"/>
        </w:rPr>
        <w:t>, certify that:</w:t>
      </w:r>
    </w:p>
    <w:p>
      <w:pPr>
        <w:spacing w:after="0" w:line="18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pursuant to Exchange Act Rule 13a-14];</w:t>
      </w:r>
    </w:p>
    <w:p>
      <w:pPr>
        <w:spacing w:after="0" w:line="225" w:lineRule="exact"/>
        <w:rPr>
          <w:rFonts w:ascii="Times New Roman" w:cs="Times New Roman" w:eastAsia="Times New Roman" w:hAnsi="Times New Roman"/>
          <w:sz w:val="18"/>
          <w:szCs w:val="18"/>
          <w:color w:val="auto"/>
        </w:rPr>
      </w:pPr>
    </w:p>
    <w:p>
      <w:pPr>
        <w:ind w:left="1300" w:right="26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2022</w:t>
      </w:r>
    </w:p>
    <w:p>
      <w:pPr>
        <w:spacing w:after="0" w:line="2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By:/s/ Anat Heller</w:t>
      </w:r>
    </w:p>
    <w:p>
      <w:pPr>
        <w:spacing w:after="0" w:line="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231F20"/>
        </w:rPr>
        <w:t>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-127635</wp:posOffset>
            </wp:positionV>
            <wp:extent cx="29832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231F20"/>
        </w:rPr>
        <w:t>Chief Financial Officer</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Certificate of the Chief Executive Officer of Mobileye Global Inc. pursuant to 18 U.S.C. § 1350 as adopted pursuant to Section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906 of the Sarbanes-Oxley Act of 2002.</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Mobileye Global Inc. for the period ending October 1, 2022 as filed with the Securities and Exchange Commission on the date hereof (the “Report”), I, </w:t>
      </w:r>
      <w:r>
        <w:rPr>
          <w:rFonts w:ascii="Times New Roman" w:cs="Times New Roman" w:eastAsia="Times New Roman" w:hAnsi="Times New Roman"/>
          <w:sz w:val="18"/>
          <w:szCs w:val="18"/>
          <w:color w:val="231F20"/>
        </w:rPr>
        <w:t>Professor Amnon Shashua</w:t>
      </w:r>
      <w:r>
        <w:rPr>
          <w:rFonts w:ascii="Times New Roman" w:cs="Times New Roman" w:eastAsia="Times New Roman" w:hAnsi="Times New Roman"/>
          <w:sz w:val="18"/>
          <w:szCs w:val="18"/>
          <w:color w:val="auto"/>
        </w:rPr>
        <w:t>, certify, pursuant to 18 U.S.C. § 1350, as adopted pursuant to § 906 of the Sarbanes-Oxley Act of 2002, that:</w:t>
      </w:r>
    </w:p>
    <w:p>
      <w:pPr>
        <w:spacing w:after="0" w:line="13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2022</w:t>
      </w:r>
    </w:p>
    <w:p>
      <w:pPr>
        <w:spacing w:after="0" w:line="2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By:/s/ Professor Amnon Shashua</w:t>
      </w:r>
    </w:p>
    <w:p>
      <w:pPr>
        <w:spacing w:after="0" w:line="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231F20"/>
        </w:rPr>
        <w:t>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-127635</wp:posOffset>
            </wp:positionV>
            <wp:extent cx="29832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the Chief Financial Officer of Mobileye Global Inc. pursuant to 18 U.S.C. § 1350 as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906 of the Sarbanes-Oxley Act of 2002.]</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Mobileye Global Inc. for the period ending October 1 , 2022 as filed with the Securities and Exchange Commission on the date hereof (the “Report”), I, </w:t>
      </w:r>
      <w:r>
        <w:rPr>
          <w:rFonts w:ascii="Times New Roman" w:cs="Times New Roman" w:eastAsia="Times New Roman" w:hAnsi="Times New Roman"/>
          <w:sz w:val="18"/>
          <w:szCs w:val="18"/>
          <w:color w:val="231F20"/>
        </w:rPr>
        <w:t>Anat Heller</w:t>
      </w:r>
      <w:r>
        <w:rPr>
          <w:rFonts w:ascii="Times New Roman" w:cs="Times New Roman" w:eastAsia="Times New Roman" w:hAnsi="Times New Roman"/>
          <w:sz w:val="18"/>
          <w:szCs w:val="18"/>
          <w:color w:val="auto"/>
        </w:rPr>
        <w:t>, certify, pursuant to 18 U.S.C. § 1350, as adopted pursuant to § 906 of the Sarbanes-Oxley Act of 2002, that:</w:t>
      </w:r>
    </w:p>
    <w:p>
      <w:pPr>
        <w:spacing w:after="0" w:line="13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7, 2022</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By:/s/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17145</wp:posOffset>
            </wp:positionV>
            <wp:extent cx="30003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231F20"/>
        </w:rPr>
        <w:t>Anat Heller Chief Financial Officer</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upperLetter"/>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upperLetter"/>
      <w:start w:val="2"/>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2022-12-07T06:04:26Z</dcterms:created>
  <dcterms:modified xsi:type="dcterms:W3CDTF">2022-12-07T06:04:26Z</dcterms:modified>
</cp:coreProperties>
</file>