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860"/>
        <w:spacing w:after="0"/>
        <w:rPr>
          <w:sz w:val="20"/>
          <w:szCs w:val="20"/>
          <w:color w:val="auto"/>
        </w:rPr>
      </w:pPr>
      <w:r>
        <w:rPr>
          <w:rFonts w:ascii="Times New Roman" w:cs="Times New Roman" w:eastAsia="Times New Roman" w:hAnsi="Times New Roman"/>
          <w:sz w:val="17"/>
          <w:szCs w:val="17"/>
          <w:b w:val="1"/>
          <w:bCs w:val="1"/>
          <w:color w:val="auto"/>
        </w:rPr>
        <w:t>Exhibit 10.14</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4915" cy="330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419735</wp:posOffset>
            </wp:positionV>
            <wp:extent cx="63049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49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81915</wp:posOffset>
            </wp:positionV>
            <wp:extent cx="1580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051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99695</wp:posOffset>
            </wp:positionV>
            <wp:extent cx="1580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0515" cy="8255"/>
                    </a:xfrm>
                    <a:prstGeom prst="rect">
                      <a:avLst/>
                    </a:prstGeom>
                    <a:noFill/>
                  </pic:spPr>
                </pic:pic>
              </a:graphicData>
            </a:graphic>
          </wp:anchor>
        </w:drawing>
      </w:r>
    </w:p>
    <w:p>
      <w:pPr>
        <w:spacing w:after="0" w:line="248" w:lineRule="exact"/>
        <w:rPr>
          <w:sz w:val="24"/>
          <w:szCs w:val="24"/>
          <w:color w:val="auto"/>
        </w:rPr>
      </w:pPr>
    </w:p>
    <w:p>
      <w:pPr>
        <w:jc w:val="right"/>
        <w:ind w:left="3820" w:right="3800" w:hanging="3814"/>
        <w:spacing w:after="0" w:line="354" w:lineRule="auto"/>
        <w:tabs>
          <w:tab w:leader="none" w:pos="15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28, 2024</w:t>
      </w:r>
    </w:p>
    <w:p>
      <w:pPr>
        <w:spacing w:after="0" w:line="25" w:lineRule="exact"/>
        <w:rPr>
          <w:sz w:val="24"/>
          <w:szCs w:val="24"/>
          <w:color w:val="auto"/>
        </w:rPr>
      </w:pPr>
    </w:p>
    <w:p>
      <w:pPr>
        <w:ind w:left="140" w:hanging="134"/>
        <w:spacing w:after="0"/>
        <w:tabs>
          <w:tab w:leader="none" w:pos="1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6" w:lineRule="exact"/>
        <w:rPr>
          <w:sz w:val="24"/>
          <w:szCs w:val="24"/>
          <w:color w:val="auto"/>
        </w:rPr>
      </w:pPr>
    </w:p>
    <w:tbl>
      <w:tblPr>
        <w:tblLayout w:type="fixed"/>
        <w:tblInd w:w="3600" w:type="dxa"/>
        <w:tblCellMar>
          <w:top w:w="0" w:type="dxa"/>
          <w:left w:w="0" w:type="dxa"/>
          <w:bottom w:w="0" w:type="dxa"/>
          <w:right w:w="0" w:type="dxa"/>
        </w:tblCellMar>
      </w:tblPr>
      <w:tr>
        <w:trPr>
          <w:trHeight w:val="138"/>
        </w:trPr>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to</w:t>
            </w:r>
          </w:p>
        </w:tc>
      </w:tr>
      <w:tr>
        <w:trPr>
          <w:trHeight w:val="20"/>
        </w:trPr>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2600" w:type="dxa"/>
            <w:vAlign w:val="bottom"/>
            <w:gridSpan w:val="7"/>
          </w:tcPr>
          <w:p>
            <w:pPr>
              <w:ind w:left="280"/>
              <w:spacing w:after="0"/>
              <w:rPr>
                <w:sz w:val="20"/>
                <w:szCs w:val="20"/>
                <w:color w:val="auto"/>
              </w:rPr>
            </w:pPr>
            <w:r>
              <w:rPr>
                <w:rFonts w:ascii="Times New Roman" w:cs="Times New Roman" w:eastAsia="Times New Roman" w:hAnsi="Times New Roman"/>
                <w:sz w:val="12"/>
                <w:szCs w:val="12"/>
                <w:b w:val="1"/>
                <w:bCs w:val="1"/>
                <w:color w:val="auto"/>
              </w:rPr>
              <w:t>Commission File Number: 001-41501</w:t>
            </w:r>
          </w:p>
        </w:tc>
      </w:tr>
      <w:tr>
        <w:trPr>
          <w:trHeight w:val="98"/>
        </w:trPr>
        <w:tc>
          <w:tcPr>
            <w:tcW w:w="12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bl>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3"/>
          </w:tcPr>
          <w:p>
            <w:pPr>
              <w:jc w:val="center"/>
              <w:ind w:right="760"/>
              <w:spacing w:after="0"/>
              <w:rPr>
                <w:sz w:val="20"/>
                <w:szCs w:val="20"/>
                <w:color w:val="auto"/>
              </w:rPr>
            </w:pPr>
            <w:r>
              <w:rPr>
                <w:rFonts w:ascii="Times New Roman" w:cs="Times New Roman" w:eastAsia="Times New Roman" w:hAnsi="Times New Roman"/>
                <w:sz w:val="23"/>
                <w:szCs w:val="23"/>
                <w:b w:val="1"/>
                <w:bCs w:val="1"/>
                <w:color w:val="auto"/>
                <w:w w:val="98"/>
              </w:rPr>
              <w:t>Mobileye Global Inc.</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gridSpan w:val="4"/>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gridSpan w:val="2"/>
            <w:vMerge w:val="restart"/>
          </w:tcPr>
          <w:p>
            <w:pPr>
              <w:jc w:val="center"/>
              <w:ind w:left="1519"/>
              <w:spacing w:after="0"/>
              <w:rPr>
                <w:sz w:val="20"/>
                <w:szCs w:val="20"/>
                <w:color w:val="auto"/>
              </w:rPr>
            </w:pPr>
            <w:r>
              <w:rPr>
                <w:rFonts w:ascii="Times New Roman" w:cs="Times New Roman" w:eastAsia="Times New Roman" w:hAnsi="Times New Roman"/>
                <w:sz w:val="12"/>
                <w:szCs w:val="12"/>
                <w:b w:val="1"/>
                <w:bCs w:val="1"/>
                <w:color w:val="auto"/>
                <w:w w:val="95"/>
              </w:rPr>
              <w:t>DE</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vMerge w:val="restart"/>
          </w:tcPr>
          <w:p>
            <w:pPr>
              <w:jc w:val="right"/>
              <w:ind w:right="2079"/>
              <w:spacing w:after="0"/>
              <w:rPr>
                <w:sz w:val="20"/>
                <w:szCs w:val="20"/>
                <w:color w:val="auto"/>
              </w:rPr>
            </w:pPr>
            <w:r>
              <w:rPr>
                <w:rFonts w:ascii="Times New Roman" w:cs="Times New Roman" w:eastAsia="Times New Roman" w:hAnsi="Times New Roman"/>
                <w:sz w:val="12"/>
                <w:szCs w:val="12"/>
                <w:b w:val="1"/>
                <w:bCs w:val="1"/>
                <w:color w:val="auto"/>
              </w:rPr>
              <w:t>88-0666433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gridSpan w:val="2"/>
          </w:tcPr>
          <w:p>
            <w:pPr>
              <w:jc w:val="center"/>
              <w:ind w:left="1519"/>
              <w:spacing w:after="0" w:line="131"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tcPr>
          <w:p>
            <w:pPr>
              <w:jc w:val="center"/>
              <w:ind w:right="1819"/>
              <w:spacing w:after="0" w:line="131"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gridSpan w:val="2"/>
          </w:tcPr>
          <w:p>
            <w:pPr>
              <w:jc w:val="center"/>
              <w:ind w:left="1639"/>
              <w:spacing w:after="0" w:line="131" w:lineRule="exact"/>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tcPr>
          <w:p>
            <w:pPr>
              <w:jc w:val="center"/>
              <w:ind w:right="1819"/>
              <w:spacing w:after="0" w:line="131" w:lineRule="exact"/>
              <w:rPr>
                <w:sz w:val="20"/>
                <w:szCs w:val="20"/>
                <w:color w:val="auto"/>
              </w:rPr>
            </w:pPr>
            <w:r>
              <w:rPr>
                <w:rFonts w:ascii="Times New Roman" w:cs="Times New Roman" w:eastAsia="Times New Roman" w:hAnsi="Times New Roman"/>
                <w:sz w:val="12"/>
                <w:szCs w:val="12"/>
                <w:b w:val="1"/>
                <w:bCs w:val="1"/>
                <w:color w:val="auto"/>
              </w:rPr>
              <w:t>Identification No.)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gridSpan w:val="2"/>
          </w:tcPr>
          <w:p>
            <w:pPr>
              <w:jc w:val="center"/>
              <w:ind w:left="1519"/>
              <w:spacing w:after="0" w:line="131" w:lineRule="exact"/>
              <w:rPr>
                <w:sz w:val="20"/>
                <w:szCs w:val="20"/>
                <w:color w:val="auto"/>
              </w:rPr>
            </w:pPr>
            <w:r>
              <w:rPr>
                <w:rFonts w:ascii="Times New Roman" w:cs="Times New Roman" w:eastAsia="Times New Roman" w:hAnsi="Times New Roman"/>
                <w:sz w:val="12"/>
                <w:szCs w:val="12"/>
                <w:b w:val="1"/>
                <w:bCs w:val="1"/>
                <w:color w:val="auto"/>
              </w:rPr>
              <w:t>c/o Mobileye B.V.</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40" w:type="dxa"/>
            <w:vAlign w:val="bottom"/>
            <w:gridSpan w:val="7"/>
          </w:tcPr>
          <w:p>
            <w:pPr>
              <w:jc w:val="center"/>
              <w:ind w:right="1960"/>
              <w:spacing w:after="0" w:line="131" w:lineRule="exact"/>
              <w:rPr>
                <w:sz w:val="20"/>
                <w:szCs w:val="20"/>
                <w:color w:val="auto"/>
              </w:rPr>
            </w:pPr>
            <w:r>
              <w:rPr>
                <w:rFonts w:ascii="Times New Roman" w:cs="Times New Roman" w:eastAsia="Times New Roman" w:hAnsi="Times New Roman"/>
                <w:sz w:val="12"/>
                <w:szCs w:val="12"/>
                <w:b w:val="1"/>
                <w:bCs w:val="1"/>
                <w:color w:val="auto"/>
              </w:rPr>
              <w:t>Har Hotzvim, 1 Shlomo Momo HaLevi Street</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gridSpan w:val="2"/>
          </w:tcPr>
          <w:p>
            <w:pPr>
              <w:jc w:val="center"/>
              <w:ind w:left="1659"/>
              <w:spacing w:after="0" w:line="131" w:lineRule="exact"/>
              <w:rPr>
                <w:sz w:val="20"/>
                <w:szCs w:val="20"/>
                <w:color w:val="auto"/>
              </w:rPr>
            </w:pPr>
            <w:r>
              <w:rPr>
                <w:rFonts w:ascii="Times New Roman" w:cs="Times New Roman" w:eastAsia="Times New Roman" w:hAnsi="Times New Roman"/>
                <w:sz w:val="12"/>
                <w:szCs w:val="12"/>
                <w:b w:val="1"/>
                <w:bCs w:val="1"/>
                <w:color w:val="auto"/>
              </w:rPr>
              <w:t>Jerusalem, Israel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tcPr>
          <w:p>
            <w:pPr>
              <w:jc w:val="right"/>
              <w:ind w:right="2159"/>
              <w:spacing w:after="0" w:line="131" w:lineRule="exact"/>
              <w:rPr>
                <w:sz w:val="20"/>
                <w:szCs w:val="20"/>
                <w:color w:val="auto"/>
              </w:rPr>
            </w:pPr>
            <w:r>
              <w:rPr>
                <w:rFonts w:ascii="Times New Roman" w:cs="Times New Roman" w:eastAsia="Times New Roman" w:hAnsi="Times New Roman"/>
                <w:sz w:val="12"/>
                <w:szCs w:val="12"/>
                <w:color w:val="auto"/>
              </w:rPr>
              <w:t>9777015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940" w:type="dxa"/>
            <w:vAlign w:val="bottom"/>
            <w:gridSpan w:val="7"/>
          </w:tcPr>
          <w:p>
            <w:pPr>
              <w:jc w:val="center"/>
              <w:ind w:right="2040"/>
              <w:spacing w:after="0" w:line="133" w:lineRule="exact"/>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960" w:type="dxa"/>
            <w:vAlign w:val="bottom"/>
          </w:tcPr>
          <w:p>
            <w:pPr>
              <w:jc w:val="center"/>
              <w:ind w:right="1839"/>
              <w:spacing w:after="0" w:line="133" w:lineRule="exact"/>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80" w:type="dxa"/>
            <w:vAlign w:val="bottom"/>
            <w:gridSpan w:val="3"/>
          </w:tcPr>
          <w:p>
            <w:pPr>
              <w:jc w:val="center"/>
              <w:ind w:left="359"/>
              <w:spacing w:after="0" w:line="129" w:lineRule="exact"/>
              <w:rPr>
                <w:sz w:val="20"/>
                <w:szCs w:val="20"/>
                <w:color w:val="auto"/>
              </w:rPr>
            </w:pPr>
            <w:r>
              <w:rPr>
                <w:rFonts w:ascii="Times New Roman" w:cs="Times New Roman" w:eastAsia="Times New Roman" w:hAnsi="Times New Roman"/>
                <w:sz w:val="12"/>
                <w:szCs w:val="12"/>
                <w:color w:val="auto"/>
              </w:rPr>
              <w:t>+972-2-541-7333</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gridSpan w:val="4"/>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3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4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4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8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Class A common stock, $0.01 par value per share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60" w:type="dxa"/>
            <w:vAlign w:val="bottom"/>
            <w:tcBorders>
              <w:top w:val="single" w:sz="8" w:color="auto"/>
            </w:tcBorders>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MBLY</w:t>
            </w:r>
          </w:p>
        </w:tc>
        <w:tc>
          <w:tcPr>
            <w:tcW w:w="180" w:type="dxa"/>
            <w:vAlign w:val="bottom"/>
          </w:tcPr>
          <w:p>
            <w:pPr>
              <w:spacing w:after="0"/>
              <w:rPr>
                <w:sz w:val="10"/>
                <w:szCs w:val="10"/>
                <w:color w:val="auto"/>
              </w:rPr>
            </w:pPr>
          </w:p>
        </w:tc>
        <w:tc>
          <w:tcPr>
            <w:tcW w:w="296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gridSpan w:val="5"/>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right="3200"/>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Indicate by check mark if the registrant is not required to file reports pursuant to Section 13 or 15(d) of the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 w:lineRule="exact"/>
        <w:rPr>
          <w:sz w:val="24"/>
          <w:szCs w:val="24"/>
          <w:color w:val="auto"/>
        </w:rPr>
      </w:pPr>
    </w:p>
    <w:p>
      <w:pPr>
        <w:jc w:val="both"/>
        <w:ind w:firstLine="314"/>
        <w:spacing w:after="0" w:line="14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 w:lineRule="exact"/>
        <w:rPr>
          <w:sz w:val="24"/>
          <w:szCs w:val="24"/>
          <w:color w:val="auto"/>
        </w:rPr>
      </w:pPr>
    </w:p>
    <w:p>
      <w:pPr>
        <w:jc w:val="both"/>
        <w:ind w:firstLine="314"/>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1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8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definitions of “large accelerated filer,” “accelerated filer,” “smaller reporting company,” and “emerging growth company” in Rule 12b-2 of the Exchange Act.</w:t>
            </w:r>
          </w:p>
        </w:tc>
        <w:tc>
          <w:tcPr>
            <w:tcW w:w="1000" w:type="dxa"/>
            <w:vAlign w:val="bottom"/>
          </w:tcPr>
          <w:p>
            <w:pPr>
              <w:spacing w:after="0"/>
              <w:rPr>
                <w:sz w:val="13"/>
                <w:szCs w:val="13"/>
                <w:color w:val="auto"/>
              </w:rPr>
            </w:pPr>
          </w:p>
        </w:tc>
      </w:tr>
      <w:tr>
        <w:trPr>
          <w:trHeight w:val="173"/>
        </w:trPr>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100" w:type="dxa"/>
            <w:vAlign w:val="bottom"/>
          </w:tcPr>
          <w:p>
            <w:pPr>
              <w:ind w:left="1740"/>
              <w:spacing w:after="0" w:line="121" w:lineRule="exact"/>
              <w:rPr>
                <w:sz w:val="20"/>
                <w:szCs w:val="20"/>
                <w:color w:val="auto"/>
              </w:rPr>
            </w:pPr>
            <w:r>
              <w:rPr>
                <w:rFonts w:ascii="MS PGothic" w:cs="MS PGothic" w:eastAsia="MS PGothic" w:hAnsi="MS PGothic"/>
                <w:sz w:val="12"/>
                <w:szCs w:val="12"/>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Accelerated filer</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4"/>
        </w:trPr>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100" w:type="dxa"/>
            <w:vAlign w:val="bottom"/>
          </w:tcPr>
          <w:p>
            <w:pPr>
              <w:ind w:left="1740"/>
              <w:spacing w:after="0" w:line="121" w:lineRule="exact"/>
              <w:rPr>
                <w:sz w:val="20"/>
                <w:szCs w:val="20"/>
                <w:color w:val="auto"/>
              </w:rPr>
            </w:pPr>
            <w:r>
              <w:rPr>
                <w:rFonts w:ascii="MS PGothic" w:cs="MS PGothic" w:eastAsia="MS PGothic" w:hAnsi="MS PGothic"/>
                <w:sz w:val="12"/>
                <w:szCs w:val="12"/>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9"/>
        </w:trPr>
        <w:tc>
          <w:tcPr>
            <w:tcW w:w="28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7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Emerging growth company</w:t>
            </w:r>
          </w:p>
        </w:tc>
        <w:tc>
          <w:tcPr>
            <w:tcW w:w="1000" w:type="dxa"/>
            <w:vAlign w:val="bottom"/>
          </w:tcPr>
          <w:p>
            <w:pPr>
              <w:ind w:left="900"/>
              <w:spacing w:after="0" w:line="111" w:lineRule="exact"/>
              <w:rPr>
                <w:sz w:val="20"/>
                <w:szCs w:val="20"/>
                <w:color w:val="auto"/>
              </w:rPr>
            </w:pPr>
            <w:r>
              <w:rPr>
                <w:rFonts w:ascii="MS PGothic" w:cs="MS PGothic" w:eastAsia="MS PGothic" w:hAnsi="MS PGothic"/>
                <w:sz w:val="11"/>
                <w:szCs w:val="11"/>
                <w:color w:val="auto"/>
                <w:w w:val="72"/>
              </w:rPr>
              <w:t>☐</w:t>
            </w:r>
          </w:p>
        </w:tc>
      </w:tr>
    </w:tbl>
    <w:p>
      <w:pPr>
        <w:jc w:val="both"/>
        <w:ind w:firstLine="314"/>
        <w:spacing w:after="0" w:line="15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jc w:val="both"/>
        <w:ind w:firstLine="314"/>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jc w:val="both"/>
        <w:ind w:firstLine="314"/>
        <w:spacing w:after="0" w:line="157"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jc w:val="both"/>
        <w:ind w:firstLine="314"/>
        <w:spacing w:after="0" w:line="157"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ind w:left="320"/>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45" w:lineRule="exact"/>
        <w:rPr>
          <w:sz w:val="24"/>
          <w:szCs w:val="24"/>
          <w:color w:val="auto"/>
        </w:rPr>
      </w:pPr>
    </w:p>
    <w:p>
      <w:pPr>
        <w:jc w:val="both"/>
        <w:ind w:firstLine="314"/>
        <w:spacing w:after="0"/>
        <w:rPr>
          <w:sz w:val="20"/>
          <w:szCs w:val="20"/>
          <w:color w:val="auto"/>
        </w:rPr>
      </w:pPr>
      <w:r>
        <w:rPr>
          <w:rFonts w:ascii="Times New Roman" w:cs="Times New Roman" w:eastAsia="Times New Roman" w:hAnsi="Times New Roman"/>
          <w:sz w:val="12"/>
          <w:szCs w:val="12"/>
          <w:color w:val="auto"/>
        </w:rPr>
        <w:t>Aggregate market value of voting and non-voting common equity held by non-affiliates of the registrant as of June 29, 2024, based upon the closing price of the common stock as reported by the Nasdaq Global Select Market on June 29, 2024, was $2.69 billion. 100,226,477 shares of Class A common stock and 711,500,000 shares of Class B common stock were outstanding as of January 31,2025.</w:t>
      </w:r>
    </w:p>
    <w:p>
      <w:pPr>
        <w:spacing w:after="0" w:line="161" w:lineRule="exact"/>
        <w:rPr>
          <w:sz w:val="24"/>
          <w:szCs w:val="24"/>
          <w:color w:val="auto"/>
        </w:rPr>
      </w:pPr>
    </w:p>
    <w:p>
      <w:pPr>
        <w:jc w:val="both"/>
        <w:ind w:firstLine="314"/>
        <w:spacing w:after="0" w:line="264" w:lineRule="auto"/>
        <w:rPr>
          <w:sz w:val="20"/>
          <w:szCs w:val="20"/>
          <w:color w:val="auto"/>
        </w:rPr>
      </w:pPr>
      <w:r>
        <w:rPr>
          <w:rFonts w:ascii="Times New Roman" w:cs="Times New Roman" w:eastAsia="Times New Roman" w:hAnsi="Times New Roman"/>
          <w:sz w:val="12"/>
          <w:szCs w:val="12"/>
          <w:color w:val="auto"/>
        </w:rPr>
        <w:t>Portions of the Mobileye Global Inc. 2025 definitive Proxy Statement, which will be filed with the Securities and Exchange Commission within 120 days after December 28, 2024,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850265</wp:posOffset>
            </wp:positionV>
            <wp:extent cx="630491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4915"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6304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wp:posOffset>
            </wp:positionV>
            <wp:extent cx="630491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4915" cy="33020"/>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8940" w:type="dxa"/>
            <w:vAlign w:val="bottom"/>
            <w:gridSpan w:val="3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2"/>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0"/>
          </w:tcPr>
          <w:p>
            <w:pPr>
              <w:jc w:val="center"/>
              <w:ind w:right="2740"/>
              <w:spacing w:after="0"/>
              <w:rPr>
                <w:sz w:val="20"/>
                <w:szCs w:val="20"/>
                <w:color w:val="auto"/>
              </w:rPr>
            </w:pPr>
            <w:r>
              <w:rPr>
                <w:rFonts w:ascii="Times New Roman" w:cs="Times New Roman" w:eastAsia="Times New Roman" w:hAnsi="Times New Roman"/>
                <w:sz w:val="17"/>
                <w:szCs w:val="17"/>
                <w:b w:val="1"/>
                <w:bCs w:val="1"/>
                <w:color w:val="auto"/>
              </w:rPr>
              <w:t>Mobileye Global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0"/>
          </w:tcPr>
          <w:p>
            <w:pPr>
              <w:jc w:val="center"/>
              <w:ind w:right="27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940" w:type="dxa"/>
            <w:vAlign w:val="bottom"/>
            <w:gridSpan w:val="33"/>
            <w:vMerge w:val="restart"/>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4"/>
        </w:trPr>
        <w:tc>
          <w:tcPr>
            <w:tcW w:w="8940" w:type="dxa"/>
            <w:vAlign w:val="bottom"/>
            <w:gridSpan w:val="33"/>
            <w:vMerge w:val="continue"/>
          </w:tcPr>
          <w:p>
            <w:pPr>
              <w:spacing w:after="0"/>
              <w:rPr>
                <w:sz w:val="14"/>
                <w:szCs w:val="14"/>
                <w:color w:val="auto"/>
              </w:rPr>
            </w:pPr>
          </w:p>
        </w:tc>
        <w:tc>
          <w:tcPr>
            <w:tcW w:w="9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90"/>
        </w:trPr>
        <w:tc>
          <w:tcPr>
            <w:tcW w:w="540" w:type="dxa"/>
            <w:vAlign w:val="bottom"/>
            <w:tcBorders>
              <w:top w:val="single" w:sz="8" w:color="0000EE"/>
              <w:bottom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7"/>
                <w:szCs w:val="17"/>
                <w:color w:val="0000EE"/>
                <w:w w:val="97"/>
              </w:rPr>
              <w:t>PART I</w:t>
            </w:r>
          </w:p>
        </w:tc>
        <w:tc>
          <w:tcPr>
            <w:tcW w:w="380" w:type="dxa"/>
            <w:vAlign w:val="bottom"/>
            <w:tcBorders>
              <w:top w:val="single" w:sz="8" w:color="0000EE"/>
            </w:tcBorders>
            <w:gridSpan w:val="5"/>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1.</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Business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0000EE"/>
                <w:w w:val="99"/>
              </w:rPr>
              <w:t>Item 1A.</w:t>
            </w:r>
          </w:p>
        </w:tc>
        <w:tc>
          <w:tcPr>
            <w:tcW w:w="280" w:type="dxa"/>
            <w:vAlign w:val="bottom"/>
          </w:tcPr>
          <w:p>
            <w:pPr>
              <w:spacing w:after="0"/>
              <w:rPr>
                <w:sz w:val="16"/>
                <w:szCs w:val="16"/>
                <w:color w:val="auto"/>
              </w:rPr>
            </w:pP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Risk Factors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tcBorders>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Item 1B.</w:t>
            </w:r>
          </w:p>
        </w:tc>
        <w:tc>
          <w:tcPr>
            <w:tcW w:w="280" w:type="dxa"/>
            <w:vAlign w:val="bottom"/>
          </w:tcPr>
          <w:p>
            <w:pPr>
              <w:spacing w:after="0"/>
              <w:rPr>
                <w:sz w:val="16"/>
                <w:szCs w:val="16"/>
                <w:color w:val="auto"/>
              </w:rPr>
            </w:pPr>
          </w:p>
        </w:tc>
        <w:tc>
          <w:tcPr>
            <w:tcW w:w="1980" w:type="dxa"/>
            <w:vAlign w:val="bottom"/>
            <w:tcBorders>
              <w:bottom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7"/>
                <w:szCs w:val="17"/>
                <w:color w:val="0000EE"/>
              </w:rPr>
              <w:t>Unresolved Staff Comments</w:t>
            </w:r>
          </w:p>
        </w:tc>
        <w:tc>
          <w:tcPr>
            <w:tcW w:w="6040" w:type="dxa"/>
            <w:vAlign w:val="bottom"/>
            <w:gridSpan w:val="12"/>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90"/>
        </w:trPr>
        <w:tc>
          <w:tcPr>
            <w:tcW w:w="620" w:type="dxa"/>
            <w:vAlign w:val="bottom"/>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Item 1C.</w:t>
            </w:r>
          </w:p>
        </w:tc>
        <w:tc>
          <w:tcPr>
            <w:tcW w:w="300" w:type="dxa"/>
            <w:vAlign w:val="bottom"/>
            <w:gridSpan w:val="2"/>
          </w:tcPr>
          <w:p>
            <w:pPr>
              <w:spacing w:after="0"/>
              <w:rPr>
                <w:sz w:val="16"/>
                <w:szCs w:val="16"/>
                <w:color w:val="auto"/>
              </w:rPr>
            </w:pP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Cybersecurity</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90"/>
        </w:trPr>
        <w:tc>
          <w:tcPr>
            <w:tcW w:w="620" w:type="dxa"/>
            <w:vAlign w:val="bottom"/>
            <w:tcBorders>
              <w:top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Item 2.</w:t>
            </w:r>
          </w:p>
        </w:tc>
        <w:tc>
          <w:tcPr>
            <w:tcW w:w="300" w:type="dxa"/>
            <w:vAlign w:val="bottom"/>
            <w:gridSpan w:val="2"/>
          </w:tcPr>
          <w:p>
            <w:pPr>
              <w:spacing w:after="0"/>
              <w:rPr>
                <w:sz w:val="16"/>
                <w:szCs w:val="16"/>
                <w:color w:val="auto"/>
              </w:rPr>
            </w:pPr>
          </w:p>
        </w:tc>
        <w:tc>
          <w:tcPr>
            <w:tcW w:w="960" w:type="dxa"/>
            <w:vAlign w:val="bottom"/>
            <w:tcBorders>
              <w:top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Properties</w:t>
            </w:r>
          </w:p>
        </w:tc>
        <w:tc>
          <w:tcPr>
            <w:tcW w:w="7060" w:type="dxa"/>
            <w:vAlign w:val="bottom"/>
            <w:gridSpan w:val="19"/>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3.</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Legal Proceedings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4.</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Mine Safety Disclosures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PART II</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190"/>
        </w:trPr>
        <w:tc>
          <w:tcPr>
            <w:tcW w:w="580" w:type="dxa"/>
            <w:vAlign w:val="bottom"/>
            <w:tcBorders>
              <w:top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Item 5.</w:t>
            </w:r>
          </w:p>
        </w:tc>
        <w:tc>
          <w:tcPr>
            <w:tcW w:w="340" w:type="dxa"/>
            <w:vAlign w:val="bottom"/>
            <w:gridSpan w:val="4"/>
          </w:tcPr>
          <w:p>
            <w:pPr>
              <w:spacing w:after="0"/>
              <w:rPr>
                <w:sz w:val="16"/>
                <w:szCs w:val="16"/>
                <w:color w:val="auto"/>
              </w:rPr>
            </w:pP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 Securities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6.</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[Reserved]</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7.</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0000EE"/>
                <w:w w:val="99"/>
              </w:rPr>
              <w:t>Item 7A.</w:t>
            </w:r>
          </w:p>
        </w:tc>
        <w:tc>
          <w:tcPr>
            <w:tcW w:w="280" w:type="dxa"/>
            <w:vAlign w:val="bottom"/>
          </w:tcPr>
          <w:p>
            <w:pPr>
              <w:spacing w:after="0"/>
              <w:rPr>
                <w:sz w:val="16"/>
                <w:szCs w:val="16"/>
                <w:color w:val="auto"/>
              </w:rPr>
            </w:pP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190"/>
        </w:trPr>
        <w:tc>
          <w:tcPr>
            <w:tcW w:w="64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Item 8.</w:t>
            </w:r>
          </w:p>
        </w:tc>
        <w:tc>
          <w:tcPr>
            <w:tcW w:w="280" w:type="dxa"/>
            <w:vAlign w:val="bottom"/>
          </w:tcPr>
          <w:p>
            <w:pPr>
              <w:spacing w:after="0"/>
              <w:rPr>
                <w:sz w:val="16"/>
                <w:szCs w:val="16"/>
                <w:color w:val="auto"/>
              </w:rPr>
            </w:pPr>
          </w:p>
        </w:tc>
        <w:tc>
          <w:tcPr>
            <w:tcW w:w="416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7"/>
                <w:szCs w:val="17"/>
                <w:color w:val="0000EE"/>
              </w:rPr>
              <w:t>Financial Statements</w:t>
            </w:r>
          </w:p>
        </w:tc>
        <w:tc>
          <w:tcPr>
            <w:tcW w:w="3860" w:type="dxa"/>
            <w:vAlign w:val="bottom"/>
            <w:gridSpan w:val="8"/>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9.</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0000EE"/>
                <w:w w:val="99"/>
              </w:rPr>
              <w:t>Item 9A.</w:t>
            </w:r>
          </w:p>
        </w:tc>
        <w:tc>
          <w:tcPr>
            <w:tcW w:w="280" w:type="dxa"/>
            <w:vAlign w:val="bottom"/>
          </w:tcPr>
          <w:p>
            <w:pPr>
              <w:spacing w:after="0"/>
              <w:rPr>
                <w:sz w:val="16"/>
                <w:szCs w:val="16"/>
                <w:color w:val="auto"/>
              </w:rPr>
            </w:pP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Controls and Procedures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190"/>
        </w:trPr>
        <w:tc>
          <w:tcPr>
            <w:tcW w:w="64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Item 9B.</w:t>
            </w:r>
          </w:p>
        </w:tc>
        <w:tc>
          <w:tcPr>
            <w:tcW w:w="280" w:type="dxa"/>
            <w:vAlign w:val="bottom"/>
          </w:tcPr>
          <w:p>
            <w:pPr>
              <w:spacing w:after="0"/>
              <w:rPr>
                <w:sz w:val="16"/>
                <w:szCs w:val="16"/>
                <w:color w:val="auto"/>
              </w:rPr>
            </w:pPr>
          </w:p>
        </w:tc>
        <w:tc>
          <w:tcPr>
            <w:tcW w:w="1700" w:type="dxa"/>
            <w:vAlign w:val="bottom"/>
            <w:tcBorders>
              <w:top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7"/>
                <w:szCs w:val="17"/>
                <w:color w:val="0000EE"/>
              </w:rPr>
              <w:t>Other Information</w:t>
            </w:r>
          </w:p>
        </w:tc>
        <w:tc>
          <w:tcPr>
            <w:tcW w:w="6320" w:type="dxa"/>
            <w:vAlign w:val="bottom"/>
            <w:gridSpan w:val="14"/>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0" w:type="dxa"/>
            <w:vAlign w:val="bottom"/>
            <w:tcBorders>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Item 9C.</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0" w:type="dxa"/>
            <w:vAlign w:val="bottom"/>
            <w:tcBorders>
              <w:bottom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3220" w:type="dxa"/>
            <w:vAlign w:val="bottom"/>
            <w:gridSpan w:val="6"/>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Part III</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10.</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11.</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Executive Compensation</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Item 12.</w:t>
            </w:r>
          </w:p>
        </w:tc>
        <w:tc>
          <w:tcPr>
            <w:tcW w:w="320" w:type="dxa"/>
            <w:vAlign w:val="bottom"/>
            <w:gridSpan w:val="3"/>
          </w:tcPr>
          <w:p>
            <w:pPr>
              <w:spacing w:after="0"/>
              <w:rPr>
                <w:sz w:val="16"/>
                <w:szCs w:val="16"/>
                <w:color w:val="auto"/>
              </w:rPr>
            </w:pP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190"/>
        </w:trPr>
        <w:tc>
          <w:tcPr>
            <w:tcW w:w="60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Item 13.</w:t>
            </w:r>
          </w:p>
        </w:tc>
        <w:tc>
          <w:tcPr>
            <w:tcW w:w="320" w:type="dxa"/>
            <w:vAlign w:val="bottom"/>
            <w:gridSpan w:val="3"/>
          </w:tcPr>
          <w:p>
            <w:pPr>
              <w:spacing w:after="0"/>
              <w:rPr>
                <w:sz w:val="16"/>
                <w:szCs w:val="16"/>
                <w:color w:val="auto"/>
              </w:rPr>
            </w:pPr>
          </w:p>
        </w:tc>
        <w:tc>
          <w:tcPr>
            <w:tcW w:w="5280" w:type="dxa"/>
            <w:vAlign w:val="bottom"/>
            <w:tcBorders>
              <w:top w:val="single" w:sz="8" w:color="0000EE"/>
              <w:bottom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1780" w:type="dxa"/>
            <w:vAlign w:val="bottom"/>
            <w:tcBorders>
              <w:top w:val="single" w:sz="8" w:color="0000EE"/>
            </w:tcBorders>
            <w:gridSpan w:val="3"/>
          </w:tcPr>
          <w:p>
            <w:pPr>
              <w:spacing w:after="0"/>
              <w:rPr>
                <w:sz w:val="16"/>
                <w:szCs w:val="16"/>
                <w:color w:val="auto"/>
              </w:rPr>
            </w:pPr>
          </w:p>
        </w:tc>
        <w:tc>
          <w:tcPr>
            <w:tcW w:w="960" w:type="dxa"/>
            <w:vAlign w:val="bottom"/>
            <w:gridSpan w:val="2"/>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190"/>
        </w:trPr>
        <w:tc>
          <w:tcPr>
            <w:tcW w:w="9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Item 14.</w:t>
            </w: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Principal Accounting Fees and Services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rPr>
              <w:t>Part IV</w:t>
            </w:r>
          </w:p>
        </w:tc>
        <w:tc>
          <w:tcPr>
            <w:tcW w:w="60" w:type="dxa"/>
            <w:vAlign w:val="bottom"/>
            <w:tcBorders>
              <w:top w:val="single" w:sz="8" w:color="0000EE"/>
            </w:tcBorders>
            <w:gridSpan w:val="2"/>
          </w:tcPr>
          <w:p>
            <w:pPr>
              <w:spacing w:after="0"/>
              <w:rPr>
                <w:sz w:val="16"/>
                <w:szCs w:val="16"/>
                <w:color w:val="auto"/>
              </w:rPr>
            </w:pPr>
          </w:p>
        </w:tc>
        <w:tc>
          <w:tcPr>
            <w:tcW w:w="340" w:type="dxa"/>
            <w:vAlign w:val="bottom"/>
            <w:gridSpan w:val="4"/>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190"/>
        </w:trPr>
        <w:tc>
          <w:tcPr>
            <w:tcW w:w="60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Item 15.</w:t>
            </w:r>
          </w:p>
        </w:tc>
        <w:tc>
          <w:tcPr>
            <w:tcW w:w="320" w:type="dxa"/>
            <w:vAlign w:val="bottom"/>
            <w:gridSpan w:val="3"/>
          </w:tcPr>
          <w:p>
            <w:pPr>
              <w:spacing w:after="0"/>
              <w:rPr>
                <w:sz w:val="16"/>
                <w:szCs w:val="16"/>
                <w:color w:val="auto"/>
              </w:rPr>
            </w:pPr>
          </w:p>
        </w:tc>
        <w:tc>
          <w:tcPr>
            <w:tcW w:w="8020" w:type="dxa"/>
            <w:vAlign w:val="bottom"/>
            <w:gridSpan w:val="25"/>
          </w:tcPr>
          <w:p>
            <w:pPr>
              <w:spacing w:after="0" w:line="189" w:lineRule="exact"/>
              <w:rPr>
                <w:sz w:val="20"/>
                <w:szCs w:val="20"/>
                <w:color w:val="auto"/>
              </w:rPr>
            </w:pPr>
            <w:r>
              <w:rPr>
                <w:rFonts w:ascii="Times New Roman" w:cs="Times New Roman" w:eastAsia="Times New Roman" w:hAnsi="Times New Roman"/>
                <w:sz w:val="17"/>
                <w:szCs w:val="17"/>
                <w:color w:val="0000EE"/>
              </w:rPr>
              <w:t>Exhibits, Financial Statement Schedules</w:t>
            </w: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190"/>
        </w:trPr>
        <w:tc>
          <w:tcPr>
            <w:tcW w:w="600" w:type="dxa"/>
            <w:vAlign w:val="bottom"/>
            <w:tcBorders>
              <w:top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Item 16.</w:t>
            </w:r>
          </w:p>
        </w:tc>
        <w:tc>
          <w:tcPr>
            <w:tcW w:w="320" w:type="dxa"/>
            <w:vAlign w:val="bottom"/>
            <w:gridSpan w:val="3"/>
          </w:tcPr>
          <w:p>
            <w:pPr>
              <w:spacing w:after="0"/>
              <w:rPr>
                <w:sz w:val="16"/>
                <w:szCs w:val="16"/>
                <w:color w:val="auto"/>
              </w:rPr>
            </w:pPr>
          </w:p>
        </w:tc>
        <w:tc>
          <w:tcPr>
            <w:tcW w:w="2800" w:type="dxa"/>
            <w:vAlign w:val="bottom"/>
            <w:tcBorders>
              <w:top w:val="single" w:sz="8" w:color="0000EE"/>
            </w:tcBorders>
            <w:gridSpan w:val="15"/>
          </w:tcPr>
          <w:p>
            <w:pPr>
              <w:spacing w:after="0" w:line="189" w:lineRule="exact"/>
              <w:rPr>
                <w:sz w:val="20"/>
                <w:szCs w:val="20"/>
                <w:color w:val="auto"/>
              </w:rPr>
            </w:pPr>
            <w:r>
              <w:rPr>
                <w:rFonts w:ascii="Times New Roman" w:cs="Times New Roman" w:eastAsia="Times New Roman" w:hAnsi="Times New Roman"/>
                <w:sz w:val="17"/>
                <w:szCs w:val="17"/>
                <w:color w:val="0000EE"/>
              </w:rPr>
              <w:t>Form 10-K Summary</w:t>
            </w:r>
          </w:p>
        </w:tc>
        <w:tc>
          <w:tcPr>
            <w:tcW w:w="5220" w:type="dxa"/>
            <w:vAlign w:val="bottom"/>
            <w:gridSpan w:val="10"/>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190"/>
        </w:trPr>
        <w:tc>
          <w:tcPr>
            <w:tcW w:w="5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top w:val="single" w:sz="8" w:color="0000EE"/>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w w:val="98"/>
              </w:rPr>
              <w:t>SIGNATURES</w:t>
            </w:r>
          </w:p>
        </w:tc>
        <w:tc>
          <w:tcPr>
            <w:tcW w:w="440" w:type="dxa"/>
            <w:vAlign w:val="bottom"/>
            <w:tcBorders>
              <w:top w:val="single" w:sz="8" w:color="0000EE"/>
            </w:tcBorders>
            <w:gridSpan w:val="3"/>
          </w:tcPr>
          <w:p>
            <w:pPr>
              <w:spacing w:after="0"/>
              <w:rPr>
                <w:sz w:val="16"/>
                <w:szCs w:val="16"/>
                <w:color w:val="auto"/>
              </w:rPr>
            </w:pPr>
          </w:p>
        </w:tc>
        <w:tc>
          <w:tcPr>
            <w:tcW w:w="6520" w:type="dxa"/>
            <w:vAlign w:val="bottom"/>
            <w:gridSpan w:val="15"/>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This Annual Report on Form 10-K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79"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Forward-looking statements contained in this Annual Report on Form 10-K may include, but are not limited to, statements about:</w:t>
      </w:r>
    </w:p>
    <w:p>
      <w:pPr>
        <w:spacing w:after="0" w:line="224" w:lineRule="exact"/>
        <w:rPr>
          <w:sz w:val="20"/>
          <w:szCs w:val="20"/>
          <w:color w:val="auto"/>
        </w:rPr>
      </w:pPr>
    </w:p>
    <w:p>
      <w:pPr>
        <w:ind w:left="660" w:hanging="314"/>
        <w:spacing w:after="0"/>
        <w:tabs>
          <w:tab w:leader="none" w:pos="6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business, social and environmental performance, goals and measures;</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growth prospects and trends in markets and industries relevant to our business;</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and investment plans;</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expectations about our ability to maintain or enhance our leadership position in the markets in which we participate;</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consumer demand and behavior, including expectations about excess inventory utilization by customers;</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compete in the markets in which we operate;</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products and technology, and the expected availability and benefits of such products and technology;</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regulatory frameworks for current and future technology;</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 and trade policy, including increased tariffs, in regions in which we operate, including the U.S., Europe and</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w:t>
      </w:r>
    </w:p>
    <w:p>
      <w:pPr>
        <w:spacing w:after="0" w:line="205"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cost and pricing trends;</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production capacity and product supply;</w:t>
      </w:r>
    </w:p>
    <w:p>
      <w:pPr>
        <w:spacing w:after="0" w:line="223" w:lineRule="exact"/>
        <w:rPr>
          <w:rFonts w:ascii="Times New Roman" w:cs="Times New Roman" w:eastAsia="Times New Roman" w:hAnsi="Times New Roman"/>
          <w:sz w:val="17"/>
          <w:szCs w:val="17"/>
          <w:color w:val="auto"/>
        </w:rPr>
      </w:pPr>
    </w:p>
    <w:p>
      <w:pPr>
        <w:ind w:firstLine="320"/>
        <w:spacing w:after="0" w:line="296" w:lineRule="auto"/>
        <w:tabs>
          <w:tab w:leader="none" w:pos="62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future benefits and competitive advantages associated with our technologies and architecture and the data we have accumulated;</w:t>
      </w:r>
    </w:p>
    <w:p>
      <w:pPr>
        <w:spacing w:after="0" w:line="146" w:lineRule="exact"/>
        <w:rPr>
          <w:rFonts w:ascii="Times New Roman" w:cs="Times New Roman" w:eastAsia="Times New Roman" w:hAnsi="Times New Roman"/>
          <w:sz w:val="17"/>
          <w:szCs w:val="17"/>
          <w:color w:val="auto"/>
        </w:rPr>
      </w:pPr>
    </w:p>
    <w:p>
      <w:pPr>
        <w:ind w:firstLine="320"/>
        <w:spacing w:after="0" w:line="296" w:lineRule="auto"/>
        <w:tabs>
          <w:tab w:leader="none" w:pos="62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purchase, use and availability of products, components and services supplied by third parties, including third-party IP and manufacturing services;</w:t>
      </w:r>
    </w:p>
    <w:p>
      <w:pPr>
        <w:spacing w:after="0" w:line="146" w:lineRule="exact"/>
        <w:rPr>
          <w:rFonts w:ascii="Times New Roman" w:cs="Times New Roman" w:eastAsia="Times New Roman" w:hAnsi="Times New Roman"/>
          <w:sz w:val="17"/>
          <w:szCs w:val="17"/>
          <w:color w:val="auto"/>
        </w:rPr>
      </w:pPr>
    </w:p>
    <w:p>
      <w:pPr>
        <w:ind w:firstLine="320"/>
        <w:spacing w:after="0" w:line="296" w:lineRule="auto"/>
        <w:tabs>
          <w:tab w:leader="none" w:pos="62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46" w:lineRule="exact"/>
        <w:rPr>
          <w:rFonts w:ascii="Times New Roman" w:cs="Times New Roman" w:eastAsia="Times New Roman" w:hAnsi="Times New Roman"/>
          <w:sz w:val="17"/>
          <w:szCs w:val="17"/>
          <w:color w:val="auto"/>
        </w:rPr>
      </w:pPr>
    </w:p>
    <w:p>
      <w:pPr>
        <w:ind w:firstLine="320"/>
        <w:spacing w:after="0" w:line="296" w:lineRule="auto"/>
        <w:tabs>
          <w:tab w:leader="none" w:pos="62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uses, sufficiency and cost of capital and capital resources, including expected returns to stockholders such as dividends, and the expected timing of future dividends;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640" w:hanging="320"/>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and accounting-related expectations;</w:t>
      </w:r>
    </w:p>
    <w:p>
      <w:pPr>
        <w:spacing w:after="0" w:line="223" w:lineRule="exact"/>
        <w:rPr>
          <w:rFonts w:ascii="Times New Roman" w:cs="Times New Roman" w:eastAsia="Times New Roman" w:hAnsi="Times New Roman"/>
          <w:sz w:val="17"/>
          <w:szCs w:val="17"/>
          <w:color w:val="auto"/>
        </w:rPr>
      </w:pPr>
    </w:p>
    <w:p>
      <w:pPr>
        <w:ind w:firstLine="320"/>
        <w:spacing w:after="0" w:line="296" w:lineRule="auto"/>
        <w:tabs>
          <w:tab w:leader="none" w:pos="62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conditions in Israel, including in connection with Israeli military operations in response to the October 7, 2023 terrorist attacks, which may affect our operations and may limit our ability to produce and sell our solutions;</w:t>
      </w:r>
    </w:p>
    <w:p>
      <w:pPr>
        <w:spacing w:after="0" w:line="146" w:lineRule="exact"/>
        <w:rPr>
          <w:rFonts w:ascii="Times New Roman" w:cs="Times New Roman" w:eastAsia="Times New Roman" w:hAnsi="Times New Roman"/>
          <w:sz w:val="17"/>
          <w:szCs w:val="17"/>
          <w:color w:val="auto"/>
        </w:rPr>
      </w:pPr>
    </w:p>
    <w:p>
      <w:pPr>
        <w:ind w:firstLine="320"/>
        <w:spacing w:after="0" w:line="296" w:lineRule="auto"/>
        <w:tabs>
          <w:tab w:leader="none" w:pos="62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disruption in our operations by the obligations of our personnel to perform military service as a result of current or future military actions involving Israel; and</w:t>
      </w:r>
    </w:p>
    <w:p>
      <w:pPr>
        <w:spacing w:after="0" w:line="146" w:lineRule="exact"/>
        <w:rPr>
          <w:rFonts w:ascii="Times New Roman" w:cs="Times New Roman" w:eastAsia="Times New Roman" w:hAnsi="Times New Roman"/>
          <w:sz w:val="17"/>
          <w:szCs w:val="17"/>
          <w:color w:val="auto"/>
        </w:rPr>
      </w:pPr>
    </w:p>
    <w:p>
      <w:pPr>
        <w:ind w:firstLine="320"/>
        <w:spacing w:after="0" w:line="296" w:lineRule="auto"/>
        <w:tabs>
          <w:tab w:leader="none" w:pos="62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statements described in this Annual Report on Form 10-K, including under the sections entitled “Item 1A. Risk Factors,” “Item 7. Management’s Discussion and Analysis of Financial Condition and Results of Operations” and “Item 1. Business”.</w:t>
      </w:r>
    </w:p>
    <w:p>
      <w:pPr>
        <w:spacing w:after="0" w:line="147"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The risk factors discussed under the section entitled “Item 1A. Risk Factors” included herein could cause our results to differ materially from those expressed in the forward-looking statements made in this Annual Report on Form 10-K.</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also may be other risks that are currently unknown to us or that we are unable to predict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4"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i w:val="1"/>
          <w:iCs w:val="1"/>
          <w:color w:val="auto"/>
        </w:rPr>
        <w:t>In this Annual Report on Form 10-K,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72"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i w:val="1"/>
          <w:iCs w:val="1"/>
          <w:color w:val="auto"/>
        </w:rPr>
        <w:t>We have a 52- or 53-week fiscal year that ends on the last Saturday in December. Fiscal years 2024 and 2023 were 52-week fiscal years; fiscal year 2022 was a 53-week fiscal year. The additional week in fiscal year 2022 was added to the first quarter, which consisted of 14 weeks. Any references to our performance for the years 2024, 2023 and 2022 are references to our fiscal years ended December 28, 2024, December 30, 2023 and December 31, 2022, respectively, and all references to our financial condition as of the end of 2024 and 2023 are references to the end of such fiscal years.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6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While today ADAS is central to the advancement of automotive safety, we believe that an evolutionary path toward fully autonomous vehicles is the future of mobility. While still nascent, full autonomy - where a human is not actively engaged in driving the vehicle for extended periods of time - requires the autonomous driving solution to be capable of navigating any environment in any condition at any time. The ability to drive autonomously not only requires a substantial amount of data, but also a robust technology platform that optimizes both precision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safety) and recall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availability) without compromise, and can withstand the validation and audit process of global regulatory bodies. Further, the autonomous driving solution needs to be produced at a cost that makes it affordable. We are building our technology platform to address these fundamental and significant challenges in order to enable a full spectrum of solutions, from ADAS to autonomous driving, with several incremental steps in between.</w:t>
      </w:r>
    </w:p>
    <w:p>
      <w:pPr>
        <w:spacing w:after="0" w:line="179"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efficient and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the core technology supporting our advanced solutions while also augmenting and differentiating their offerings.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have experienced significant growth since our founding. For 2024, 2023 and 2022, our revenue was $1.7 billion, $2.1 billion and $1.9 billion, respectively, representing a year-over-year decrease of 20% in 2024 compared to 2023 primarily due to a significant drawdown of excess inventory at our Tier 1 customers and a reduction in volumes shipped to China in 2024. We currently derive substantially all of our revenue from our commercially deployed ADAS solutions. We recorded net losses of $3,090 million, $27 million and $82 million in 2024, 2023 and 2022, respectively, with the net loss in 2024 primarily being the result of recording a $2,695 million ($2,613 million, net of tax) non-cash impairment of goodwill in the third quarter of 2024. Our Adjusted Net Income for 2024, 2023 and 2022 was $205 million, $659 million and $605 million, respectively. Adjusted Net Income is a non-GAAP financial measure; see “Item 7. Management’s Discussion and Analysis of Financial Condition and Results of Operations – Non-GAAP Financial Measures” for a reconciliation of Adjusted Net Income to Net Income (Loss). The adjustments to reconcile Net Income (Loss) with Adjusted Net Income are related to amortization of intangible assets, stock-based compensation expenses, impairment of goodwill, expenses related to the initial public offering of Mobileye in October 2022 (the “Mobileye IPO”) and related income tax effects where applicable. The amortization of intangible assets consisting of developed technology, customer relationships and brands, is primarily a result of Intel’s acquisition of Mobileye in 2017 and, to a lesser extent, the acquisition of Moovit in 2020.</w:t>
      </w:r>
    </w:p>
    <w:p>
      <w:pPr>
        <w:spacing w:after="0" w:line="393" w:lineRule="exact"/>
        <w:rPr>
          <w:sz w:val="20"/>
          <w:szCs w:val="20"/>
          <w:color w:val="auto"/>
        </w:rPr>
      </w:pPr>
    </w:p>
    <w:p>
      <w:pPr>
        <w:jc w:val="both"/>
        <w:ind w:firstLine="314"/>
        <w:spacing w:after="0" w:line="226" w:lineRule="auto"/>
        <w:rPr>
          <w:sz w:val="20"/>
          <w:szCs w:val="20"/>
          <w:color w:val="auto"/>
        </w:rPr>
      </w:pPr>
      <w:r>
        <w:rPr>
          <w:rFonts w:ascii="Times New Roman" w:cs="Times New Roman" w:eastAsia="Times New Roman" w:hAnsi="Times New Roman"/>
          <w:sz w:val="17"/>
          <w:szCs w:val="17"/>
          <w:color w:val="auto"/>
        </w:rPr>
        <w:t>As of December 28, 2024, our solutions have been installed in approximately 1,200 vehicle models (including local country, year, and other vehicle model variations), and our System-on-Chips (“SoCs”) have been deployed in over 200 million vehicles. We are actively working with more than 50 Original Equipment Manufacturers (“OEMs”) worldwide on the implementation of our ADAS solutions. For the year ended December 28, 2024, we shipped approximately 29.0 million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and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systems, of which the substantial majority were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This represents a decrease from approximately 37.4 million systems that we shipped in 2023, and approximately 33.7 million systems that we shipped in 2022, primarily due to a significant drawdown of excess inventory at our Tier 1 customers and a reduction in volumes shipped to China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134620</wp:posOffset>
            </wp:positionV>
            <wp:extent cx="5073650" cy="2861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73650" cy="286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the Mobileye IPO in October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Technology Platform is Built to Enable the Full-Stack of Autonomous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156210</wp:posOffset>
            </wp:positionV>
            <wp:extent cx="4990465" cy="2228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compute-efficient and cost-efficient autonomous solutions. Our technologies are foundational to the development and deployment of our ADAS and AV capabilities. Our platform is built on five fundamental pillars:</w:t>
      </w:r>
    </w:p>
    <w:p>
      <w:pPr>
        <w:spacing w:after="0" w:line="166" w:lineRule="exact"/>
        <w:rPr>
          <w:sz w:val="20"/>
          <w:szCs w:val="20"/>
          <w:color w:val="auto"/>
        </w:rPr>
      </w:pPr>
    </w:p>
    <w:p>
      <w:pPr>
        <w:jc w:val="both"/>
        <w:ind w:firstLine="320"/>
        <w:spacing w:after="0" w:line="250" w:lineRule="auto"/>
        <w:tabs>
          <w:tab w:leader="none" w:pos="62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Computer Vision Processing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Mobileye’s history as a cutting-edge deployer of AI-based solutions in the real world starts with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expertise in computer vision processing. ADAS solutions are responsible for saving lives and must meet very high-performance metrics with extreme levels of efficiency, as well as pass increasing oversight from regulatory bodies. “Good enough” is simply not acceptable. The precision requirements for advanced solutions in the Premium ADAS and AV segments are even more exacting. We are a technology leader for computer vision technology for ADAS, largely through front camera solutions, and we have continuously enhanced our leadership position through our ability to meet the extreme performance, accuracy, and cost metrics of our OEM customers. In recent years, we have expanded our capability to enable creation of a 360-degree world-view through the processing of multiple cameras placed around the vehicle to support our portfolio of advanced solutions. Our products primarily use monocular camera processing that works accurately alone, or together with radar and lidar for redundancy. The software supporting camera processing is diverse, including end-to-end neural network processing (both 2- and 3-dimensional) and model-based techniques, among other approaches, This compound AI system structure leads to internal redundancies within the camera-based perception system that enhances precision through design. We have been responsible for many “industry first” launches using monocular vision processing, and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which was launched in late 2021.</w:t>
      </w:r>
    </w:p>
    <w:p>
      <w:pPr>
        <w:spacing w:after="0" w:line="387" w:lineRule="exact"/>
        <w:rPr>
          <w:rFonts w:ascii="Times New Roman" w:cs="Times New Roman" w:eastAsia="Times New Roman" w:hAnsi="Times New Roman"/>
          <w:sz w:val="17"/>
          <w:szCs w:val="17"/>
          <w:color w:val="auto"/>
        </w:rPr>
      </w:pPr>
    </w:p>
    <w:p>
      <w:pPr>
        <w:jc w:val="both"/>
        <w:ind w:firstLine="320"/>
        <w:spacing w:after="0" w:line="196" w:lineRule="auto"/>
        <w:tabs>
          <w:tab w:leader="none" w:pos="62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Road Experience Management</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technology generates high-precision maps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support advanced ADAS and autonomous vehicle systems from crowd-sourced data that is uploaded and analyzed in the cloud from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-equipped production ADAS solutions deployed on vehicles on the road.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a cloud-based system that leverages the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-equipped vehicles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our crowd-sourced, high-precision definition maps of roads from around the world.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system harvests small packets of Road Segment Data from various vehicle models produced by our partner OEMs that are equipped with special processing software that extracts only the relevant information necessary to support increasing levels of ADAS and autonomous driving. In 2024 alone, we collected 29.6 billion miles of road data from, based on our estimates, 3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-enabled vehicles worldwide. The Road Segment Data is uploaded to the cloud where our software automatically creates and updates a detailed and accurate model of the road.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system seamlessly creates high-precision maps from such Road Segment Data in the cloud at centimeter-level detail, which are then delivered to the edge and integrated with our computer vision engines to provide vehicles with real-time intelligence, including situational awareness, context, and foresight.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353060</wp:posOffset>
            </wp:positionV>
            <wp:extent cx="5090160" cy="524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90160" cy="524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20"/>
        <w:spacing w:after="0" w:line="250" w:lineRule="auto"/>
        <w:tabs>
          <w:tab w:leader="none" w:pos="62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Compound Artificial Intelligence Systems, including True Redundancy</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Compound AI structure supports precision,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recall, and overall efficiency by design. While recent advancements in transformer-based architectures and Generative AI create efficiencies in learning-based systems, which Mobileye makes full use of, it also introduces shortfalls such as lack of abstraction, shortcut-learning problem, alignment issues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learning from common but incorrect data), and the long-tail problem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identifying and fixing edge cases one by one). Inevitably this approach is intended to drive high recall at the expense of precision. This inherently introduces significant risk when it comes to the complexity of real-world driving scenarios. Our solution, which aligns with the latest developments in Generative AI even in non safety-critical applications includes insertion of abstractions and an architecture with multiple levels of redundancies that support a quadratic improvement in precision through design. Insertion of abstractions can successfully convert large sets of out-of-distribution edge cases to in-distribution without the need for iterative network re-training with more and more data. Additionally, our structure includes redundancies within the computer vision stack, the fusion of mapping with real-time perception, the fusion of decomposable and end-to-end architectures,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 the fusion of independent world-views produced by separate vision and radar/lidar-based subsystems.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4915" cy="16510"/>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353060</wp:posOffset>
            </wp:positionV>
            <wp:extent cx="5073650" cy="2861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73650" cy="286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When it comes to safety, our multi-faceted high-level fusion structure is governed by a Primary / Guardian / Fallback methodology (“PGF”) which can handle “majority-rule” as well as non-binary discrepancies. This technology approach supports a quadratic improvement in precision through a framework in which the system only fails if two subsystems fail concurrently. It is a critical enabler of our goal of building a fully autonomous driving-system that can be validated as safer than human-driven vehicles, devoid of unreasonable risks, and deployed in a cost-efficient manner. This approach separates our system from competitors that utilize a monolithic approach.</w:t>
      </w:r>
    </w:p>
    <w:p>
      <w:pPr>
        <w:spacing w:after="0" w:line="168" w:lineRule="exact"/>
        <w:rPr>
          <w:sz w:val="20"/>
          <w:szCs w:val="20"/>
          <w:color w:val="auto"/>
        </w:rPr>
      </w:pPr>
    </w:p>
    <w:p>
      <w:pPr>
        <w:jc w:val="both"/>
        <w:ind w:firstLine="320"/>
        <w:spacing w:after="0" w:line="261" w:lineRule="auto"/>
        <w:tabs>
          <w:tab w:leader="none" w:pos="62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Next Generation Imaging Radars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solution targeted to complement the camera-based system with a sensor that has nearly fully-independent failure modes, supports high precision and to reduce the need for multiple expensive lidar sensors, supports cost-efficiency, a major component of recall. The in-house development of imaging radar is a key enabler of our goal of building a cost-effective fully autonomous driving-system. Our radar is expected to deliver rich point-cloud models like those customary of lidar, with far higher resolution and significantly more dynamic range than traditional radar. During 2024, these goals were validated through widespread testing of our B-sample hardware by a number of OEMs. These radars differ from legacy radar and other imaging radar development as, backed by advanced processing algorithms, they can enable an independent “sensing state” with independent failure modes than the camera-based system which supports a quadratic improvement in mean-time-between failure. Our choice to focus on the evolution of the radar modality is also related to its cost structure which is significantly below lidar sensors. We believe our custom designed imaging radars address not only the performance, but also the cost limitations of lidar-centric solutions for mass AV deployment. We have selected multiple manufacturers for this solution which is approaching start of production.</w:t>
      </w:r>
    </w:p>
    <w:p>
      <w:pPr>
        <w:spacing w:after="0" w:line="168" w:lineRule="exact"/>
        <w:rPr>
          <w:rFonts w:ascii="Times New Roman" w:cs="Times New Roman" w:eastAsia="Times New Roman" w:hAnsi="Times New Roman"/>
          <w:sz w:val="17"/>
          <w:szCs w:val="17"/>
          <w:color w:val="auto"/>
        </w:rPr>
      </w:pPr>
    </w:p>
    <w:p>
      <w:pPr>
        <w:jc w:val="both"/>
        <w:ind w:firstLine="320"/>
        <w:spacing w:after="0" w:line="204" w:lineRule="auto"/>
        <w:tabs>
          <w:tab w:leader="none" w:pos="62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Our Family of Purpose-Built EyeQ</w:t>
      </w:r>
      <w:r>
        <w:rPr>
          <w:rFonts w:ascii="Times New Roman" w:cs="Times New Roman" w:eastAsia="Times New Roman" w:hAnsi="Times New Roman"/>
          <w:sz w:val="26"/>
          <w:szCs w:val="26"/>
          <w:b w:val="1"/>
          <w:bCs w:val="1"/>
          <w:u w:val="single" w:color="auto"/>
          <w:color w:val="auto"/>
          <w:vertAlign w:val="superscript"/>
        </w:rPr>
        <w:t>™</w:t>
      </w:r>
      <w:r>
        <w:rPr>
          <w:rFonts w:ascii="Times New Roman" w:cs="Times New Roman" w:eastAsia="Times New Roman" w:hAnsi="Times New Roman"/>
          <w:sz w:val="17"/>
          <w:szCs w:val="17"/>
          <w:b w:val="1"/>
          <w:bCs w:val="1"/>
          <w:color w:val="auto"/>
        </w:rPr>
        <w:t xml:space="preserve"> SoCs. </w:t>
      </w:r>
      <w:r>
        <w:rPr>
          <w:rFonts w:ascii="Times New Roman" w:cs="Times New Roman" w:eastAsia="Times New Roman" w:hAnsi="Times New Roman"/>
          <w:sz w:val="17"/>
          <w:szCs w:val="17"/>
          <w:color w:val="auto"/>
        </w:rPr>
        <w:t>Fundamental to our leadership position in ADAS and our ambitions to develop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most cost-efficient, high-performing AV solutions,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family design also enables a scalable Electronic Control Unit (“ECU”) architecture, thereby supporting a variety of ADAS and autonomous vehicle solution architectures that meet the functional safety requirements of our customers. These solutions range from base, windshield mounted ECUs to multi-SoC central compute ECUs supported currently by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High and in the near future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which can be deployed in a scalable way to support a full suite of Premium ADAS and AV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-891540</wp:posOffset>
            </wp:positionV>
            <wp:extent cx="276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32" w:lineRule="auto"/>
        <w:rPr>
          <w:sz w:val="20"/>
          <w:szCs w:val="20"/>
          <w:color w:val="auto"/>
        </w:rPr>
      </w:pPr>
      <w:r>
        <w:rPr>
          <w:rFonts w:ascii="Times New Roman" w:cs="Times New Roman" w:eastAsia="Times New Roman" w:hAnsi="Times New Roman"/>
          <w:sz w:val="17"/>
          <w:szCs w:val="17"/>
          <w:color w:val="auto"/>
        </w:rPr>
        <w:t>Efficiency of our inference silicon design is a core enabler of the overall efficiency of our system, and is critical in applications like automotive which highly value packaging size and power consumption. Designing an efficient silicon architecture requires optimizing the competing factors of efficiency and flexibility. We accomplish this through the development a variety of accelerators, each of which are designed to perform specific tasks that either most favor efficiency, flexibility, or a combination of both. Successful design has led to a 10-times improvement in frames-per-second processing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as compared to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High, despite only double the headline processing power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TOPS) and 25% higher power consumption. Based on competitive benchmarking,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is significantly more efficient than more general purpose SoC’s that are much higher headline processing power, in terms of frames-per-second, latency, and cost. We continue to believe that, as AV solutions continue to develop, efficiency of inference silicon will be one of the most significant purchasing criteria and Mobileye has inherent advantages in this area.</w:t>
      </w:r>
    </w:p>
    <w:p>
      <w:pPr>
        <w:spacing w:after="0" w:line="187" w:lineRule="exact"/>
        <w:rPr>
          <w:sz w:val="20"/>
          <w:szCs w:val="20"/>
          <w:color w:val="auto"/>
        </w:rPr>
      </w:pPr>
    </w:p>
    <w:p>
      <w:pPr>
        <w:jc w:val="both"/>
        <w:ind w:firstLine="314"/>
        <w:spacing w:after="0" w:line="243" w:lineRule="auto"/>
        <w:rPr>
          <w:sz w:val="20"/>
          <w:szCs w:val="20"/>
          <w:color w:val="auto"/>
        </w:rPr>
      </w:pPr>
      <w:r>
        <w:rPr>
          <w:rFonts w:ascii="Times New Roman" w:cs="Times New Roman" w:eastAsia="Times New Roman" w:hAnsi="Times New Roman"/>
          <w:sz w:val="17"/>
          <w:szCs w:val="17"/>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SoCs and subsequent generations are increasingly customizable by our OEM customers, supported by our Driving Experience Platform (“DXP”). DXP is a software platform that enables automakers to develop and customize the driving experience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OEM-unique aspect of a vehicle’s automated driving features) while utilizing Mobileye’s proven core technology perception and driving policy software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objective, universal aspects of a vehicle’s automated driving features). This new application programming interface supports our customers’ desire to create unique products from our technology while also accelerating time-to-market and reducing overall execution risk. Importantly, this collaborative addition to our platform offer a mutually beneficial middle ground between open and closed systems which we believe is the optimal path forward.</w:t>
      </w:r>
    </w:p>
    <w:p>
      <w:pPr>
        <w:spacing w:after="0" w:line="19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These five pillars form the core of our highly versatile and customizable platform, which we intend to deploy with progressively increasing functionality to continue to enhance our market-leading ADAS solutions and lead the evolution to autonomous driving solutions.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The Autonomous Vehicle Revolution</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 Mobileye is leading the evolution from ADAS to autonomous driving.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115570</wp:posOffset>
            </wp:positionV>
            <wp:extent cx="5106670" cy="2079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06670" cy="207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Vehicle autonomy can be viewed as a spectrum that uses the same technology building blocks to power the full span of driver assist functions, ranging from those available in hundreds of car models today, through full autonomy powering robotaxis and, eventually, personal autonomous vehicles. The automotive industry breaks down this spectrum into what are known as SAE Levels 1, 2, 3, 4 and 5. We have developed our own, more user-friendly taxonomy. Each level of our taxonomy is further defined and supported by the particular operational design domain (“ODD”) for which it was designed.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First, we refer to basic driver assist features, such as automatic emergency braking or lane keeping assist, together with longitudinal control such as adaptive cruise control as “eyes-on/hands-on”. The driver is still responsible for the overall task of driving, while the system supports the human driver.</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Second, “eyes-on/hands-off”. This refers to premium driver assist functions adding additional safety and comfort functionality. This functionality allows the driver to experience hands-free driving while requiring the driver’s full attention and eyes on the road.</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Third, “eyes-off/hands-off”. The system controls the driving function within a specified ODD, such as highway driving, without the need for the human driver to monitor driving. If the ODD is exceeded and the driver does not reassume control, the system is capable of performing a Minimum Risk Maneuver (“MRM”) and safely stop at the roadside.</w:t>
      </w:r>
    </w:p>
    <w:p>
      <w:pPr>
        <w:spacing w:after="0" w:line="162" w:lineRule="exact"/>
        <w:rPr>
          <w:sz w:val="20"/>
          <w:szCs w:val="20"/>
          <w:color w:val="auto"/>
        </w:rPr>
      </w:pPr>
    </w:p>
    <w:p>
      <w:pPr>
        <w:jc w:val="both"/>
        <w:ind w:firstLine="314"/>
        <w:spacing w:after="0" w:line="299" w:lineRule="auto"/>
        <w:rPr>
          <w:sz w:val="20"/>
          <w:szCs w:val="20"/>
          <w:color w:val="auto"/>
        </w:rPr>
      </w:pPr>
      <w:r>
        <w:rPr>
          <w:rFonts w:ascii="Times New Roman" w:cs="Times New Roman" w:eastAsia="Times New Roman" w:hAnsi="Times New Roman"/>
          <w:sz w:val="17"/>
          <w:szCs w:val="17"/>
          <w:color w:val="auto"/>
        </w:rPr>
        <w:t xml:space="preserve">Fourth, “no driver”. When no human driver is present,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 robotaxi</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system will perform a MRM when needed, including coming to a full stop, and can also contact a teleoperator for decision support, such as re-routing and rules decisions.</w:t>
      </w:r>
    </w:p>
    <w:p>
      <w:pPr>
        <w:spacing w:after="0" w:line="144"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believe that the path to full autonomy at scale will begin with increased proliferation of the middle category - eyes-on/hands-off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over 200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Solutions</w:t>
      </w:r>
    </w:p>
    <w:p>
      <w:pPr>
        <w:spacing w:after="0" w:line="226" w:lineRule="exact"/>
        <w:rPr>
          <w:sz w:val="20"/>
          <w:szCs w:val="20"/>
          <w:color w:val="auto"/>
        </w:rPr>
      </w:pPr>
    </w:p>
    <w:p>
      <w:pPr>
        <w:jc w:val="both"/>
        <w:ind w:firstLine="314"/>
        <w:spacing w:after="0" w:line="239" w:lineRule="auto"/>
        <w:rPr>
          <w:sz w:val="20"/>
          <w:szCs w:val="20"/>
          <w:color w:val="auto"/>
        </w:rPr>
      </w:pPr>
      <w:r>
        <w:rPr>
          <w:rFonts w:ascii="Times New Roman" w:cs="Times New Roman" w:eastAsia="Times New Roman" w:hAnsi="Times New Roman"/>
          <w:sz w:val="17"/>
          <w:szCs w:val="17"/>
          <w:color w:val="auto"/>
        </w:rPr>
        <w:t>We have utilized the technology pillars detailed above to build a robust portfolio of end-to-end ADAS and autonomous driving solutions that provide the capabilities needed for the future of autonomous driving, leveraging a comprehensive suite of purpose-built software and hardware technologies. We pioneered “base” ADAS features to meet global regulatory requirements and safety ratings with our Base ADAS solution and we have since created new categories of ADAS with our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offerings. Additionally, we have designed a full set of eyes-off/hands-off solutions at a wide variety of price points and a spectrum of functionalities and ODDs.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118745</wp:posOffset>
            </wp:positionV>
            <wp:extent cx="5073650" cy="2861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73650" cy="286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14"/>
        <w:spacing w:after="0" w:line="204" w:lineRule="auto"/>
        <w:rPr>
          <w:sz w:val="20"/>
          <w:szCs w:val="20"/>
          <w:color w:val="auto"/>
        </w:rPr>
      </w:pPr>
      <w:r>
        <w:rPr>
          <w:rFonts w:ascii="Times New Roman" w:cs="Times New Roman" w:eastAsia="Times New Roman" w:hAnsi="Times New Roman"/>
          <w:sz w:val="17"/>
          <w:szCs w:val="17"/>
          <w:color w:val="auto"/>
        </w:rPr>
        <w:t>The chart above represents commercially deployed solutions (Base ADAS,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solutions that we expect to be commercially deployed in the future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End-to-End ADAS and AV Solutions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Mobileye Base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156210</wp:posOffset>
            </wp:positionV>
            <wp:extent cx="5090160" cy="2811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90160" cy="281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4"/>
        <w:spacing w:after="0" w:line="223" w:lineRule="auto"/>
        <w:rPr>
          <w:sz w:val="20"/>
          <w:szCs w:val="20"/>
          <w:color w:val="auto"/>
        </w:rPr>
      </w:pPr>
      <w:r>
        <w:rPr>
          <w:rFonts w:ascii="Times New Roman" w:cs="Times New Roman" w:eastAsia="Times New Roman" w:hAnsi="Times New Roman"/>
          <w:sz w:val="17"/>
          <w:szCs w:val="17"/>
          <w:color w:val="auto"/>
        </w:rPr>
        <w:t>Mobileye’s Base ADAS, powered by our purpose built, on-windshield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devices and our expertise in computer vision, brings our core ADAS solutions to millions of vehicles on the road today and is foundational to our spectrum of ADAS and autonomous vehicle solutions.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provides drivers with basic safety features covered by front-facing sensing, such as collision warning, lane departure warnings, pedestrian and cyclist collision warning, headway monitoring and warning, speed limit indicator, blind spot detection, and many more. Our software algorithms and purpose-built hardware are designed to provide the driver with accurate and reliable driver assist solutions, promoting road safety.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Cloud-Enhanced ADAS</w:t>
      </w:r>
      <w:r>
        <w:rPr>
          <w:rFonts w:ascii="Times New Roman" w:cs="Times New Roman" w:eastAsia="Times New Roman" w:hAnsi="Times New Roman"/>
          <w:sz w:val="26"/>
          <w:szCs w:val="26"/>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95250</wp:posOffset>
            </wp:positionV>
            <wp:extent cx="5073650" cy="2802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365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314"/>
        <w:spacing w:after="0" w:line="223" w:lineRule="auto"/>
        <w:rPr>
          <w:sz w:val="20"/>
          <w:szCs w:val="20"/>
          <w:color w:val="auto"/>
        </w:rPr>
      </w:pPr>
      <w:r>
        <w:rPr>
          <w:rFonts w:ascii="Times New Roman" w:cs="Times New Roman" w:eastAsia="Times New Roman" w:hAnsi="Times New Roman"/>
          <w:sz w:val="17"/>
          <w:szCs w:val="17"/>
          <w:color w:val="auto"/>
        </w:rPr>
        <w:t>Mobileye’s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leverages crowdsourced data from millions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-equipped vehicles around the globe every day, providing high-level accuracy localization via continuously updated information about the driving scene. Enhancing the existing single-camera system with crowdsourced data offers comprehensive in-path assist functionality that enables better performance and compliance even in complex or challenging circumstances. Relying on data from prior human driving activity to anticipate and adapt, our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provides a safer, smoother, and more natural driving experience – marking a software defined leap in ADAS performance with no need for additional hardware.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Mobileye Surround ADAS</w:t>
      </w:r>
      <w:r>
        <w:rPr>
          <w:rFonts w:ascii="Times New Roman" w:cs="Times New Roman" w:eastAsia="Times New Roman" w:hAnsi="Times New Roman"/>
          <w:sz w:val="26"/>
          <w:szCs w:val="26"/>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93980</wp:posOffset>
            </wp:positionV>
            <wp:extent cx="5090160" cy="2811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90160" cy="281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314"/>
        <w:spacing w:after="0" w:line="226" w:lineRule="auto"/>
        <w:rPr>
          <w:sz w:val="20"/>
          <w:szCs w:val="20"/>
          <w:color w:val="auto"/>
        </w:rPr>
      </w:pPr>
      <w:r>
        <w:rPr>
          <w:rFonts w:ascii="Times New Roman" w:cs="Times New Roman" w:eastAsia="Times New Roman" w:hAnsi="Times New Roman"/>
          <w:sz w:val="17"/>
          <w:szCs w:val="17"/>
          <w:color w:val="auto"/>
        </w:rPr>
        <w:t>Building on our ADAS expertise and the core of our single-camera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 we offer through our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 the ability to meet expanded late-decade active safety requirements through the utilization, analysis, and processing of additional surround perception sensors.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utilizes the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software stack, including our RSS (defined below) policy model, and is powered by a Mobileye ECU with one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SoC, which processes data from the customer’s third party sensor suite featuring up to six cameras and up to five radars. Such cameras generally consist of two long-range cameras in the front and rear, while leveraging data from four short-range surround vision cameras that are already equipped on many production vehicles today for parking visualization purposes. Additionally,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offers eyes-on/hands-off functionality for highway ODDs by adding features like automatic lane change, front and rear collision avoidance, traffic jam assist, and a Highway Pilot function up to 130 kilometers per hour with the fidelity of a multi-camera and multi-radar sensor suite. This system also includes DXP support, which enables customers to customize the driving experience while benefiting from our industry-leading technology platform.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95250</wp:posOffset>
            </wp:positionV>
            <wp:extent cx="5090160" cy="2811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90160" cy="281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14"/>
        <w:spacing w:after="0" w:line="220" w:lineRule="auto"/>
        <w:rPr>
          <w:sz w:val="20"/>
          <w:szCs w:val="20"/>
          <w:color w:val="auto"/>
        </w:rPr>
      </w:pPr>
      <w:r>
        <w:rPr>
          <w:rFonts w:ascii="Times New Roman" w:cs="Times New Roman" w:eastAsia="Times New Roman" w:hAnsi="Times New Roman"/>
          <w:sz w:val="17"/>
          <w:szCs w:val="17"/>
          <w:color w:val="auto"/>
        </w:rPr>
        <w:t>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our eyes-on/hands-off Premium Driver Assist offering, is our most advanced driver assist system on the market and the bridge to consumer autonomous vehicles. It is designed to handle standard driving functions across various road types, offering “hands-off” navigation capabilities under certain ODDs, while still requiring the driver to pay full attention and keep eyes on the road. Derived from our autonomous vehicle research and development,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leverages cloud-based enhancements such as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 number of algorithmic and architectural redundancies, and our RSS policy model. The system utilizes 360-degree surround sensing with 11 third-party cameras powered (plus optional radar) processes by a turnkey ECU with two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or, in the future, two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SoCs. Furthermore, in addition to supervised point-to-point assisted driving,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capable of changing lanes, managing priorities, and turning in intersections as well as engaging in automated parking, preventative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evasive) steering and braking, and other Driver Assist features. This solution is further supported by OTA updates. The 11 third-party cameras (seven long range cameras and four short-range surround vision cameras) provide full surround coverage and consist of 120-degree and 28-degree cameras in the front, four 100-degree corner cameras (two front-facing and two rear-facing), a 60-degree rear camera and four wide-view 195-degree short-range cameras mounted on the side mirrors and front and rear bumpers. The mapping is powered by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integrated with computer vision perception, to create a 360-degree environmental model (subject to the availability of map data) and RSS constrains the driving decisions to be compliant with an underlying formally proven model for safe driving decisions. This offering also includes DXP, which will enable customers to control the driving experience while benefiting from our industry-leading technology platform.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353060</wp:posOffset>
            </wp:positionV>
            <wp:extent cx="5090160" cy="1846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90160" cy="184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314"/>
        <w:spacing w:after="0" w:line="189" w:lineRule="auto"/>
        <w:rPr>
          <w:sz w:val="20"/>
          <w:szCs w:val="20"/>
          <w:color w:val="auto"/>
        </w:rPr>
      </w:pPr>
      <w:r>
        <w:rPr>
          <w:rFonts w:ascii="Times New Roman" w:cs="Times New Roman" w:eastAsia="Times New Roman" w:hAnsi="Times New Roman"/>
          <w:sz w:val="17"/>
          <w:szCs w:val="17"/>
          <w:color w:val="auto"/>
        </w:rPr>
        <w:t>Importantly, our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technology also serves as a bridge, or foundational technology, for Mobileye and its customers to develop a spectrum of “eyes-off/hands-off solutions with expanding ODDs. In other words, an OEM that adopts and validates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taking a significant step towards consumer AV as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serves as a validated baseline, including a common primary ECU board, which can be leveraged to add eyes-off functionality under an increasing set of operating conditions in a modular way.</w:t>
      </w:r>
    </w:p>
    <w:p>
      <w:pPr>
        <w:spacing w:after="0" w:line="188"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The first series production launch of this offering occurred in 2021 as Geely Group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in its ZEEKR premium electric vehicle brand. Through the end of 2024, over 300,000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systems were delivered to ZEEKR and other brands.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Mobileye Chauffeur</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and Mobileye Drive</w:t>
      </w:r>
      <w:r>
        <w:rPr>
          <w:rFonts w:ascii="Times New Roman" w:cs="Times New Roman" w:eastAsia="Times New Roman" w:hAnsi="Times New Roman"/>
          <w:sz w:val="26"/>
          <w:szCs w:val="26"/>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95250</wp:posOffset>
            </wp:positionV>
            <wp:extent cx="5073650" cy="2802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7365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both"/>
        <w:ind w:firstLine="314"/>
        <w:spacing w:after="0" w:line="217" w:lineRule="auto"/>
        <w:rPr>
          <w:sz w:val="20"/>
          <w:szCs w:val="20"/>
          <w:color w:val="auto"/>
        </w:rPr>
      </w:pPr>
      <w:r>
        <w:rPr>
          <w:rFonts w:ascii="Times New Roman" w:cs="Times New Roman" w:eastAsia="Times New Roman" w:hAnsi="Times New Roman"/>
          <w:sz w:val="17"/>
          <w:szCs w:val="17"/>
          <w:color w:val="auto"/>
        </w:rPr>
        <w:t>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our geographically scalable eyes-off/hands-off solution for consumer vehicles in a gradually expanding ODD, combining computer vision technology with surround imaging radars and front lidar. The first generation solution will be based on three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SoCs, deployed with a primary board including two EyeQ6 High SoCs supporting full surround computer vision perception and mapping and a secondary board with an additional EyeQ6 High SoC supporting radar / lidar perception and our Compound AI fusion architecture. The primary board is common to our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which reduces the OEM’s validation burden and the dual-board setup provides functional safety redundancy. The system will provide 360-degrees of coverage through two independent and redundant sensing subsystems, along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maps, RSS, and our PGF architecture, to support optimized scalability and safety.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expected to be capable of eyes-off/hands-off driving with a human driver still in the driver’s seat, in a gradually expanding ODD that can range from a limited ODD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highway only, up to 130kph), an ODD that we believe covers the majority of most consumers’ driving, to the more advanced ODDs that we are pursuing through this solution in subsequent generations. By using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eyes-on/hands-off system as a basis for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we allow for an incremental and modular eyes-off transition from one ODD to the next. This can be done by adding more active sensors for redundancy and more compute power to the already validated and road-tested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This approach gives our customers a viable, modular, and incremental path toward useful and safe consumer AV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137795</wp:posOffset>
            </wp:positionV>
            <wp:extent cx="5090160" cy="2811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90160" cy="281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14"/>
        <w:spacing w:after="0" w:line="213" w:lineRule="auto"/>
        <w:rPr>
          <w:sz w:val="20"/>
          <w:szCs w:val="20"/>
          <w:color w:val="auto"/>
        </w:rPr>
      </w:pPr>
      <w:r>
        <w:rPr>
          <w:rFonts w:ascii="Times New Roman" w:cs="Times New Roman" w:eastAsia="Times New Roman" w:hAnsi="Times New Roman"/>
          <w:sz w:val="17"/>
          <w:szCs w:val="17"/>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our fleet-focused end-to-end self-driving system that enables automakers, public transportation companies, and transportation network operators to offer a no-driver solution for robotaxis, ride-pooling, public transport, and goods delivery. This eyes-off/hands-off/no driver solution will build upon our core autonomous driving technologies found in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will deliver driving functions without the need for any in-vehicle human intervention by adding teleoperability and by minimizing cases where human input would be required. Our overall turnkey self-driving solution offers an advanced ODD that can turn various vehicle configurations and solutions autonomous.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already being integrated, and is in the development, testing and validation stages in autonomous public transit, autonomous goods delivery and autonomous mobility-as-a-service (“AMaaS”) across industries and around the globe.</w:t>
      </w:r>
    </w:p>
    <w:p>
      <w:pPr>
        <w:spacing w:after="0" w:line="187" w:lineRule="exact"/>
        <w:rPr>
          <w:sz w:val="20"/>
          <w:szCs w:val="20"/>
          <w:color w:val="auto"/>
        </w:rPr>
      </w:pPr>
    </w:p>
    <w:p>
      <w:pPr>
        <w:jc w:val="both"/>
        <w:ind w:firstLine="314"/>
        <w:spacing w:after="0" w:line="215" w:lineRule="auto"/>
        <w:rPr>
          <w:sz w:val="20"/>
          <w:szCs w:val="20"/>
          <w:color w:val="auto"/>
        </w:rPr>
      </w:pPr>
      <w:r>
        <w:rPr>
          <w:rFonts w:ascii="Times New Roman" w:cs="Times New Roman" w:eastAsia="Times New Roman" w:hAnsi="Times New Roman"/>
          <w:sz w:val="17"/>
          <w:szCs w:val="17"/>
          <w:color w:val="auto"/>
        </w:rPr>
        <w:t>We believe that both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have sustainable competitive advantages as a result of the cost efficiency, scalability, and regulatory validation of our technology platform:</w:t>
      </w:r>
    </w:p>
    <w:p>
      <w:pPr>
        <w:spacing w:after="0" w:line="189" w:lineRule="exact"/>
        <w:rPr>
          <w:sz w:val="20"/>
          <w:szCs w:val="20"/>
          <w:color w:val="auto"/>
        </w:rPr>
      </w:pPr>
    </w:p>
    <w:p>
      <w:pPr>
        <w:ind w:firstLine="320"/>
        <w:spacing w:after="0" w:line="301" w:lineRule="auto"/>
        <w:tabs>
          <w:tab w:leader="none" w:pos="62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Cost Efficiency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cost-efficient, low-energy, purpose-built central compute processors; imaging radars targeted to reduce the need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multiple lidar units;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both"/>
        <w:ind w:firstLine="320"/>
        <w:spacing w:after="0" w:line="227" w:lineRule="auto"/>
        <w:tabs>
          <w:tab w:leader="none" w:pos="62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Geographic Scalability</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-based maps that eliminate the need for dedicated high-definition mapping efforts; RSS-based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driving policy designed for global deployment by not relying on driving culture or local rules; sensing technologies built on a foundation of a massive data training set from over 40 countries; and</w:t>
      </w:r>
    </w:p>
    <w:p>
      <w:pPr>
        <w:spacing w:after="0" w:line="185" w:lineRule="exact"/>
        <w:rPr>
          <w:rFonts w:ascii="Times New Roman" w:cs="Times New Roman" w:eastAsia="Times New Roman" w:hAnsi="Times New Roman"/>
          <w:sz w:val="17"/>
          <w:szCs w:val="17"/>
          <w:color w:val="auto"/>
        </w:rPr>
      </w:pPr>
    </w:p>
    <w:p>
      <w:pPr>
        <w:jc w:val="both"/>
        <w:ind w:firstLine="320"/>
        <w:spacing w:after="0" w:line="227" w:lineRule="auto"/>
        <w:tabs>
          <w:tab w:leader="none" w:pos="62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Regulatory Validation</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with multiple independent, separate perception subsystems feeding our Compound AI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architecture that increases robustness and ease of validation, and RSS used by international bodies that are currently developing standards with respect to the safety of AV.</w:t>
      </w:r>
    </w:p>
    <w:p>
      <w:pPr>
        <w:spacing w:after="0" w:line="185" w:lineRule="exact"/>
        <w:rPr>
          <w:rFonts w:ascii="Times New Roman" w:cs="Times New Roman" w:eastAsia="Times New Roman" w:hAnsi="Times New Roman"/>
          <w:sz w:val="17"/>
          <w:szCs w:val="17"/>
          <w:color w:val="auto"/>
        </w:rPr>
      </w:pPr>
    </w:p>
    <w:p>
      <w:pPr>
        <w:jc w:val="both"/>
        <w:ind w:firstLine="320"/>
        <w:spacing w:after="0" w:line="238" w:lineRule="auto"/>
        <w:tabs>
          <w:tab w:leader="none" w:pos="62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Self-Driving System &amp; Vehicles. </w:t>
      </w:r>
      <w:r>
        <w:rPr>
          <w:rFonts w:ascii="Times New Roman" w:cs="Times New Roman" w:eastAsia="Times New Roman" w:hAnsi="Times New Roman"/>
          <w:sz w:val="17"/>
          <w:szCs w:val="17"/>
          <w:color w:val="auto"/>
        </w:rPr>
        <w:t>We expect to deploy our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eyes-off/hands-off self-driving system inside purpose-built vehicle platforms that are engineered to integrate our technology stack. Announced supply-side vehicle development partners are Volkswagen Commercial Vehicles, Schaeffler, Verne and Holon. We and our vehicle development partners will then market these vehicles and systems through business-to-business channels into a range of transportation network operators, with announced demand-side customers including Deutsche Bahn, Beep, Holo / Ruter, Lyft and others.</w:t>
      </w:r>
    </w:p>
    <w:p>
      <w:pPr>
        <w:spacing w:after="0" w:line="19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 - deployed autonomous vehicles.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Models for AV Adoption</w:t>
      </w:r>
    </w:p>
    <w:p>
      <w:pPr>
        <w:spacing w:after="0" w:line="228"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believe that the availability of autonomous vehicles will cause a significant transformation in mobility, including vehicle ownership and utilization. We expect that autonomous vehicle technology will eventually be accessed by consumers through shared-vehicle AMaaS networks, as well as in consumer-owned and operated autonomous vehicles. It is our view that, to reach the full potential of autonomous driving over the long-term, the technology solutions that enable these separate markets should converge over time, and that is reflected in our strategy.</w:t>
      </w:r>
    </w:p>
    <w:p>
      <w:pPr>
        <w:spacing w:after="0" w:line="38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addition, we believe consumer-owned and operated AVs will fundamentally change how individuals utilize their vehicles. Automation would allow the individual to be significantly more productive during their commute or other time spent in the car, given that the vehicle could operate eyes-off/hands-off in an increasingly wide ODD. Providing consumers with access to affordable autonomous vehicles can create significant value by decreasing time spent focused on the driving function and increasing safety.</w:t>
      </w:r>
    </w:p>
    <w:p>
      <w:pPr>
        <w:spacing w:after="0" w:line="16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Challenges to Making Autonomous Vehicles Ubiquitous</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To make autonomous vehicles at scale a reality, we believe that there are three core challenges that must be addressed beyond optimization of safety and performance: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20"/>
        <w:spacing w:after="0" w:line="260" w:lineRule="auto"/>
        <w:tabs>
          <w:tab w:leader="none" w:pos="62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Regulatory Endorsement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Autonomous driving solutions must be architected, by design, to be verifiably safe, in a manner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For driving policy, however, being “safer” does not always mean being better. As a society, we balance safety and practicality by determining what the “reasonable risk” we are willing to take is, and this is the type of question regulators will be required to address when licensing autonomous vehicles to navigate our roads.</w:t>
      </w:r>
    </w:p>
    <w:p>
      <w:pPr>
        <w:spacing w:after="0" w:line="178" w:lineRule="exact"/>
        <w:rPr>
          <w:rFonts w:ascii="Times New Roman" w:cs="Times New Roman" w:eastAsia="Times New Roman" w:hAnsi="Times New Roman"/>
          <w:sz w:val="17"/>
          <w:szCs w:val="17"/>
          <w:color w:val="auto"/>
        </w:rPr>
      </w:pPr>
    </w:p>
    <w:p>
      <w:pPr>
        <w:jc w:val="both"/>
        <w:ind w:firstLine="320"/>
        <w:spacing w:after="0"/>
        <w:tabs>
          <w:tab w:leader="none" w:pos="62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Geographic Scale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Geographic scale refers to the challenge of creating high-definition maps with great detail and accuracy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technology, and keeping those maps continuously updated, which is crucial for series production AVs. AMaaS vehicles can be confined to geofenced areas, which allows AVs to reach prominence through the robotaxi industry before expanding the ODD to outside of those areas. While robotaxi operators may be successful providing their services in limited geofenced areas, broad-based consumer AV adoption requires the ability to drive safely anywhere, and in diverse environments, rather than only in geofenced areas. In 2024 alone, we collected 29.6 billion miles of road data from, based on our estimates 3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-enabled vehicles worldwide, and analyzed up to 62.4 million miles of road data per day, with the size of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-enabled fleet increasing daily. Since we deployed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in 2018, we have harvested a total of 56.6 billion miles of road data. As of December 28, 2024, we estimate that the data we have accumulated covers over 95% of the approximately 0.8 million miles of motorway, trunk, and primary road types in each of the United States and Europe, respectively, as well as a large majority of other road types. This data enables us to create robust high definition maps to support solutions across the product spectrum from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to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to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firstLine="320"/>
        <w:spacing w:after="0" w:line="264" w:lineRule="auto"/>
        <w:tabs>
          <w:tab w:leader="none" w:pos="62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Cost - </w:t>
      </w:r>
      <w:r>
        <w:rPr>
          <w:rFonts w:ascii="Times New Roman" w:cs="Times New Roman" w:eastAsia="Times New Roman" w:hAnsi="Times New Roman"/>
          <w:sz w:val="17"/>
          <w:szCs w:val="17"/>
          <w:color w:val="auto"/>
        </w:rPr>
        <w:t>The cost of a self-driving system commonly employed by robotaxis, with its cameras, radars, specialized 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believe that our leadership in ADAS and autonomous driving is based primarily on our: (1) first-mover advantage; (2) technology, including differentiated technological cores and solution architectures; (3) comprehensive portfolio of solutions; (4) delivery, including agility, response times, and time-to-market; and (5) inherent cost-driven advantages. These significant advantages form the basis for our competitive strengths described below:</w:t>
      </w:r>
    </w:p>
    <w:p>
      <w:pPr>
        <w:spacing w:after="0" w:line="164" w:lineRule="exact"/>
        <w:rPr>
          <w:sz w:val="20"/>
          <w:szCs w:val="20"/>
          <w:color w:val="auto"/>
        </w:rPr>
      </w:pPr>
    </w:p>
    <w:p>
      <w:pPr>
        <w:jc w:val="both"/>
        <w:ind w:firstLine="320"/>
        <w:spacing w:after="0"/>
        <w:tabs>
          <w:tab w:leader="none" w:pos="62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Coupling of software and hardware delivers optimized performance and efficiency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design our own purpose-built SoCs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 a software stack to optimally match the architecture of the SoCs. This results in an optimized cost/performance paradigm, allowing for a range of products that can be produced at high volume. We continue to innovate in this area; for example, our latest SoC,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achieves a ten-fold increase in frames-per-second processing as compared to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High SoC, with only a two-times increase in overall processing power and 25% increase in power consumption.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 The principle of efficiency permeates the overall solution design, including our Compound AI system architecture, which includes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approach, with multiple separate subsystems to increase robustness and simplify validation efforts, and RSS, which separates the perception system’s validation from the driving policy system, and allows for a compute-efficient driving policy. Each of these are critical contributors to achieving efficient solutions.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both"/>
        <w:ind w:firstLine="320"/>
        <w:spacing w:after="0"/>
        <w:tabs>
          <w:tab w:leader="none" w:pos="62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SoC design addresses the entire spectrum of ADAS and autonomous driving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proprietary accelerator cores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optimized for a wide variety of computer vision, signal processing, and machine learning tasks, including deep neural networks.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276" w:lineRule="exact"/>
        <w:rPr>
          <w:rFonts w:ascii="Times New Roman" w:cs="Times New Roman" w:eastAsia="Times New Roman" w:hAnsi="Times New Roman"/>
          <w:sz w:val="17"/>
          <w:szCs w:val="17"/>
          <w:color w:val="auto"/>
        </w:rPr>
      </w:pPr>
    </w:p>
    <w:p>
      <w:pPr>
        <w:jc w:val="both"/>
        <w:ind w:firstLine="320"/>
        <w:spacing w:after="0" w:line="261" w:lineRule="auto"/>
        <w:tabs>
          <w:tab w:leader="none" w:pos="62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 leading computer vision capabilities - </w:t>
      </w:r>
      <w:r>
        <w:rPr>
          <w:rFonts w:ascii="Times New Roman" w:cs="Times New Roman" w:eastAsia="Times New Roman" w:hAnsi="Times New Roman"/>
          <w:sz w:val="17"/>
          <w:szCs w:val="17"/>
          <w:color w:val="auto"/>
        </w:rPr>
        <w:t>ADAS solutions are responsible for saving lives and 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which was launched in late 2021.</w:t>
      </w:r>
    </w:p>
    <w:p>
      <w:pPr>
        <w:spacing w:after="0" w:line="56" w:lineRule="exact"/>
        <w:rPr>
          <w:rFonts w:ascii="Times New Roman" w:cs="Times New Roman" w:eastAsia="Times New Roman" w:hAnsi="Times New Roman"/>
          <w:sz w:val="17"/>
          <w:szCs w:val="17"/>
          <w:color w:val="auto"/>
        </w:rPr>
      </w:pPr>
    </w:p>
    <w:p>
      <w:pPr>
        <w:jc w:val="both"/>
        <w:ind w:firstLine="320"/>
        <w:spacing w:after="0" w:line="242" w:lineRule="auto"/>
        <w:tabs>
          <w:tab w:leader="none" w:pos="62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We offer solutions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SoC - </w:t>
      </w:r>
      <w:r>
        <w:rPr>
          <w:rFonts w:ascii="Times New Roman" w:cs="Times New Roman" w:eastAsia="Times New Roman" w:hAnsi="Times New Roman"/>
          <w:sz w:val="17"/>
          <w:szCs w:val="17"/>
          <w:color w:val="auto"/>
        </w:rPr>
        <w:t>Our platform is modular by design,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enabling our customers to productize our most advanced solutions today and then leverage those investments to launch even more advanced systems in a modular and incremental manner. Our systems are also highly customizable, which allows our customers to benefit from our cutting-edge, verified, and validated core technologies such as computer vision, radar, and lidar processing, Compound AI system architecture (including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and driving policy, while enabling our customers to augment and differentiate their offerings. Customization on top of these core technologies comes primarily through Mobileye DXP, which is a software platform that enables automakers to build from Mobileye’s proven autonomous technology framework to create differentiated products and customized automated driving experiences while supporting faster time-to-market and reducing overall execution risk. Mobileye DXP was designed by separating the universal aspects of driving policy, such as integration with perception, providing safe decision-making actions, and predicting intentions of other road users, from the unique aspects of the driving experience, or “how” the vehicle executes specific scenarios. This approach enables a middle ground between traditional black box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“closed”) and software development kit (SDK)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“open) strategies, satisfying automakers’ desire to control and differentiate the overall driving experience—including how the vehicle responds to traffic signals, other vehicles on the road, take-way or give-way choices, and more. Additionally, automakers can also set specific response parameters for factors like geography, regulations, road type or weather conditions. DXP supports efficient, successive software updates based on automaker roadmaps, as the safety critical elements, like sensing, environmental perception, and driving policy, remain static.</w:t>
      </w:r>
    </w:p>
    <w:p>
      <w:pPr>
        <w:spacing w:after="0" w:line="195" w:lineRule="exact"/>
        <w:rPr>
          <w:rFonts w:ascii="Times New Roman" w:cs="Times New Roman" w:eastAsia="Times New Roman" w:hAnsi="Times New Roman"/>
          <w:sz w:val="17"/>
          <w:szCs w:val="17"/>
          <w:color w:val="auto"/>
        </w:rPr>
      </w:pPr>
    </w:p>
    <w:p>
      <w:pPr>
        <w:jc w:val="both"/>
        <w:ind w:firstLine="320"/>
        <w:spacing w:after="0" w:line="237" w:lineRule="auto"/>
        <w:tabs>
          <w:tab w:leader="none" w:pos="62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“Scale by design” approach -</w:t>
      </w:r>
      <w:r>
        <w:rPr>
          <w:rFonts w:ascii="Times New Roman" w:cs="Times New Roman" w:eastAsia="Times New Roman" w:hAnsi="Times New Roman"/>
          <w:sz w:val="17"/>
          <w:szCs w:val="17"/>
          <w:color w:val="auto"/>
        </w:rPr>
        <w:t> Our technology platform is built to deliver autonomous driving solutions at scale by leveraging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technology, which allows our solutions to be driven without the limitations of geofencing;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cost-efficient consumer AV production at scale in the future.</w:t>
      </w:r>
    </w:p>
    <w:p>
      <w:pPr>
        <w:spacing w:after="0" w:line="190" w:lineRule="exact"/>
        <w:rPr>
          <w:rFonts w:ascii="Times New Roman" w:cs="Times New Roman" w:eastAsia="Times New Roman" w:hAnsi="Times New Roman"/>
          <w:sz w:val="17"/>
          <w:szCs w:val="17"/>
          <w:color w:val="auto"/>
        </w:rPr>
      </w:pPr>
    </w:p>
    <w:p>
      <w:pPr>
        <w:jc w:val="both"/>
        <w:ind w:firstLine="320"/>
        <w:spacing w:after="0"/>
        <w:tabs>
          <w:tab w:leader="none" w:pos="62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Autonomous driving-ADAS synergies - </w:t>
      </w:r>
      <w:r>
        <w:rPr>
          <w:rFonts w:ascii="Times New Roman" w:cs="Times New Roman" w:eastAsia="Times New Roman" w:hAnsi="Times New Roman"/>
          <w:sz w:val="17"/>
          <w:szCs w:val="17"/>
          <w:color w:val="auto"/>
        </w:rPr>
        <w:t>The autonomous driving-ADAS interplay, which is borne out of our Compound AI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architecture (including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both"/>
        <w:ind w:firstLine="320"/>
        <w:spacing w:after="0" w:line="207" w:lineRule="auto"/>
        <w:tabs>
          <w:tab w:leader="none" w:pos="6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Road Experience Management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creates a powerful network effect and long-term competitive advantage - </w:t>
      </w:r>
      <w:r>
        <w:rPr>
          <w:rFonts w:ascii="Times New Roman" w:cs="Times New Roman" w:eastAsia="Times New Roman" w:hAnsi="Times New Roman"/>
          <w:sz w:val="17"/>
          <w:szCs w:val="17"/>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 is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crucial ingredient that we believe allows for: (1) defining a new category of cloud-enhanced ADAS that we call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where information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enhances existing ADAS functions such as lane keeping assist and lane-centering and allows for new functions such as the analysis of behavior patterns in intersections and near traffic signs and lights; (2) evolving ADAS to an eyes-on/hands-off point-to-point assisted driving navigation system; and (3) the scale deployment of AV.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is complex, requiring advanced processing at the edge (for creating processed data to be sent to the cloud and for localizing the vehicle at centimeter-level accuracy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computationally intensive processing in the cloud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from billions of data packets sent from millions of vehicles - all automatically.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benefits from a powerful network effect, where more vehicles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maps are a critical component that supports our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product’s ability to operate across a wide ODD and, therefore, the modular process of expanding this technology to eyes-off/hands-off Chauffeur products for a defined ODD. Further,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maps support our ability to deploy our AMaaS technology in new cities and geographies quickly.</w:t>
      </w:r>
    </w:p>
    <w:p>
      <w:pPr>
        <w:spacing w:after="0" w:line="196" w:lineRule="exact"/>
        <w:rPr>
          <w:rFonts w:ascii="Times New Roman" w:cs="Times New Roman" w:eastAsia="Times New Roman" w:hAnsi="Times New Roman"/>
          <w:sz w:val="17"/>
          <w:szCs w:val="17"/>
          <w:color w:val="auto"/>
        </w:rPr>
      </w:pPr>
    </w:p>
    <w:p>
      <w:pPr>
        <w:jc w:val="both"/>
        <w:ind w:firstLine="320"/>
        <w:spacing w:after="0"/>
        <w:tabs>
          <w:tab w:leader="none" w:pos="6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Data and technology advantage - </w:t>
      </w:r>
      <w:r>
        <w:rPr>
          <w:rFonts w:ascii="Times New Roman" w:cs="Times New Roman" w:eastAsia="Times New Roman" w:hAnsi="Times New Roman"/>
          <w:sz w:val="17"/>
          <w:szCs w:val="17"/>
          <w:color w:val="auto"/>
        </w:rPr>
        <w:t>Developing effective ADAS technology is technologically complex, and requires the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hundreds of petabytes of data, which includes tens of millions of clips collected over decades of driving on urban, highway, and arterial roads all over the world that enable us to develop and continuously improve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roads driven from over 3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-enabled vehicles worldwide that we estimate covers over 95% of the approximately 0.8 million miles of motorway, trunk, and primary road types in each of the United States and Europe, respectively, as well as a large majority of all other road types. We apply a series of on-cloud algorithms to build this crowd-sourced data into a high-definition, rapidly updating map that contains a rich variety of information, including road geometry, drivable paths, common speeds, right-of-way, and traffic light-to-lane associations.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-enabled solutions continuously harvest high-precision data that is analyzed in the cloud, creating a large repository of real-world data from the analysis of tens of millions of miles of road data per day, varying by road types and geography. This data enables us to create robust high definition maps to support solutions across the product spectrum from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to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to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These two datasets create powerful network effects as we seek to continually improve our solutions as more vehicles are deployed with our technology.</w:t>
      </w:r>
    </w:p>
    <w:p>
      <w:pPr>
        <w:spacing w:after="0" w:line="244" w:lineRule="exact"/>
        <w:rPr>
          <w:rFonts w:ascii="Times New Roman" w:cs="Times New Roman" w:eastAsia="Times New Roman" w:hAnsi="Times New Roman"/>
          <w:sz w:val="17"/>
          <w:szCs w:val="17"/>
          <w:color w:val="auto"/>
        </w:rPr>
      </w:pPr>
    </w:p>
    <w:p>
      <w:pPr>
        <w:jc w:val="both"/>
        <w:ind w:firstLine="320"/>
        <w:spacing w:after="0" w:line="261" w:lineRule="auto"/>
        <w:tabs>
          <w:tab w:leader="none" w:pos="6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RSS: Our Technology Safety Concept for Deploying AV at Scale - </w:t>
      </w:r>
      <w:r>
        <w:rPr>
          <w:rFonts w:ascii="Times New Roman" w:cs="Times New Roman" w:eastAsia="Times New Roman" w:hAnsi="Times New Roman"/>
          <w:sz w:val="17"/>
          <w:szCs w:val="17"/>
          <w:color w:val="auto"/>
        </w:rPr>
        <w:t>Responsibility Sensitive Safety (“RSS”), published in 2017, is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key component of our safety model, intended to specifically address the regulatory and public debate regarding, and enable the acceptance of, eyes-off/hands-off autonomous solutions. It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eyes-off/hands-off autonomous solutions at scale.</w:t>
      </w:r>
    </w:p>
    <w:p>
      <w:pPr>
        <w:spacing w:after="0" w:line="180" w:lineRule="exact"/>
        <w:rPr>
          <w:rFonts w:ascii="Times New Roman" w:cs="Times New Roman" w:eastAsia="Times New Roman" w:hAnsi="Times New Roman"/>
          <w:sz w:val="17"/>
          <w:szCs w:val="17"/>
          <w:color w:val="auto"/>
        </w:rPr>
      </w:pPr>
    </w:p>
    <w:p>
      <w:pPr>
        <w:jc w:val="both"/>
        <w:ind w:firstLine="320"/>
        <w:spacing w:after="0" w:line="270" w:lineRule="auto"/>
        <w:tabs>
          <w:tab w:leader="none" w:pos="6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20"/>
        <w:spacing w:after="0" w:line="237" w:lineRule="auto"/>
        <w:tabs>
          <w:tab w:leader="none" w:pos="62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Purpose-built imaging-radar unlocks consumer AV at scale - </w:t>
      </w:r>
      <w:r>
        <w:rPr>
          <w:rFonts w:ascii="Times New Roman" w:cs="Times New Roman" w:eastAsia="Times New Roman" w:hAnsi="Times New Roman"/>
          <w:sz w:val="17"/>
          <w:szCs w:val="17"/>
          <w:color w:val="auto"/>
        </w:rPr>
        <w:t>We have developed software-defined imaging-radar with cutting-edge dynamic range and resolution. Our differentiated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190" w:lineRule="exact"/>
        <w:rPr>
          <w:rFonts w:ascii="Times New Roman" w:cs="Times New Roman" w:eastAsia="Times New Roman" w:hAnsi="Times New Roman"/>
          <w:sz w:val="17"/>
          <w:szCs w:val="17"/>
          <w:color w:val="auto"/>
        </w:rPr>
      </w:pPr>
    </w:p>
    <w:p>
      <w:pPr>
        <w:jc w:val="both"/>
        <w:ind w:firstLine="320"/>
        <w:spacing w:after="0" w:line="272" w:lineRule="auto"/>
        <w:tabs>
          <w:tab w:leader="none" w:pos="62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Deep, collaborative ecosystem relationships - </w:t>
      </w:r>
      <w:r>
        <w:rPr>
          <w:rFonts w:ascii="Times New Roman" w:cs="Times New Roman" w:eastAsia="Times New Roman" w:hAnsi="Times New Roman"/>
          <w:sz w:val="17"/>
          <w:szCs w:val="17"/>
          <w:color w:val="auto"/>
        </w:rPr>
        <w:t>Our deep global relationships with key partners across the value chain,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Growth Strategies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Key levers of our growth strategy are:</w:t>
      </w:r>
    </w:p>
    <w:p>
      <w:pPr>
        <w:spacing w:after="0" w:line="220" w:lineRule="exact"/>
        <w:rPr>
          <w:sz w:val="20"/>
          <w:szCs w:val="20"/>
          <w:color w:val="auto"/>
        </w:rPr>
      </w:pPr>
    </w:p>
    <w:p>
      <w:pPr>
        <w:jc w:val="both"/>
        <w:ind w:firstLine="320"/>
        <w:spacing w:after="0" w:line="266" w:lineRule="auto"/>
        <w:tabs>
          <w:tab w:leader="none" w:pos="62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Benefit from regulatory and safety rating changes promoting base ADAS - </w:t>
      </w:r>
      <w:r>
        <w:rPr>
          <w:rFonts w:ascii="Times New Roman" w:cs="Times New Roman" w:eastAsia="Times New Roman" w:hAnsi="Times New Roman"/>
          <w:sz w:val="17"/>
          <w:szCs w:val="17"/>
          <w:color w:val="auto"/>
        </w:rPr>
        <w:t>We intend to continue to lead and deliver upon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We believe that our comprehensive stack of solutions and proven success at scale will enable us to further solidify our industry leadership.</w:t>
      </w:r>
    </w:p>
    <w:p>
      <w:pPr>
        <w:spacing w:after="0" w:line="159" w:lineRule="exact"/>
        <w:rPr>
          <w:rFonts w:ascii="Times New Roman" w:cs="Times New Roman" w:eastAsia="Times New Roman" w:hAnsi="Times New Roman"/>
          <w:sz w:val="17"/>
          <w:szCs w:val="17"/>
          <w:color w:val="auto"/>
        </w:rPr>
      </w:pPr>
    </w:p>
    <w:p>
      <w:pPr>
        <w:jc w:val="both"/>
        <w:ind w:firstLine="320"/>
        <w:spacing w:after="0" w:line="186" w:lineRule="auto"/>
        <w:tabs>
          <w:tab w:leader="none" w:pos="62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Capitalize on Cloud-Enhanced ADAS</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features - </w:t>
      </w:r>
      <w:r>
        <w:rPr>
          <w:rFonts w:ascii="Times New Roman" w:cs="Times New Roman" w:eastAsia="Times New Roman" w:hAnsi="Times New Roman"/>
          <w:sz w:val="17"/>
          <w:szCs w:val="17"/>
          <w:color w:val="auto"/>
        </w:rPr>
        <w:t>We have pioneered a cloud-enhanced ADAS solution, which offers customers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4 and above) a significant value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technology. Our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is capable of utilizing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and entry level camera technologies to deliver feature enhancements over time. Our premium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features range in complexity from all road-type lane keeping assist and lane centering, to Cross-Junction Assist, to Traffic Jam Assist. We will continue to grow the depth and breadth of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maps in order to deliver leading ADAS capabilities. In the future, we plan to create revenue streams from our OTA capabilities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maps through solution upgrades.</w:t>
      </w:r>
    </w:p>
    <w:p>
      <w:pPr>
        <w:spacing w:after="0" w:line="80" w:lineRule="exact"/>
        <w:rPr>
          <w:rFonts w:ascii="Times New Roman" w:cs="Times New Roman" w:eastAsia="Times New Roman" w:hAnsi="Times New Roman"/>
          <w:sz w:val="17"/>
          <w:szCs w:val="17"/>
          <w:color w:val="auto"/>
        </w:rPr>
      </w:pPr>
    </w:p>
    <w:p>
      <w:pPr>
        <w:jc w:val="both"/>
        <w:ind w:firstLine="320"/>
        <w:spacing w:after="0" w:line="205" w:lineRule="auto"/>
        <w:tabs>
          <w:tab w:leader="none" w:pos="62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Further enhance and drive adoption of our Premium Driver Assist solutions - </w:t>
      </w:r>
      <w:r>
        <w:rPr>
          <w:rFonts w:ascii="Times New Roman" w:cs="Times New Roman" w:eastAsia="Times New Roman" w:hAnsi="Times New Roman"/>
          <w:sz w:val="17"/>
          <w:szCs w:val="17"/>
          <w:color w:val="auto"/>
        </w:rPr>
        <w:t>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solution represents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comprehensive eyes-on/hands-off ADAS solution. After the initial launch by the Geely Group’s premium electric vehicle brand, ZEEKR, we have successfully executed a series of software updates and also achieved a series of production program awards with Volkswagen Group that increased substantially the number of vehicle models in our future launch pipeline. During 2024, we made significant progress towards additional design wins for SuperVision throughout our top OEM customers. Our validated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technology can serve as the foundation to enable eyes-off/hands-off capabilities in a modular way. In addition,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configuration of sensors and compute can also be transformed into an effective “360 guardian,” helping the driver avoid accidents, as referenced in our Vision Zero publications. We believe that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-like solution in its own category, similar to how safety-ratings and regulation have driven the adoption of base ADAS beginning in 2014.</w:t>
      </w:r>
    </w:p>
    <w:p>
      <w:pPr>
        <w:spacing w:after="0" w:line="194" w:lineRule="exact"/>
        <w:rPr>
          <w:sz w:val="20"/>
          <w:szCs w:val="20"/>
          <w:color w:val="auto"/>
        </w:rPr>
      </w:pPr>
    </w:p>
    <w:p>
      <w:pPr>
        <w:jc w:val="both"/>
        <w:ind w:firstLine="314"/>
        <w:spacing w:after="0" w:line="185" w:lineRule="auto"/>
        <w:rPr>
          <w:sz w:val="20"/>
          <w:szCs w:val="20"/>
          <w:color w:val="auto"/>
        </w:rPr>
      </w:pPr>
      <w:r>
        <w:rPr>
          <w:rFonts w:ascii="Times New Roman" w:cs="Times New Roman" w:eastAsia="Times New Roman" w:hAnsi="Times New Roman"/>
          <w:sz w:val="17"/>
          <w:szCs w:val="17"/>
          <w:color w:val="auto"/>
        </w:rPr>
        <w:t>Additionally, we added a new innovative Premium ADAS solution,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which utilizes the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software stack with a down-scaled sensor suite and an ECU that includes one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SoC. The solution will enable eyes-on/hands-off driving on highway road types (as compared to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which is expected to operate on various ODDs).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will provide OEMs with higher levels of autonomy than Cloud-Enhanced Driver Assist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which we believe will expand the application and adoption of our products.</w:t>
      </w:r>
    </w:p>
    <w:p>
      <w:pPr>
        <w:spacing w:after="0" w:line="192" w:lineRule="exact"/>
        <w:rPr>
          <w:sz w:val="20"/>
          <w:szCs w:val="20"/>
          <w:color w:val="auto"/>
        </w:rPr>
      </w:pPr>
    </w:p>
    <w:p>
      <w:pPr>
        <w:jc w:val="both"/>
        <w:ind w:firstLine="314"/>
        <w:spacing w:after="0" w:line="282" w:lineRule="auto"/>
        <w:rPr>
          <w:sz w:val="20"/>
          <w:szCs w:val="20"/>
          <w:color w:val="auto"/>
        </w:rPr>
      </w:pPr>
      <w:r>
        <w:rPr>
          <w:rFonts w:ascii="Times New Roman" w:cs="Times New Roman" w:eastAsia="Times New Roman" w:hAnsi="Times New Roman"/>
          <w:sz w:val="17"/>
          <w:szCs w:val="17"/>
          <w:color w:val="auto"/>
        </w:rPr>
        <w:t>Our Premium Driver Assist offerings are expected to be available with DXP, which will enable OEM customers to deploy their own internally-developed software on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while benefiting from our industry-leading technology platform.</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both"/>
        <w:ind w:firstLine="320"/>
        <w:spacing w:after="0" w:line="195" w:lineRule="auto"/>
        <w:tabs>
          <w:tab w:leader="none" w:pos="62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Innovate and commercialize our next-generation autonomous driving solutions - </w:t>
      </w:r>
      <w:r>
        <w:rPr>
          <w:rFonts w:ascii="Times New Roman" w:cs="Times New Roman" w:eastAsia="Times New Roman" w:hAnsi="Times New Roman"/>
          <w:sz w:val="17"/>
          <w:szCs w:val="17"/>
          <w:color w:val="auto"/>
        </w:rPr>
        <w:t>Propelled by our next generation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productization of software-defined imaging radars and our Compound AI system architecture including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we believe that we will be positioned to deliver an autonomous driving solution that can enable the mass adoption of AV. We plan to continue to develop innovative and cost-optimized solutions to deliver comprehensive capabilities for mass market adoption to our customers. We believe the introduction of our Premium ADAS capabilities with our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which can be scaled to a variety of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consumer AV solutions, and our eyes-off/hands-off/no driver capabilities with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will help us continue to provide our customers with innovative solutions and enable further growth for us. The favorable view of Chauffeur eyes-off technology by automakers is based on two key factors: 1) Chauffeur adds “buying your time back” as an additional value proposition on top of the safety and convenience benefits of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2) the sharing of tech building blocks between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Chauffeur creates a scalable bridge from one to the other, significantly lowering the investment needs and raising the probability of success for a consumer AV product. We plan to continue to build and enhance our full-stack technology platform in order to offer an affordable, time-saving and much safer driving experience, which we believe will propel the mass-market adoption of autonomous driving solutions.</w:t>
      </w:r>
    </w:p>
    <w:p>
      <w:pPr>
        <w:spacing w:after="0" w:line="196" w:lineRule="exact"/>
        <w:rPr>
          <w:rFonts w:ascii="Times New Roman" w:cs="Times New Roman" w:eastAsia="Times New Roman" w:hAnsi="Times New Roman"/>
          <w:sz w:val="17"/>
          <w:szCs w:val="17"/>
          <w:color w:val="auto"/>
        </w:rPr>
      </w:pPr>
    </w:p>
    <w:p>
      <w:pPr>
        <w:jc w:val="both"/>
        <w:ind w:firstLine="320"/>
        <w:spacing w:after="0" w:line="248" w:lineRule="auto"/>
        <w:tabs>
          <w:tab w:leader="none" w:pos="62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Utilize our flexible platform to expand our collaboration with our OEM customers - </w:t>
      </w:r>
      <w:r>
        <w:rPr>
          <w:rFonts w:ascii="Times New Roman" w:cs="Times New Roman" w:eastAsia="Times New Roman" w:hAnsi="Times New Roman"/>
          <w:sz w:val="17"/>
          <w:szCs w:val="17"/>
          <w:color w:val="auto"/>
        </w:rPr>
        <w:t>We have designed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SoCs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subsequent generations to be increasingly customizable by our OEM customers, supported by DXP. DXP enables automakers to develop and customize the driving experience while utilizing Mobileye’s proven core technology perception and driving software - allowing our customers to create unique products from our technology while accelerating time-to-market and reducing overall execution risk. We plan to continue to develop our platform to offer our customers the ability to seamlessly address the additional capabilities and features that they demand by customizing their offerings on top of our solutions. This collaborative addition to our platform offer a mutually beneficial middle ground between open and closed systems, which will allow OEMs to innovate on top of our platform, augmenting and differentiating their offerings, while benefiting from our cutting-edge, verified and validated core technologies such as computer vision, true redundancy perception,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and driving policy.</w:t>
      </w:r>
    </w:p>
    <w:p>
      <w:pPr>
        <w:spacing w:after="0" w:line="67" w:lineRule="exact"/>
        <w:rPr>
          <w:rFonts w:ascii="Times New Roman" w:cs="Times New Roman" w:eastAsia="Times New Roman" w:hAnsi="Times New Roman"/>
          <w:sz w:val="17"/>
          <w:szCs w:val="17"/>
          <w:color w:val="auto"/>
        </w:rPr>
      </w:pPr>
    </w:p>
    <w:p>
      <w:pPr>
        <w:jc w:val="both"/>
        <w:ind w:firstLine="320"/>
        <w:spacing w:after="0" w:line="268" w:lineRule="auto"/>
        <w:tabs>
          <w:tab w:leader="none" w:pos="62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Capitalize on our active sensor technology - </w:t>
      </w:r>
      <w:r>
        <w:rPr>
          <w:rFonts w:ascii="Times New Roman" w:cs="Times New Roman" w:eastAsia="Times New Roman" w:hAnsi="Times New Roman"/>
          <w:sz w:val="17"/>
          <w:szCs w:val="17"/>
          <w:color w:val="auto"/>
        </w:rPr>
        <w:t>We intend to continue to develop and commercialize next-generation active sensors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as software-defined imaging radars, which leverage our AI capabilities. Our software-defined imaging radars are designed to form a standalone “sensing state” layer which can be utilized as a sensing layer on its own, enabling 360-degree coverage, replacing multiple lidar sensors and requiring only a single front-facing lidar. We believe enhancing our sensing and perception technology leadership will further strengthen our competitive position and allow us to offer additional differentiated and cost-effective solutions to our customers.</w:t>
      </w:r>
    </w:p>
    <w:p>
      <w:pPr>
        <w:spacing w:after="0" w:line="158" w:lineRule="exact"/>
        <w:rPr>
          <w:rFonts w:ascii="Times New Roman" w:cs="Times New Roman" w:eastAsia="Times New Roman" w:hAnsi="Times New Roman"/>
          <w:sz w:val="17"/>
          <w:szCs w:val="17"/>
          <w:color w:val="auto"/>
        </w:rPr>
      </w:pPr>
    </w:p>
    <w:p>
      <w:pPr>
        <w:jc w:val="both"/>
        <w:ind w:firstLine="320"/>
        <w:spacing w:after="0" w:line="208" w:lineRule="auto"/>
        <w:tabs>
          <w:tab w:leader="none" w:pos="62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Accelerate our roadmap of next generation proprietary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SoCs - </w:t>
      </w:r>
      <w:r>
        <w:rPr>
          <w:rFonts w:ascii="Times New Roman" w:cs="Times New Roman" w:eastAsia="Times New Roman" w:hAnsi="Times New Roman"/>
          <w:sz w:val="17"/>
          <w:szCs w:val="17"/>
          <w:color w:val="auto"/>
        </w:rPr>
        <w:t>We believe that we have created the standard for processors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focused on Compound AI systems that control perception, including computer vision.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High will be built to address the needs of eyes-on/hands-off and eyes-off/hands-off solutions in a scalable way. Our architecture is highly scalable and is designed to support the increasing and computationally intensive demands of future autonomous driving applications.</w:t>
      </w:r>
    </w:p>
    <w:p>
      <w:pPr>
        <w:spacing w:after="0" w:line="188" w:lineRule="exact"/>
        <w:rPr>
          <w:rFonts w:ascii="Times New Roman" w:cs="Times New Roman" w:eastAsia="Times New Roman" w:hAnsi="Times New Roman"/>
          <w:sz w:val="17"/>
          <w:szCs w:val="17"/>
          <w:color w:val="auto"/>
        </w:rPr>
      </w:pPr>
    </w:p>
    <w:p>
      <w:pPr>
        <w:jc w:val="both"/>
        <w:ind w:firstLine="320"/>
        <w:spacing w:after="0" w:line="233" w:lineRule="auto"/>
        <w:tabs>
          <w:tab w:leader="none" w:pos="62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Utilize our substantial and growing dataset to continuously improve the intelligence and robustness of our solutions - </w:t>
      </w:r>
      <w:r>
        <w:rPr>
          <w:rFonts w:ascii="Times New Roman" w:cs="Times New Roman" w:eastAsia="Times New Roman" w:hAnsi="Times New Roman"/>
          <w:sz w:val="17"/>
          <w:szCs w:val="17"/>
          <w:color w:val="auto"/>
        </w:rPr>
        <w:t>We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continue to grow the depth and breadth of our substantial dataset. We believe that our ability to use this data to create, maintain, and improve our Compound AI systems and high-precision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maps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system will enable us to further improve our ADAS offerings and position us well for autonomous driving.</w:t>
      </w:r>
    </w:p>
    <w:p>
      <w:pPr>
        <w:spacing w:after="0" w:line="184" w:lineRule="exact"/>
        <w:rPr>
          <w:rFonts w:ascii="Times New Roman" w:cs="Times New Roman" w:eastAsia="Times New Roman" w:hAnsi="Times New Roman"/>
          <w:sz w:val="17"/>
          <w:szCs w:val="17"/>
          <w:color w:val="auto"/>
        </w:rPr>
      </w:pPr>
    </w:p>
    <w:p>
      <w:pPr>
        <w:jc w:val="both"/>
        <w:ind w:firstLine="320"/>
        <w:spacing w:after="0"/>
        <w:tabs>
          <w:tab w:leader="none" w:pos="62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Establish our Eyes-Off/Hands-Off autonomous and AMaaS solutions - </w:t>
      </w:r>
      <w:r>
        <w:rPr>
          <w:rFonts w:ascii="Times New Roman" w:cs="Times New Roman" w:eastAsia="Times New Roman" w:hAnsi="Times New Roman"/>
          <w:sz w:val="17"/>
          <w:szCs w:val="17"/>
          <w:color w:val="auto"/>
        </w:rPr>
        <w:t>We believe that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Mobileye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will unlock new use cases and end-consumers for our OEM and fleet-owner customers, which will be applicable for both the AMaaS and consumer AV markets. We expect, in collaboration with our customers, to add additional cities to our AMaaS offerings to showcase our industry-leading technology and to help accelerate the pace of AV adoption. We also expect to continue to invest in our ecosystem partnerships with OEMs and transportation network companies in order to foster close collaboration and further commercialize our autonomous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20"/>
        <w:spacing w:after="0"/>
        <w:tabs>
          <w:tab w:leader="none" w:pos="62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Benefit from opportunities in large emerging markets - </w:t>
      </w:r>
      <w:r>
        <w:rPr>
          <w:rFonts w:ascii="Times New Roman" w:cs="Times New Roman" w:eastAsia="Times New Roman" w:hAnsi="Times New Roman"/>
          <w:sz w:val="17"/>
          <w:szCs w:val="17"/>
          <w:color w:val="auto"/>
        </w:rPr>
        <w:t>We intend to continue to invest in customer relationships in emerging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markets to accelerate ADAS and autonomous driving adoption, particularly in India. Mahindra &amp; Mahindra, one of India’s largest automakers, has launched the first vehicle made locally to offer ADAS capabilities, which is powered by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Its accessible price point compared to imported alternatives expands the ADAS reach to a broader range of consumers in one of the most populous countries in the world. We believe our long-term partnerships with emerging market OEMs position our solutions at the forefront of continued innovation and market growth.</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customers include leading OEMs, which we primarily sell to through Tier 1 automotive suppliers that implement our product into automotive vehicles, as well as fleet owners and operators.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OEMs</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market position has remained strong across a broad set of customer relationships for many years. We are actively working with more than 50 OEMs worldwide on the implementation of our ADAS solutions.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Tier 1 Automotive Suppliers</w:t>
      </w:r>
    </w:p>
    <w:p>
      <w:pPr>
        <w:spacing w:after="0" w:line="220" w:lineRule="exact"/>
        <w:rPr>
          <w:sz w:val="20"/>
          <w:szCs w:val="20"/>
          <w:color w:val="auto"/>
        </w:rPr>
      </w:pPr>
    </w:p>
    <w:p>
      <w:pPr>
        <w:jc w:val="both"/>
        <w:ind w:firstLine="314"/>
        <w:spacing w:after="0" w:line="215" w:lineRule="auto"/>
        <w:rPr>
          <w:sz w:val="20"/>
          <w:szCs w:val="20"/>
          <w:color w:val="auto"/>
        </w:rPr>
      </w:pPr>
      <w:r>
        <w:rPr>
          <w:rFonts w:ascii="Times New Roman" w:cs="Times New Roman" w:eastAsia="Times New Roman" w:hAnsi="Times New Roman"/>
          <w:sz w:val="17"/>
          <w:szCs w:val="17"/>
          <w:color w:val="auto"/>
        </w:rPr>
        <w:t>We supply certain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platform through our arrangements with automotive system integrators, known as Tier 1 automotive suppliers, which are direct suppliers to OEMs. Our Tier 1 customers include Aptiv, Magna, Valeo, ZF, Imotion and others.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Mobility-as-a-Service</w:t>
      </w:r>
    </w:p>
    <w:p>
      <w:pPr>
        <w:spacing w:after="0" w:line="220" w:lineRule="exact"/>
        <w:rPr>
          <w:sz w:val="20"/>
          <w:szCs w:val="20"/>
          <w:color w:val="auto"/>
        </w:rPr>
      </w:pPr>
    </w:p>
    <w:p>
      <w:pPr>
        <w:jc w:val="both"/>
        <w:ind w:firstLine="314"/>
        <w:spacing w:after="0" w:line="231" w:lineRule="auto"/>
        <w:rPr>
          <w:sz w:val="20"/>
          <w:szCs w:val="20"/>
          <w:color w:val="auto"/>
        </w:rPr>
      </w:pPr>
      <w:r>
        <w:rPr>
          <w:rFonts w:ascii="Times New Roman" w:cs="Times New Roman" w:eastAsia="Times New Roman" w:hAnsi="Times New Roman"/>
          <w:sz w:val="17"/>
          <w:szCs w:val="17"/>
          <w:color w:val="auto"/>
        </w:rPr>
        <w:t>We expect to sell the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self-driving vehicles to a range of transportation network companies, public transit operators and vehicle OEMs which intend to operate a variety of services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consumer-facing AMaaS, transportation on demand, delivery). These partners could produce vehicles themselves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with our assistance.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Partnerships with STMicroelectronics and Intel</w:t>
      </w:r>
    </w:p>
    <w:p>
      <w:pPr>
        <w:spacing w:after="0" w:line="226"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Our long-standing relationship with STMicroelectronics N.V. (“STMicroelectronics”) continues to strengthen with the complexity of our solutions. Our partnership includes close collaboration in product development, design, and manufacturing. For example, we have co-developed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generations, including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386"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Our close partnership with Intel exists on multiple fronts. As a result of our relationship with Intel, we have access to certain technologies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products are designed and manufactured specifically for automotive applications after extensive validation tests under stringent automotive environmental conditions.</w:t>
      </w:r>
    </w:p>
    <w:p>
      <w:pPr>
        <w:spacing w:after="0" w:line="147" w:lineRule="exact"/>
        <w:rPr>
          <w:sz w:val="20"/>
          <w:szCs w:val="20"/>
          <w:color w:val="auto"/>
        </w:rPr>
      </w:pPr>
    </w:p>
    <w:p>
      <w:pPr>
        <w:jc w:val="both"/>
        <w:ind w:firstLine="314"/>
        <w:spacing w:after="0" w:line="198" w:lineRule="auto"/>
        <w:rPr>
          <w:sz w:val="20"/>
          <w:szCs w:val="20"/>
          <w:color w:val="auto"/>
        </w:rPr>
      </w:pPr>
      <w:r>
        <w:rPr>
          <w:rFonts w:ascii="Times New Roman" w:cs="Times New Roman" w:eastAsia="Times New Roman" w:hAnsi="Times New Roman"/>
          <w:sz w:val="17"/>
          <w:szCs w:val="17"/>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with STMicroelectronics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and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We design the front-end and STMicroelectronics designs the back-end package and also includes testing, quality assurance, customer care, failure analysis and manufacturing standards.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integrated circuits are manufactured by or outsourced to a partner foundry by STMicroelectronics.</w:t>
      </w:r>
    </w:p>
    <w:p>
      <w:pPr>
        <w:sectPr>
          <w:pgSz w:w="11900" w:h="16838" w:orient="portrait"/>
          <w:cols w:equalWidth="0" w:num="1">
            <w:col w:w="9920"/>
          </w:cols>
          <w:pgMar w:left="980" w:top="645"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82" w:lineRule="auto"/>
        <w:rPr>
          <w:sz w:val="20"/>
          <w:szCs w:val="20"/>
          <w:color w:val="auto"/>
        </w:rPr>
      </w:pPr>
      <w:r>
        <w:rPr>
          <w:rFonts w:ascii="Times New Roman" w:cs="Times New Roman" w:eastAsia="Times New Roman" w:hAnsi="Times New Roman"/>
          <w:sz w:val="17"/>
          <w:szCs w:val="17"/>
          <w:color w:val="auto"/>
        </w:rPr>
        <w:t>We have also established a relationship with Quanta Computer and other suppliers to develop and assemble our ECUs including our reference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which includes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SoCs from STMicroelectronics.</w:t>
      </w:r>
    </w:p>
    <w:p>
      <w:pPr>
        <w:spacing w:after="0" w:line="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Regulation and Ratings</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6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77"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79"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77"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79"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On October 7, 2022, the U.S. Department of Commerce’s Bureau of Industry and Security (“BIS”) announced restrictions on the export of advanced computing integrated circuits and related items to China and certain other jurisdictions. Based on our existing customer base and the export classifications for our existing chip products, we do not believe that these U.S. export controls will have a material impact on our sales of these products to our existing customers in China. In 2023, BIS added to these restrictions and the U.S. also worked with Japan and the Netherlands to align on additional restrictions on semiconductor manufacturing equipment. In 2024, BIS further expanded export controls to limit the global distribution of high-performance integrated circuits by restricting sales through customer allocations and imposing per-country caps. Further, on January 14, 2025, BIS announced the adoption of a final rule prohibiting certain transactions involving the sale or import of (i) connected vehicles integrating “Vehicle Connectivity System” hardware, and (ii) connected vehicles integrating “Automated Driving System” or “Vehicle Connectivity System” software, or those components sold separately, in each case with a sufficient nexus to the People’s Republic of China or Russia. The software provisions of the final rule and the prohibition on sales of connected vehicles will take effect for model 2027 and the hardware-related prohibitions will take effect model year 2030, or January 1, 2029 for units without a model year. We are developing compliance processes for these new rules and expect to be compliant when these restrictions are effective. Import and Export control regulations adopted by the United States and other jurisdictions are subject to change and interpretation, and it is possible that future regulatory actions by BIS impacting U.S. imports and exports of integrated circuits as well as certain software and hardware components used in our systems and related items could have a material impact on our business operations.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Data Privacy</w:t>
      </w:r>
    </w:p>
    <w:p>
      <w:pPr>
        <w:spacing w:after="0" w:line="226"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We anticipate that our collection of such personal information may increase as a result of the introduction of our MaaS solutions, and our integration of Moovit, which may provide us with access to personal information of users. Our data-collection processes implement strict methodologies to comply with data protection and privacy laws, including the EU General Data Protection Regulation (the “GDPR”), the UK General Data Protection Regulation, and U.S. federal and state laws, including the California Consumer Privacy Act of 2018 (the “CCPA”), as amended by the California Privacy Rights Act of 2020 (the “CPRA”).</w:t>
      </w:r>
    </w:p>
    <w:p>
      <w:pPr>
        <w:spacing w:after="0" w:line="17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64"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The scope and interpretation of the laws and regulations that are or may be applicable to us are often uncertain and may be conflicting, particularly with respect to foreign laws. We are subject to the GDPR, which became effective in May 2018. EU member states have enacted certain implementing legislation that adds to and/or further interprets the GDPR requirements.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with respect to EU data subjects. In particular, the GDPR includes obligations and restrictions concerning the consent and rights of individuals to whom the personal data relates, the transfer of personal data out of the EEA, security breach notifications and the security and confidentiality of personal data. We are also subject to the UK General Data Protection Regulation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 version of the GDPR as implemented into UK law), exposing us to two parallel regimes with potentially divergent interpretations and enforcement actions for certain violations. While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that decision will sunset in June 2025 unless extended and it may be revoked in the future by the European Commission if the UK data protection regime is reformed in ways that deviate substantially from the GDPR. Other countries have enacted or are considering enacting similar cross-border data transfer rules or data localization requirements.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Additionally, U.S. state governments have enacted new data protection and privacy laws and regulations since 2018, including California, Colorado, Connecticut, Delaware, Iowa, Texas, Utah and Virginia. These new state laws and regulations may impact our business practices, including limiting our ability to use clips for internal development and validation purposes. Federal and state laws and regulations are changing rapidly and there is discussion in Congress of a new federal data protection and privacy law to which we would become subject if it is enacted. Compliance with these federal and state data protection and privacy laws and regulations, and other similar federal or state laws and regulations that may be enacted in the future, may require us to put in place additional mechanisms to comply with such laws and regulations which could cause us to incur substantial costs or require us to change our business practices, including our data processing practices, in a manner adverse to our business. Moreover, any failure to comply with such federal and state laws and regulations could result in, among other things, regulatory or government investigations, monetary penalties or fines, litigation (including civil claims, such as representative actions and other class action-type litigation), and orders to cease, modify or change our business practices, including our data processing practices.</w:t>
      </w:r>
    </w:p>
    <w:p>
      <w:pPr>
        <w:spacing w:after="0" w:line="389"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Competition</w:t>
      </w:r>
    </w:p>
    <w:p>
      <w:pPr>
        <w:spacing w:after="0" w:line="22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ADAS and autonomous driving industries are highly competitive. In the ADAS and consumer AV market, we face competition primarily from other external providers including Tier 1 automotive suppliers and silicon providers, as well as in-house solutions developed by the OEMs to a certain extent.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Xpeng Motors, Huawei and Li Auto also pursuing in-house solutions for portions of the advanced ADAS software stack. In the future, our indirect competitors could become direct competitors.</w:t>
      </w:r>
    </w:p>
    <w:p>
      <w:pPr>
        <w:spacing w:after="0" w:line="175"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Cruise, Motional, Waymo, Yandex, and Zoox in the United States and Europe and Auto X, Baidu, Deeproute.ai, Didi Chuxing, Momenta, and WeRide in China. Consumer AV competitors include Sony and Tesla, who are developing self-driving vehicles for consumers. We also face competition from companies that offer “software-only” autonomous vehicle solutions, including StradVision, Autobrains and Wayve.</w:t>
      </w:r>
    </w:p>
    <w:p>
      <w:pPr>
        <w:spacing w:after="0" w:line="172" w:lineRule="exact"/>
        <w:rPr>
          <w:sz w:val="20"/>
          <w:szCs w:val="20"/>
          <w:color w:val="auto"/>
        </w:rPr>
      </w:pPr>
    </w:p>
    <w:p>
      <w:pPr>
        <w:jc w:val="both"/>
        <w:ind w:firstLine="314"/>
        <w:spacing w:after="0" w:line="239" w:lineRule="auto"/>
        <w:rPr>
          <w:sz w:val="20"/>
          <w:szCs w:val="20"/>
          <w:color w:val="auto"/>
        </w:rPr>
      </w:pPr>
      <w:r>
        <w:rPr>
          <w:rFonts w:ascii="Times New Roman" w:cs="Times New Roman" w:eastAsia="Times New Roman" w:hAnsi="Times New Roman"/>
          <w:sz w:val="17"/>
          <w:szCs w:val="17"/>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artificial intelligence (“AI”), including computer vision, and powered by our mission critical software and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family of SoCs are extremely hard to replicate.</w:t>
      </w:r>
    </w:p>
    <w:p>
      <w:pPr>
        <w:spacing w:after="0" w:line="19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 services on their own platform.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principal competitive factors impacting the market for our solutions include:</w:t>
      </w:r>
    </w:p>
    <w:p>
      <w:pPr>
        <w:spacing w:after="0" w:line="224" w:lineRule="exact"/>
        <w:rPr>
          <w:sz w:val="20"/>
          <w:szCs w:val="20"/>
          <w:color w:val="auto"/>
        </w:rPr>
      </w:pPr>
    </w:p>
    <w:p>
      <w:pPr>
        <w:ind w:left="660" w:hanging="314"/>
        <w:spacing w:after="0" w:line="296"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completeness of our technology platform including SoCs, sensing and perception technologies, sensor fusion architecture, high-precision mapping system, and supporting software and algorithms;</w:t>
      </w:r>
    </w:p>
    <w:p>
      <w:pPr>
        <w:spacing w:after="0" w:line="14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design and develop ADAS and autonomous driving solutions that meet our customers’ needs;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automotive quality standards, compliance, and performance in all areas of ADAS and autonomous driving;</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agile software validation and robust product release discipline;</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scalability, and cost efficiency of our solutions;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engineering capabilities, the ability to innovate and continuously improve our technology;</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and development support for our customers;</w:t>
      </w:r>
    </w:p>
    <w:p>
      <w:pPr>
        <w:spacing w:after="0" w:line="223" w:lineRule="exact"/>
        <w:rPr>
          <w:rFonts w:ascii="Times New Roman" w:cs="Times New Roman" w:eastAsia="Times New Roman" w:hAnsi="Times New Roman"/>
          <w:sz w:val="17"/>
          <w:szCs w:val="17"/>
          <w:color w:val="auto"/>
        </w:rPr>
      </w:pPr>
    </w:p>
    <w:p>
      <w:pPr>
        <w:ind w:left="660" w:hanging="314"/>
        <w:spacing w:after="0" w:line="268"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reliability and the ability to make on-time delivery of appropriate quantities of product at a consistent level of quality;</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meet regulatory requirements;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intellectual property protection; and</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and reputation, including the ability to market new offerings.</w:t>
      </w:r>
    </w:p>
    <w:p>
      <w:pPr>
        <w:spacing w:after="0" w:line="224"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3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Distribution and Marketing</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products are sold directly to customers throughout the world, or through distribution channels for our remaining inventory of aftermarket products meant for vehicles that do not come pre-equipped with ADAS technology.</w:t>
      </w:r>
    </w:p>
    <w:p>
      <w:pPr>
        <w:spacing w:after="0" w:line="14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6" w:lineRule="exact"/>
        <w:rPr>
          <w:sz w:val="20"/>
          <w:szCs w:val="20"/>
          <w:color w:val="auto"/>
        </w:rPr>
      </w:pPr>
    </w:p>
    <w:p>
      <w:pPr>
        <w:jc w:val="both"/>
        <w:ind w:firstLine="314"/>
        <w:spacing w:after="0" w:line="242" w:lineRule="auto"/>
        <w:rPr>
          <w:sz w:val="20"/>
          <w:szCs w:val="20"/>
          <w:color w:val="auto"/>
        </w:rPr>
      </w:pPr>
      <w:r>
        <w:rPr>
          <w:rFonts w:ascii="Times New Roman" w:cs="Times New Roman" w:eastAsia="Times New Roman" w:hAnsi="Times New Roman"/>
          <w:sz w:val="17"/>
          <w:szCs w:val="17"/>
          <w:color w:val="auto"/>
        </w:rPr>
        <w:t>We believe our strong research and development is our principal competitive strength and has led to our position in the market. Our research and development activities are predominantly conducted in Israel. We have approximately 85%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Employees</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28, 2024, we had approximately 3,900 employees operating across eight countries, with approximately 85% of such employees involved in research and development and approximately 3,600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119380</wp:posOffset>
            </wp:positionV>
            <wp:extent cx="5589270" cy="3143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9270" cy="314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As of December 28, 2024, we held 382 U.S. patents, 74 European patents, 175 U.S. patent applications, 608 European and other non-U.S. patent applications, and provisional patent filings. We do not view any single patent or patent application to be material.</w:t>
      </w:r>
    </w:p>
    <w:p>
      <w:pPr>
        <w:spacing w:after="0" w:line="16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Litigation may be necessary in the future to enforce our proprietary rights, to determine the validity and scope of the proprietary rights of others, or to defend us against claims of infringement, misappropriation or other violation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Relationship with Intel</w:t>
      </w:r>
    </w:p>
    <w:p>
      <w:pPr>
        <w:spacing w:after="0" w:line="226"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Prior to the Mobileye IPO, Intel beneficially owned 100% of our outstanding shares of common stock and we operated as Intel’s wholly owned subsidiary. As of December 28, 2024, Intel beneficially owns all of the outstanding shares of our Class B common stock, representing approximately 87.7% of our outstanding common stock and 98.6% of the voting power of our common stock. As a result, Intel is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the Mobileye IPO,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“Item 1A. Risk Factors — Risks Related to our Relationship with Intel and our Dual Class Structure”.</w:t>
      </w:r>
    </w:p>
    <w:p>
      <w:pPr>
        <w:spacing w:after="0" w:line="183"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We and Intel continue to interact as strategic partners, collaborating on projects to pursue the growth of computing and advanced technology in the automotive sector. In connection with the Mobileye IPO, we entered into certain agreements (collectively, the “Intercompany Agreements”) with Intel and certain of its subsidiaries that provide the framework for our ongoing relationship with Intel, including the Master Transaction Agreement, which contains key provisions relating to our ongoing relationship with Intel. The Master Transaction Agreement also contains agreements relating to the conduct of the Mobileye IPO and future transactions, and governs the relationship between Intel and Mobileye.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54" w:lineRule="auto"/>
        <w:rPr>
          <w:sz w:val="20"/>
          <w:szCs w:val="20"/>
          <w:color w:val="auto"/>
        </w:rPr>
      </w:pPr>
      <w:r>
        <w:rPr>
          <w:rFonts w:ascii="Times New Roman" w:cs="Times New Roman" w:eastAsia="Times New Roman" w:hAnsi="Times New Roman"/>
          <w:sz w:val="17"/>
          <w:szCs w:val="17"/>
          <w:color w:val="auto"/>
        </w:rPr>
        <w:t>Key provisions of the Master Transaction Agreement include: we will provide Intel with certain registration rights to register our common stock, because the shares of our common stock held by Intel after the Mobileye IPO are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we have granted Intel a continuing right to purchase from us shares of Class A common stock or Class B common stock as is necessary for Intel to maintain an aggregate ownership interest of our common stock representing at least 80.1% of our common stock outstanding; we and Intel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the Mobileye IPO; for so long as Intel provides us with accounting and financial services under the Administrative Services Agreement that we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the Mobileye IPO (and after giving effect to the repayment of indebtedness by us to Intel and other transactions that occurred substantially concurrently with the Mobileye IPO), Intel agreed to ensure that we had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In connection with the Mobileye IPO, we entered into a LiDAR Product Collaboration Agreement with Intel and a Technology and Services Agreement with Intel pursuant to which Intel granted us a limited license to sensitive core technology relating to lidar and radar, respectively. Pursuant to the LiDAR Product Collaboration Agreement, the license was limited to a particular lidar sensor system for ADAS and AV systems in automobiles and to certain types of customers (Tier 1s, OEMs and MaaS), and we were not licensed to manufacture products based on Intel technology with anyone other than Intel. On September 9, 2024, we announced the cessation of further internal development of FMCW lidar and the wind down of our Lidar R&amp;D Unit. In connection with our decision, Mobileye and Intel terminated the LiDAR Product Collaboration Agreement as of October 2, 2024.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radar intellectual property, even if developed solely by us. If we are not able to continue to use or license sensitive core technology related to radar from Intel, we may not be able to secure alternatives in a timely manner or at all, and our ability to remain competitive would be harmed and that could adversely affect our business, results of operations and financial condition. See “Item 1A. Risk Factors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38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Several of our directors also serve as officers, directors and/or other positions at Intel. Mr. Yeboah-Amankwah, the Chair of our Board of Directors, is a Senior Vice President and the Chief Strategy Officer of Intel. Mr. Schell, our director, is an Executive Vice President and the Chief Commercial Officer of Intel. Ms. Pambianchi, our director, is an Executive Vice President and the Chief People Officer of Intel. Mr. Bombach, our director, is a Corporate Vice President, Assistant Secretary and Head of Corporate Legal at Intel. Mr. Yeary, our director, is the Interim Executive Chair and a director of Intel.</w:t>
      </w:r>
    </w:p>
    <w:p>
      <w:pPr>
        <w:spacing w:after="0" w:line="1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See the information under the heading “Item 13. Certain Relationships and Related Transactions, and Director Independence” which is incorporated herein by reference from our definitive proxy statement for the 2025 Annual Meeting of the Stockholders (the “2025 Proxy Statement”), which we expect to file with the SEC within 120 days after the end of our fiscal year ended December 28, 2024.</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22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reports filed with or furnished to the Securities and Exchange Commission (“SEC”) pursuant to Sections 13(a) and 15(d) of the Securities Exchange Act of 1934, as amended (“the Exchange Act”), are available, free of charge, on our Investor Relations website at https://ir.mobileye.com/ as soon as reasonably practicable after we electronically file such material with, or furnish it to, the SEC. The SEC maintains an Internet site (www.sec.gov) that contains all of the documents we file with the SEC.</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Information about our Executive Officers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Set forth below are the names, ages and positions as of the date hereof of our 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1"/>
        </w:trPr>
        <w:tc>
          <w:tcPr>
            <w:tcW w:w="20" w:type="dxa"/>
            <w:vAlign w:val="bottom"/>
          </w:tcPr>
          <w:p>
            <w:pPr>
              <w:spacing w:after="0"/>
              <w:rPr>
                <w:sz w:val="19"/>
                <w:szCs w:val="19"/>
                <w:color w:val="auto"/>
              </w:rPr>
            </w:pPr>
          </w:p>
        </w:tc>
        <w:tc>
          <w:tcPr>
            <w:tcW w:w="3220" w:type="dxa"/>
            <w:vAlign w:val="bottom"/>
            <w:tcBorders>
              <w:top w:val="single" w:sz="8" w:color="231F20"/>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Amnon Shashua</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231F20"/>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Borders>
              <w:top w:val="single" w:sz="8" w:color="CCEEFF"/>
            </w:tcBorders>
            <w:shd w:val="clear" w:color="auto" w:fill="CCEEFF"/>
          </w:tcPr>
          <w:p>
            <w:pPr>
              <w:spacing w:after="0"/>
              <w:rPr>
                <w:sz w:val="19"/>
                <w:szCs w:val="19"/>
                <w:color w:val="auto"/>
              </w:rPr>
            </w:pPr>
          </w:p>
        </w:tc>
        <w:tc>
          <w:tcPr>
            <w:tcW w:w="6000" w:type="dxa"/>
            <w:vAlign w:val="bottom"/>
            <w:tcBorders>
              <w:top w:val="single" w:sz="8" w:color="231F20"/>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40" w:type="dxa"/>
            <w:vAlign w:val="bottom"/>
            <w:tcBorders>
              <w:top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Moran Shemesh Rojansky</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tcPr>
          <w:p>
            <w:pPr>
              <w:spacing w:after="0"/>
              <w:rPr>
                <w:sz w:val="19"/>
                <w:szCs w:val="19"/>
                <w:color w:val="auto"/>
              </w:rPr>
            </w:pPr>
          </w:p>
        </w:tc>
        <w:tc>
          <w:tcPr>
            <w:tcW w:w="6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20" w:type="dxa"/>
            <w:vAlign w:val="bottom"/>
          </w:tcPr>
          <w:p>
            <w:pPr>
              <w:spacing w:after="0"/>
              <w:rPr>
                <w:sz w:val="19"/>
                <w:szCs w:val="19"/>
                <w:color w:val="auto"/>
              </w:rPr>
            </w:pPr>
          </w:p>
        </w:tc>
        <w:tc>
          <w:tcPr>
            <w:tcW w:w="3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Boaz Ouriel</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1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 EPG Software</w:t>
            </w:r>
          </w:p>
        </w:tc>
      </w:tr>
      <w:tr>
        <w:trPr>
          <w:trHeight w:val="223"/>
        </w:trPr>
        <w:tc>
          <w:tcPr>
            <w:tcW w:w="20" w:type="dxa"/>
            <w:vAlign w:val="bottom"/>
          </w:tcPr>
          <w:p>
            <w:pPr>
              <w:spacing w:after="0"/>
              <w:rPr>
                <w:sz w:val="19"/>
                <w:szCs w:val="19"/>
                <w:color w:val="auto"/>
              </w:rPr>
            </w:pPr>
          </w:p>
        </w:tc>
        <w:tc>
          <w:tcPr>
            <w:tcW w:w="3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Shai Shalev-Shwartz</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9"/>
                <w:szCs w:val="19"/>
                <w:color w:val="auto"/>
              </w:rPr>
            </w:pPr>
          </w:p>
        </w:tc>
        <w:tc>
          <w:tcPr>
            <w:tcW w:w="6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23"/>
        </w:trPr>
        <w:tc>
          <w:tcPr>
            <w:tcW w:w="20" w:type="dxa"/>
            <w:vAlign w:val="bottom"/>
          </w:tcPr>
          <w:p>
            <w:pPr>
              <w:spacing w:after="0"/>
              <w:rPr>
                <w:sz w:val="19"/>
                <w:szCs w:val="19"/>
                <w:color w:val="auto"/>
              </w:rPr>
            </w:pPr>
          </w:p>
        </w:tc>
        <w:tc>
          <w:tcPr>
            <w:tcW w:w="3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Nimrod Nehushtan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Executive Vice President Business Development &amp; Strategy, Co-Manager REM</w:t>
            </w:r>
          </w:p>
        </w:tc>
      </w:tr>
      <w:tr>
        <w:trPr>
          <w:trHeight w:val="838"/>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Pr>
          <w:p>
            <w:pPr>
              <w:spacing w:after="0"/>
              <w:rPr>
                <w:sz w:val="24"/>
                <w:szCs w:val="24"/>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5"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Amnon Shashua </w:t>
      </w:r>
      <w:r>
        <w:rPr>
          <w:rFonts w:ascii="Times New Roman" w:cs="Times New Roman" w:eastAsia="Times New Roman" w:hAnsi="Times New Roman"/>
          <w:sz w:val="17"/>
          <w:szCs w:val="17"/>
          <w:color w:val="auto"/>
        </w:rPr>
        <w:t>is our co-founder and has been serving as our Chief Executive Officer and President since 2017 and as our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our founding in 1999. He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In March 2023, Professor Shashua received the Israel Prize for Lifetime Achievement from the Israel Ministry of Education.</w:t>
      </w:r>
    </w:p>
    <w:p>
      <w:pPr>
        <w:spacing w:after="0" w:line="386"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Moran Shemesh Rojansky </w:t>
      </w:r>
      <w:r>
        <w:rPr>
          <w:rFonts w:ascii="Times New Roman" w:cs="Times New Roman" w:eastAsia="Times New Roman" w:hAnsi="Times New Roman"/>
          <w:sz w:val="17"/>
          <w:szCs w:val="17"/>
          <w:color w:val="auto"/>
        </w:rPr>
        <w:t>has been serving as our Chief Financial Officer since 2023. Prior to her current position, Ms. Shemesh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Rojansky joined Mobileye in 2016 as our Corporate Controller and subsequently became our Director of Finance, Vice President of Finance and Acting Chief Financial Officer. Prior to joining Mobileye, Ms. Shemesh Rojansky served in financial reporting roles at Tnuva Ltd, including head of consolidation and reporting, for three years from 2013 to 2016. Prior to that, Ms. Shemesh Rojansky served in several roles in the accounting consulting services and advisory group at PricewaterhouseCoopers Israel, including senior manager. Ms. Shemesh Rojansky earned both her M.B.A. in financial management and her B.A. in accounting and law from Tel Aviv University in Israel and is a licensed certified public accountant.</w:t>
      </w:r>
    </w:p>
    <w:p>
      <w:pPr>
        <w:spacing w:after="0" w:line="17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Boaz Ouriel </w:t>
      </w:r>
      <w:r>
        <w:rPr>
          <w:rFonts w:ascii="Times New Roman" w:cs="Times New Roman" w:eastAsia="Times New Roman" w:hAnsi="Times New Roman"/>
          <w:sz w:val="17"/>
          <w:szCs w:val="17"/>
          <w:color w:val="auto"/>
        </w:rPr>
        <w:t>has been serving as our Executive Vice President, EPG Software since 2023. From December 2017 to April 2022,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our acquisition by Intel, Mr. Ouriel was an Intel employee assigned to work for Mobileye. Mr. Ouriel joined Mobileye as an employee in April 2022 as Senior Director Software Development Manager. Mr. Ouriel has over 20 years’ experience at Intel and Mobileye leading the development of middleware and low-level software, with a focus on performance optimization and a specialty in building robust compilers and unique compute-oriented programmable accelerators. Mr. Ouriel received a BSc in applied mathematics and computer science from the Technion, where he graduated with honors, and an executive MBA from the Recanati Graduate School of Business Administration. He is an OpenCL veteran, contributing to the definition of the OpenCL standard, is the former editor of the SPIR-V 1.0 specification, and the recipient of numerous patents and awards in his field.</w:t>
      </w:r>
    </w:p>
    <w:p>
      <w:pPr>
        <w:spacing w:after="0" w:line="172"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Shai Shalev-Shwartz </w:t>
      </w:r>
      <w:r>
        <w:rPr>
          <w:rFonts w:ascii="Times New Roman" w:cs="Times New Roman" w:eastAsia="Times New Roman" w:hAnsi="Times New Roman"/>
          <w:sz w:val="17"/>
          <w:szCs w:val="17"/>
          <w:color w:val="auto"/>
        </w:rPr>
        <w:t>has been serving as our Chief Technology Officer since 2018. From 2017 to 2022, following our acquisition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Intel, Professor Shalev-Shwartz served as a Senior Fellow of Intel.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179"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b w:val="1"/>
          <w:bCs w:val="1"/>
          <w:color w:val="auto"/>
        </w:rPr>
        <w:t xml:space="preserve">Nimrod Nehushtan </w:t>
      </w:r>
      <w:r>
        <w:rPr>
          <w:rFonts w:ascii="Times New Roman" w:cs="Times New Roman" w:eastAsia="Times New Roman" w:hAnsi="Times New Roman"/>
          <w:sz w:val="17"/>
          <w:szCs w:val="17"/>
          <w:color w:val="auto"/>
        </w:rPr>
        <w:t>has been serving as our Executive Vice President of Business Development &amp; Strategy and Co-Manager of REM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2023. Prior to his current position, Mr. Nehushtan served as Senior Vice President of Business Development &amp; Strategy and Co-Manager of REM. Prior to that, Mr. Nehushtan served as Co-General Manager of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division of Mobileye, overseeing product development and leading business operations and growth. Mr. Nehushtan joined Mobileye in 2017 as a Project Manager. Prior to joining Mobileye, Mr. Nehushtan was an engineer at Israel Aerospace Industries. Mr. Nehushtan earned his B.Sc. in mechanical engineering from Tel Aviv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226"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Our business is subject to a number of risks and uncertainties that you should understand before making an investment decision. These include:</w:t>
      </w:r>
    </w:p>
    <w:p>
      <w:pPr>
        <w:spacing w:after="0" w:line="147" w:lineRule="exact"/>
        <w:rPr>
          <w:sz w:val="20"/>
          <w:szCs w:val="20"/>
          <w:color w:val="auto"/>
        </w:rPr>
      </w:pPr>
    </w:p>
    <w:p>
      <w:pPr>
        <w:jc w:val="both"/>
        <w:ind w:left="660" w:hanging="314"/>
        <w:spacing w:after="0" w:line="27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63" w:lineRule="exact"/>
        <w:rPr>
          <w:rFonts w:ascii="Times New Roman" w:cs="Times New Roman" w:eastAsia="Times New Roman" w:hAnsi="Times New Roman"/>
          <w:sz w:val="17"/>
          <w:szCs w:val="17"/>
          <w:color w:val="auto"/>
        </w:rPr>
      </w:pPr>
    </w:p>
    <w:p>
      <w:pPr>
        <w:jc w:val="both"/>
        <w:ind w:left="660" w:hanging="314"/>
        <w:spacing w:after="0" w:line="27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6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market.</w:t>
      </w:r>
    </w:p>
    <w:p>
      <w:pPr>
        <w:spacing w:after="0" w:line="216" w:lineRule="exact"/>
        <w:rPr>
          <w:rFonts w:ascii="Times New Roman" w:cs="Times New Roman" w:eastAsia="Times New Roman" w:hAnsi="Times New Roman"/>
          <w:sz w:val="17"/>
          <w:szCs w:val="17"/>
          <w:color w:val="auto"/>
        </w:rPr>
      </w:pPr>
    </w:p>
    <w:p>
      <w:pPr>
        <w:jc w:val="both"/>
        <w:ind w:left="660" w:hanging="314"/>
        <w:spacing w:after="0" w:line="197"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previously experienced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or other critical parts would adversely affect our business, results of operations, and financial condition.</w:t>
      </w:r>
    </w:p>
    <w:p>
      <w:pPr>
        <w:spacing w:after="0" w:line="194"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46" w:lineRule="exact"/>
        <w:rPr>
          <w:rFonts w:ascii="Times New Roman" w:cs="Times New Roman" w:eastAsia="Times New Roman" w:hAnsi="Times New Roman"/>
          <w:sz w:val="17"/>
          <w:szCs w:val="17"/>
          <w:color w:val="auto"/>
        </w:rPr>
      </w:pPr>
    </w:p>
    <w:p>
      <w:pPr>
        <w:ind w:left="660" w:right="20" w:hanging="314"/>
        <w:spacing w:after="0" w:line="29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costs of the materials and other components that we use in our solutions would adversely affect our business, results of operations, and financial condition.</w:t>
      </w:r>
    </w:p>
    <w:p>
      <w:pPr>
        <w:spacing w:after="0" w:line="146" w:lineRule="exact"/>
        <w:rPr>
          <w:rFonts w:ascii="Times New Roman" w:cs="Times New Roman" w:eastAsia="Times New Roman" w:hAnsi="Times New Roman"/>
          <w:sz w:val="17"/>
          <w:szCs w:val="17"/>
          <w:color w:val="auto"/>
        </w:rPr>
      </w:pPr>
    </w:p>
    <w:p>
      <w:pPr>
        <w:jc w:val="both"/>
        <w:ind w:left="660" w:hanging="314"/>
        <w:spacing w:after="0" w:line="27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6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risks related to trade policies, sanctions, and import and export controls.</w:t>
      </w:r>
    </w:p>
    <w:p>
      <w:pPr>
        <w:spacing w:after="0" w:line="223" w:lineRule="exact"/>
        <w:rPr>
          <w:rFonts w:ascii="Times New Roman" w:cs="Times New Roman" w:eastAsia="Times New Roman" w:hAnsi="Times New Roman"/>
          <w:sz w:val="17"/>
          <w:szCs w:val="17"/>
          <w:color w:val="auto"/>
        </w:rPr>
      </w:pPr>
    </w:p>
    <w:p>
      <w:pPr>
        <w:jc w:val="both"/>
        <w:ind w:left="660" w:hanging="314"/>
        <w:spacing w:after="0" w:line="27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63" w:lineRule="exact"/>
        <w:rPr>
          <w:rFonts w:ascii="Times New Roman" w:cs="Times New Roman" w:eastAsia="Times New Roman" w:hAnsi="Times New Roman"/>
          <w:sz w:val="17"/>
          <w:szCs w:val="17"/>
          <w:color w:val="auto"/>
        </w:rPr>
      </w:pPr>
    </w:p>
    <w:p>
      <w:pPr>
        <w:jc w:val="both"/>
        <w:ind w:left="660" w:hanging="314"/>
        <w:spacing w:after="0" w:line="27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63" w:lineRule="exact"/>
        <w:rPr>
          <w:rFonts w:ascii="Times New Roman" w:cs="Times New Roman" w:eastAsia="Times New Roman" w:hAnsi="Times New Roman"/>
          <w:sz w:val="17"/>
          <w:szCs w:val="17"/>
          <w:color w:val="auto"/>
        </w:rPr>
      </w:pPr>
    </w:p>
    <w:p>
      <w:pPr>
        <w:jc w:val="both"/>
        <w:ind w:left="660" w:hanging="314"/>
        <w:spacing w:after="0" w:line="274"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378"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the services of Professor Amnon Shashua, our President and Chief Executive Officer.</w:t>
      </w:r>
    </w:p>
    <w:p>
      <w:pPr>
        <w:spacing w:after="0" w:line="223"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attract, retain, and motivate key employees, then our business, results of operations, and financial condition would be adversely affected.</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integration risks and costs associated with companies, assets, employees, products, and technologies that we have or that we may acquire.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660" w:hanging="314"/>
        <w:spacing w:after="0" w:line="296"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technology systems and networks and cybersecurity incidents could adversely affect our business, results of operations, and financial condition.</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and other disruptions of our in-vehicle systems and related data could impact the safety of our end users and reduce confidence in us and our solutions.</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uncertain economic environment and inflationary conditions may adversely affect global vehicle production and demand for our solutions.</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OEMs are unable to maintain and increase consumer acceptance of ADAS and autonomous driving technology, our business, results of operations, and financial condition would be adversely affected.</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results of operations, and financial condition may be adversely affected by changes in automotive safety regulations or concerns that drive regulations that could increase our costs or delay or halt adoption of our solutions.</w:t>
      </w:r>
    </w:p>
    <w:p>
      <w:pPr>
        <w:spacing w:after="0" w:line="146" w:lineRule="exact"/>
        <w:rPr>
          <w:rFonts w:ascii="Times New Roman" w:cs="Times New Roman" w:eastAsia="Times New Roman" w:hAnsi="Times New Roman"/>
          <w:sz w:val="17"/>
          <w:szCs w:val="17"/>
          <w:color w:val="auto"/>
        </w:rPr>
      </w:pPr>
    </w:p>
    <w:p>
      <w:pPr>
        <w:jc w:val="both"/>
        <w:ind w:left="660" w:hanging="314"/>
        <w:spacing w:after="0" w:line="270"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has the effect of concentrating voting control with Intel, and Intel will beneficially own shares of our Class B common stock, representing a majority of the shares of our common stock and approximately 98.6% of the voting power of our outstanding common stock as of December 28, 2024. This will limit or preclude your ability to influence corporate matters.</w:t>
      </w:r>
    </w:p>
    <w:p>
      <w:pPr>
        <w:spacing w:after="0" w:line="168" w:lineRule="exact"/>
        <w:rPr>
          <w:rFonts w:ascii="Times New Roman" w:cs="Times New Roman" w:eastAsia="Times New Roman" w:hAnsi="Times New Roman"/>
          <w:sz w:val="17"/>
          <w:szCs w:val="17"/>
          <w:color w:val="auto"/>
        </w:rPr>
      </w:pPr>
    </w:p>
    <w:p>
      <w:pPr>
        <w:jc w:val="both"/>
        <w:ind w:left="660" w:hanging="314"/>
        <w:spacing w:after="0" w:line="270"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spacing w:after="0" w:line="168"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in Israel affect our operations and may limit our ability to produce and sell our solutions.</w:t>
      </w:r>
    </w:p>
    <w:p>
      <w:pPr>
        <w:spacing w:after="0" w:line="223"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disrupted by the obligations of personnel to perform military service as a result of current or future military actions involving Israel.</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In addition to the other information included in this Annual Report on Form 10-K and in our other filings with the SEC, the following risk factors should be considered in evaluating our business and future prospects. These risk factors represent what we believe to be the known material risk factors with respect to us and our business. Our business, operating results, cash flows and financial condition are subject to these risks and uncertainties, any of which could cause actual results to vary materially from recent results or from anticipated future results.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61" w:lineRule="exact"/>
        <w:rPr>
          <w:sz w:val="20"/>
          <w:szCs w:val="20"/>
          <w:color w:val="auto"/>
        </w:rPr>
      </w:pPr>
    </w:p>
    <w:p>
      <w:pPr>
        <w:jc w:val="both"/>
        <w:ind w:firstLine="314"/>
        <w:spacing w:after="0" w:line="247" w:lineRule="auto"/>
        <w:rPr>
          <w:sz w:val="20"/>
          <w:szCs w:val="20"/>
          <w:color w:val="auto"/>
        </w:rPr>
      </w:pPr>
      <w:r>
        <w:rPr>
          <w:rFonts w:ascii="Times New Roman" w:cs="Times New Roman" w:eastAsia="Times New Roman" w:hAnsi="Times New Roman"/>
          <w:sz w:val="17"/>
          <w:szCs w:val="17"/>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and our software-defined imaging radar, and, in the case of AMaaS,source lidar cost effectively, all of which are important components of our planned approach to address the AMaaS and consumer AV markets. This report may contain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particularly as our products become increasingly complex. The development of these and other new and enhanced solutions requires us to invest resources in research and development and also requires that we:</w:t>
      </w:r>
    </w:p>
    <w:p>
      <w:pPr>
        <w:spacing w:after="0" w:line="200" w:lineRule="exact"/>
        <w:rPr>
          <w:sz w:val="20"/>
          <w:szCs w:val="20"/>
          <w:color w:val="auto"/>
        </w:rPr>
      </w:pPr>
    </w:p>
    <w:p>
      <w:pPr>
        <w:spacing w:after="0" w:line="205" w:lineRule="exact"/>
        <w:rPr>
          <w:sz w:val="20"/>
          <w:szCs w:val="20"/>
          <w:color w:val="auto"/>
        </w:rPr>
      </w:pPr>
    </w:p>
    <w:p>
      <w:pPr>
        <w:ind w:left="660" w:hanging="314"/>
        <w:spacing w:after="0" w:line="268"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innovative, accurate, and safety- and comfort-enhancing functions that differentiate our solutions from those of our competitors;</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improve the reliability of, and reduce and ultimately remove the requirement for human intervention with, our autonomous driving technology;</w:t>
      </w:r>
    </w:p>
    <w:p>
      <w:pPr>
        <w:spacing w:after="0" w:line="14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cooperate effectively on new designs and development with our customers, suppliers and partners;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effectively to technological changes and product announcements by our competitors; and</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to changing customer requirements, market conditions, and regulatory and rating standards quickly and cost-effectively.</w:t>
      </w:r>
    </w:p>
    <w:p>
      <w:pPr>
        <w:spacing w:after="0" w:line="224" w:lineRule="exact"/>
        <w:rPr>
          <w:sz w:val="20"/>
          <w:szCs w:val="20"/>
          <w:color w:val="auto"/>
        </w:rPr>
      </w:pPr>
    </w:p>
    <w:p>
      <w:pPr>
        <w:jc w:val="both"/>
        <w:ind w:firstLine="314"/>
        <w:spacing w:after="0" w:line="239" w:lineRule="auto"/>
        <w:rPr>
          <w:sz w:val="20"/>
          <w:szCs w:val="20"/>
          <w:color w:val="auto"/>
        </w:rPr>
      </w:pPr>
      <w:r>
        <w:rPr>
          <w:rFonts w:ascii="Times New Roman" w:cs="Times New Roman" w:eastAsia="Times New Roman" w:hAnsi="Times New Roman"/>
          <w:sz w:val="17"/>
          <w:szCs w:val="17"/>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we expect that our gross margin will decrease on a percentage basis because of the greater third-party hardware content.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61"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Compound AI and other AI technologies, software-defined imaging radar,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sensor fusion architecture,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technology and our RSS model, and our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market.</w:t>
      </w:r>
    </w:p>
    <w:p>
      <w:pPr>
        <w:spacing w:after="0" w:line="22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387"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in 2017. Further, in the third quarter of 2024, Zeekr announced their decision to utilize their in-house system instead of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for at least a major portion of production for their 001 model going forward. Mercedes-Benz is also employing its own in-house solutions, with others such as NIO, Volvo Cars, and Xpeng Motors also pursuing in-house solutions for portions of the ADAS software stack. In addition, our Tier 1 customers may be developing or may in the future develop competing solutions.</w:t>
      </w:r>
    </w:p>
    <w:p>
      <w:pPr>
        <w:spacing w:after="0" w:line="18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 Our competitors in the software-only category include StradVision, Autobrains and Wayve.</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Cruise, Motional, Waymo, and Zoox in the United States and Europe and Auto X, Baidu, Deeproute.ai, Didi Chuxing, Momenta, and WeRide in China. Consumer AV competitors include Sony, and Tesla, who are developing self-driving vehicles for consumers.</w:t>
      </w:r>
    </w:p>
    <w:p>
      <w:pPr>
        <w:spacing w:after="0" w:line="170" w:lineRule="exact"/>
        <w:rPr>
          <w:sz w:val="20"/>
          <w:szCs w:val="20"/>
          <w:color w:val="auto"/>
        </w:rPr>
      </w:pPr>
    </w:p>
    <w:p>
      <w:pPr>
        <w:ind w:right="120" w:firstLine="314"/>
        <w:spacing w:after="0" w:line="270" w:lineRule="auto"/>
        <w:rPr>
          <w:sz w:val="20"/>
          <w:szCs w:val="20"/>
          <w:color w:val="auto"/>
        </w:rPr>
      </w:pPr>
      <w:r>
        <w:rPr>
          <w:rFonts w:ascii="Times New Roman" w:cs="Times New Roman" w:eastAsia="Times New Roman" w:hAnsi="Times New Roman"/>
          <w:sz w:val="17"/>
          <w:szCs w:val="17"/>
          <w:color w:val="auto"/>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mobilityservices on their own platform. See “Item 1.Business — Our Competition.”</w:t>
      </w:r>
    </w:p>
    <w:p>
      <w:pPr>
        <w:spacing w:after="0" w:line="157"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7"/>
          <w:szCs w:val="17"/>
          <w:b w:val="1"/>
          <w:bCs w:val="1"/>
          <w:i w:val="1"/>
          <w:iCs w:val="1"/>
          <w:color w:val="auto"/>
        </w:rPr>
        <w:t>We have previously experienced constraints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SoCs or other critical parts would adversely affect our business, results of operations, and financial condition.</w:t>
      </w:r>
    </w:p>
    <w:p>
      <w:pPr>
        <w:spacing w:after="0" w:line="192" w:lineRule="exact"/>
        <w:rPr>
          <w:sz w:val="20"/>
          <w:szCs w:val="20"/>
          <w:color w:val="auto"/>
        </w:rPr>
      </w:pPr>
    </w:p>
    <w:p>
      <w:pPr>
        <w:jc w:val="both"/>
        <w:ind w:firstLine="314"/>
        <w:spacing w:after="0" w:line="204" w:lineRule="auto"/>
        <w:rPr>
          <w:sz w:val="20"/>
          <w:szCs w:val="20"/>
          <w:color w:val="auto"/>
        </w:rPr>
      </w:pPr>
      <w:r>
        <w:rPr>
          <w:rFonts w:ascii="Times New Roman" w:cs="Times New Roman" w:eastAsia="Times New Roman" w:hAnsi="Times New Roman"/>
          <w:sz w:val="17"/>
          <w:szCs w:val="17"/>
          <w:color w:val="auto"/>
        </w:rPr>
        <w:t>In 2021 and 2022, the semiconductor industry experienced widespread shortages of substrates and other components and available foundry manufacturing capacity. These factors, combined with the long lead times associated with wafer production, contributed to a shortage of semiconductors. During 2021 and 2022,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causing a significant reduction in our inventory level, and we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as a result of the limited supply during 2021.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or ECUs (including for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Since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is the core of our ADAS and autonomous driving solutions, continued, acute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to meet our production needs would impair our ability to meet our customers’ requirements in a timely manner, and would affect our business, results of operations, and financial condition potentially in an adverse manner.</w:t>
      </w:r>
    </w:p>
    <w:p>
      <w:pPr>
        <w:spacing w:after="0" w:line="202" w:lineRule="exact"/>
        <w:rPr>
          <w:sz w:val="20"/>
          <w:szCs w:val="20"/>
          <w:color w:val="auto"/>
        </w:rPr>
      </w:pPr>
    </w:p>
    <w:p>
      <w:pPr>
        <w:jc w:val="both"/>
        <w:ind w:firstLine="314"/>
        <w:spacing w:after="0" w:line="245" w:lineRule="auto"/>
        <w:rPr>
          <w:sz w:val="20"/>
          <w:szCs w:val="20"/>
          <w:color w:val="auto"/>
        </w:rPr>
      </w:pPr>
      <w:r>
        <w:rPr>
          <w:rFonts w:ascii="Times New Roman" w:cs="Times New Roman" w:eastAsia="Times New Roman" w:hAnsi="Times New Roman"/>
          <w:sz w:val="17"/>
          <w:szCs w:val="17"/>
          <w:color w:val="auto"/>
        </w:rPr>
        <w:t>Moreover, the reoccurrence of global semiconductor shortages could constrain production and cause production delays by automakers, which could then result in reduced or delayed demand for our solutions. In addition, any event, including for example the COVID-19 pandemic from 2020 through 2022, causing, or leading to, port congestion, intermittent supplier shutdowns, and/or delays in the delivery of critical components, could result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previously restricted in connection with efforts to address the COVID-19 pandemic. To mitigate supply chain constraints, we monitor inventory levels on an on-going basis and may further build up inventories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Accumulating such additional inventories could require substantial amounts of capital and may expose us to risks regarding the obsolescence of such chips.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STMicroelectronics to manufacture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SoCs.</w:t>
      </w:r>
    </w:p>
    <w:p>
      <w:pPr>
        <w:spacing w:after="0" w:line="124" w:lineRule="exact"/>
        <w:rPr>
          <w:sz w:val="20"/>
          <w:szCs w:val="20"/>
          <w:color w:val="auto"/>
        </w:rPr>
      </w:pPr>
    </w:p>
    <w:p>
      <w:pPr>
        <w:jc w:val="both"/>
        <w:ind w:firstLine="314"/>
        <w:spacing w:after="0" w:line="211" w:lineRule="auto"/>
        <w:rPr>
          <w:sz w:val="20"/>
          <w:szCs w:val="20"/>
          <w:color w:val="auto"/>
        </w:rPr>
      </w:pPr>
      <w:r>
        <w:rPr>
          <w:rFonts w:ascii="Times New Roman" w:cs="Times New Roman" w:eastAsia="Times New Roman" w:hAnsi="Times New Roman"/>
          <w:sz w:val="17"/>
          <w:szCs w:val="17"/>
          <w:color w:val="auto"/>
        </w:rPr>
        <w:t>We currently purchase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from STMicroelectronics. Because of the complex proprietary nature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any transition from STMicroelectronics to a new supplier or, if there were a disaster at any of STMicroelectronics’ facilities involved in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or cease operations altogether. Moreover, certain critical manufacturing steps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including wafer fabrication and advanced packaging, are performed by a limited number of suppliers, including Taiwan Semiconductor Manufacturing Company Limited (“TSMC”). Any interruptions or delays in these manufacturing steps due to capacity constraints, equipment failures or geopolitical issues could significantly affect STMicroelectronics’s ability to manufacture and deliver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on time, impacting our operations and customer relationships. STMicroelectronics depends on TSMC as its subcontractor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particularly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and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6 SoCs, and as a result, we are also vulnerable to the risk that TSMC may be unable to meet demand or cease operations altogether. In addition, we may be affected by supply constraints and increased costs involving STMicroelectronics and TSMC resulting from any reoccurrence of the global semiconductor shortage. See “— We have previously experienced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or other critical parts would adversely affect our business, results of operations, and financial condition.”</w:t>
      </w:r>
    </w:p>
    <w:p>
      <w:pPr>
        <w:spacing w:after="0" w:line="85" w:lineRule="exact"/>
        <w:rPr>
          <w:sz w:val="20"/>
          <w:szCs w:val="20"/>
          <w:color w:val="auto"/>
        </w:rPr>
      </w:pPr>
    </w:p>
    <w:p>
      <w:pPr>
        <w:jc w:val="both"/>
        <w:ind w:firstLine="314"/>
        <w:spacing w:after="0" w:line="238" w:lineRule="auto"/>
        <w:rPr>
          <w:sz w:val="20"/>
          <w:szCs w:val="20"/>
          <w:color w:val="auto"/>
        </w:rPr>
      </w:pPr>
      <w:r>
        <w:rPr>
          <w:rFonts w:ascii="Times New Roman" w:cs="Times New Roman" w:eastAsia="Times New Roman" w:hAnsi="Times New Roman"/>
          <w:sz w:val="17"/>
          <w:szCs w:val="17"/>
          <w:color w:val="auto"/>
        </w:rPr>
        <w:t>TSMC is located in Taiwan, and our ability to receive sufficient supplies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could be adversely affected by events in Taiwan, China and the broader region, such as natural disasters in Taiwan, including earthquakes, drought and typhoons, escalations of tensions between the People’s Republic of China and Taiwan, including resulting from the People’s Republic of China’s step up of military exercises around Taiwan, political unrest, trade restrictions, war, or other geopolitical issues. These same factors may also adversely affect the global supply of microchips and cause additional constraints on global automotive production.</w:t>
      </w:r>
    </w:p>
    <w:p>
      <w:pPr>
        <w:spacing w:after="0" w:line="18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42"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A large number of direct and indirect suppliers and vendors provide materials, equipment, and services that are used in the production of our solutions and other aspects of our business. Where possible, we seek to have several sources of supply, and to ensure our suppliers and vendors have multiple sources of supply as well. However, for certain materials, equipment, and services, we, and/or our suppliers and vendors, rely on a single or a limited number of direct and indirect suppliers and vendors, or upon direct and indirect suppliers and vendors in a single location, for example STMicroelectronics and TSMC. In addition, direct and indirect supplier and vendor consolidation, financial health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mapping system,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AMaaS solutions including the Moovit platform, and a failure of such cloud services would result in interruptions to our services. In addition, the semiconductor industry has previously experienced widespread shortages of substrates. See “— We have previously experienced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w:t>
      </w:r>
    </w:p>
    <w:p>
      <w:pPr>
        <w:spacing w:after="0" w:line="9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face equipment failures, experience financial instability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77"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Increases in costs of the materials and other components that we use in our solutions would adversely affect our business, results of operations, and financial condition.</w:t>
      </w:r>
    </w:p>
    <w:p>
      <w:pPr>
        <w:spacing w:after="0" w:line="142" w:lineRule="exact"/>
        <w:rPr>
          <w:sz w:val="20"/>
          <w:szCs w:val="20"/>
          <w:color w:val="auto"/>
        </w:rPr>
      </w:pPr>
    </w:p>
    <w:p>
      <w:pPr>
        <w:jc w:val="both"/>
        <w:ind w:firstLine="314"/>
        <w:spacing w:after="0" w:line="234" w:lineRule="auto"/>
        <w:rPr>
          <w:sz w:val="20"/>
          <w:szCs w:val="20"/>
          <w:color w:val="auto"/>
        </w:rPr>
      </w:pPr>
      <w:r>
        <w:rPr>
          <w:rFonts w:ascii="Times New Roman" w:cs="Times New Roman" w:eastAsia="Times New Roman" w:hAnsi="Times New Roman"/>
          <w:sz w:val="17"/>
          <w:szCs w:val="17"/>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and with other suppliers does not provide us with long-term pricing or quantity guarantees. As a result of the global semiconductor shortage in 2021 and 2022 as well as inflationary pressures, we have experienced and may experience in the future increases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We have adjusted, and continue to seek to adjust, the prices charged to our customers to offset these cost increases, but anticipate that, despite such price increases, our percentage gross margin may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9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53"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Our software and hardware, including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and AI technologies, are complex and, from time to time, have had, and could have or could be alleged to have, defects in design or manufacturing, inadequate, inaccurate, biased or otherwise flawed data or algorithms used to train certain AI technologies,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18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Depending on the terms under which we supply products to a Tier 1 customer or an OEM, vehicle manufacturers have held and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381" w:lineRule="exact"/>
        <w:rPr>
          <w:sz w:val="20"/>
          <w:szCs w:val="20"/>
          <w:color w:val="auto"/>
        </w:rPr>
      </w:pPr>
    </w:p>
    <w:p>
      <w:pPr>
        <w:jc w:val="both"/>
        <w:ind w:firstLine="314"/>
        <w:spacing w:after="0" w:line="209" w:lineRule="auto"/>
        <w:rPr>
          <w:sz w:val="20"/>
          <w:szCs w:val="20"/>
          <w:color w:val="auto"/>
        </w:rPr>
      </w:pPr>
      <w:r>
        <w:rPr>
          <w:rFonts w:ascii="Times New Roman" w:cs="Times New Roman" w:eastAsia="Times New Roman" w:hAnsi="Times New Roman"/>
          <w:sz w:val="17"/>
          <w:szCs w:val="17"/>
          <w:color w:val="auto"/>
        </w:rPr>
        <w:t>While STMicroelectronics is responsible for quality control and procedures for testing and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to our specifications, we retain liability for failure in production caused by defective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design or error. Further, although we use disclaimers, limitations of liability, and similar provisions in our agreements, there is no assurance that any or all of these provisions will prove to be effective barriers to product liability claims with respect to our products.</w:t>
      </w:r>
    </w:p>
    <w:p>
      <w:pPr>
        <w:spacing w:after="0" w:line="194" w:lineRule="exact"/>
        <w:rPr>
          <w:sz w:val="20"/>
          <w:szCs w:val="20"/>
          <w:color w:val="auto"/>
        </w:rPr>
      </w:pPr>
    </w:p>
    <w:p>
      <w:pPr>
        <w:jc w:val="both"/>
        <w:ind w:firstLine="314"/>
        <w:spacing w:after="0" w:line="239" w:lineRule="auto"/>
        <w:rPr>
          <w:sz w:val="20"/>
          <w:szCs w:val="20"/>
          <w:color w:val="auto"/>
        </w:rPr>
      </w:pPr>
      <w:r>
        <w:rPr>
          <w:rFonts w:ascii="Times New Roman" w:cs="Times New Roman" w:eastAsia="Times New Roman" w:hAnsi="Times New Roman"/>
          <w:sz w:val="17"/>
          <w:szCs w:val="17"/>
          <w:color w:val="auto"/>
        </w:rPr>
        <w:t>In addition, although we currently maintain casualty insurance, there is no assurance that such insurance will be adequate to cover any or all of our potential losses, including due to large deductibles and broad exclusions. Our insurers may also discontinue our insurance coverage or be unable or unwilling to pay a claim, and we may be unable to find replacement insurance on acceptable terms, or at all. In respect of the commercialization of our solutions, including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adequate insurance coverage may be partially or entirely unavailable to cover the associated risks, for which specialized insurance may be required. Losses not covered by insurance may be large, which could harm our results of operations and financial condition.</w:t>
      </w:r>
    </w:p>
    <w:p>
      <w:pPr>
        <w:spacing w:after="0" w:line="196"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notwithstanding the absence of any defect in design or manufacture or other failure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themselves, could result in additional claims being made against us.</w:t>
      </w:r>
    </w:p>
    <w:p>
      <w:pPr>
        <w:spacing w:after="0" w:line="36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61"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 We typically sell our products to Tier 1 suppliers, but increasingly engage directly with OEMs, particularly with respect to our advanced product portfolio, which adds complexity to the sourcing and contracting process for us, and could strain our resources.</w:t>
      </w:r>
    </w:p>
    <w:p>
      <w:pPr>
        <w:spacing w:after="0" w:line="1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367" w:lineRule="exact"/>
        <w:rPr>
          <w:sz w:val="20"/>
          <w:szCs w:val="20"/>
          <w:color w:val="auto"/>
        </w:rPr>
      </w:pPr>
    </w:p>
    <w:p>
      <w:pPr>
        <w:jc w:val="both"/>
        <w:ind w:firstLine="314"/>
        <w:spacing w:after="0" w:line="251" w:lineRule="auto"/>
        <w:rPr>
          <w:sz w:val="20"/>
          <w:szCs w:val="20"/>
          <w:color w:val="auto"/>
        </w:rPr>
      </w:pPr>
      <w:r>
        <w:rPr>
          <w:rFonts w:ascii="Times New Roman" w:cs="Times New Roman" w:eastAsia="Times New Roman" w:hAnsi="Times New Roman"/>
          <w:sz w:val="17"/>
          <w:szCs w:val="17"/>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For example, in the third quarter of 2024, Zeekr announced their decision to utilize their in-house system instead of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for at least a major portion of production for their 001 model going forward.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global material shortage in 2021 and 2022, we worked with our customers to ensure they commit to certain volumes on an annual basis in order to secure quantities. In late 2023, we returned to our pre-global material shortage practice of having customers commit to certain volumes on a quarterly or shorter basis.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183"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In connection with our design wins, we typically receive preliminary estimates from OEMs of their anticipated production volumes for the models relating to those design wins. Those estimates may be revised significantly by the OEMs, potentially multiple times, and may not be representative of future production volumes associated with those design wins, which could be significantly higher or lower than estimated. For example, several automakers decreased their initial 2023 vehicle production projections, and we had to adjust our forecasts accordingly. Furthermore, long development cycles or vehicle model cancellations or postponements would adversely affect our business, results of operations, and financial condition. In addition, in prior periods, including during the global semi-conductor shortage in 2021 and 2022, certain Tier 1 customers increased their orders for components and parts, including our solutions, to counteract the impact of supply chain shortages for auto parts, and we expect following the abatement of such shortages, these Tier 1 customers in turn will utilize such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during prior periods. For example, as a result of our standard planning process for 2024, we became aware in late 2023 that our Tier 1 customers accrued significant excess inventory during 2021 and 2022 in a desire to avoid parts shortages, and in 2023 as a result of lower-than-expected production at certain OEMs. We estimate that our customers used the vast majority of this excess, accrued inventory in 2024 in accordance with our expectations, but there is no guarantee that orders will remain normalized or that our customers won’t build up excess inventory in the future.</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53" w:lineRule="exact"/>
        <w:rPr>
          <w:sz w:val="20"/>
          <w:szCs w:val="20"/>
          <w:color w:val="auto"/>
        </w:rPr>
      </w:pPr>
    </w:p>
    <w:p>
      <w:pPr>
        <w:jc w:val="both"/>
        <w:ind w:firstLine="314"/>
        <w:spacing w:after="0" w:line="250" w:lineRule="auto"/>
        <w:rPr>
          <w:sz w:val="20"/>
          <w:szCs w:val="20"/>
          <w:color w:val="auto"/>
        </w:rPr>
      </w:pPr>
      <w:r>
        <w:rPr>
          <w:rFonts w:ascii="Times New Roman" w:cs="Times New Roman" w:eastAsia="Times New Roman" w:hAnsi="Times New Roman"/>
          <w:sz w:val="17"/>
          <w:szCs w:val="17"/>
          <w:color w:val="auto"/>
        </w:rPr>
        <w:t>We supply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platform directly or through our arrangements with automotive system integrators, known as Tier 1 automotive suppliers, which are direct suppliers to OEMs. In 2024, our three largest Tier 1 customers, which were ZF, Valeo, and Aptiv, accounted for 27%, 20%, and 14%, respectively, of our revenue, compared to 30%, 24%, and 14%, respectively, in 2023. Moreover, in 2024, 15%, 15%, 11%, and 9% of our revenue was derived from the incorporation of our solutions into the vehicle models of four OEMs and a total of 78%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committed to purchasing minimum quantities of certain solutions in 2023. However, with the abatement of global shortages, our customers have generally reverted to our customary practice of committing to purchase quantities of our solutions on a quarterly or shorter basis.</w:t>
      </w:r>
    </w:p>
    <w:p>
      <w:pPr>
        <w:spacing w:after="0" w:line="187"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Our customers and the OEMs that incorporate our solutions may not perform as well as the automotive market as a whole, which in turn could impact our business, results of operations, and financial condition relative to the industry.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success of our AMaaS solutions will depend on their effective deployment and operation by third parties.</w:t>
      </w:r>
    </w:p>
    <w:p>
      <w:pPr>
        <w:spacing w:after="0" w:line="228" w:lineRule="exact"/>
        <w:rPr>
          <w:sz w:val="20"/>
          <w:szCs w:val="20"/>
          <w:color w:val="auto"/>
        </w:rPr>
      </w:pPr>
    </w:p>
    <w:p>
      <w:pPr>
        <w:jc w:val="both"/>
        <w:ind w:firstLine="314"/>
        <w:spacing w:after="0" w:line="220" w:lineRule="auto"/>
        <w:rPr>
          <w:sz w:val="20"/>
          <w:szCs w:val="20"/>
          <w:color w:val="auto"/>
        </w:rPr>
      </w:pPr>
      <w:r>
        <w:rPr>
          <w:rFonts w:ascii="Times New Roman" w:cs="Times New Roman" w:eastAsia="Times New Roman" w:hAnsi="Times New Roman"/>
          <w:sz w:val="17"/>
          <w:szCs w:val="17"/>
          <w:color w:val="auto"/>
        </w:rPr>
        <w:t>The success of our AMaaS directed solutions will depend on our customers and partners, such as transportation network companies, effectively deploying and operating our solution in the future, and their failure to do so may result from factors outside our control. We are collaborating with various business-to-business and business-to-consumer channels for the purpose of deploying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As part of our business-to-business go-to-market strategy, we expect to sell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to a range of shuttle network operators and vehicle OEMs that intend to operate consumer-facing AMaaS, transportation on demand, and delivery services. Additionally, as part of our business-to-customer go-to-market strategy, we expect to deploy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-enabled AMaaS offerings by integrating them with our self-driving vehicles in partnership with transportation network companies. Such third parties may also terminate our partnerships with them. Any failures by third parties to effectively deploy and operate our AMaaS solutions, or the termination of our relationships with any such third parties, would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Developing RoadBook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depends on continued cooperation by OEMs.</w:t>
      </w:r>
    </w:p>
    <w:p>
      <w:pPr>
        <w:spacing w:after="0" w:line="124" w:lineRule="exact"/>
        <w:rPr>
          <w:sz w:val="20"/>
          <w:szCs w:val="20"/>
          <w:color w:val="auto"/>
        </w:rPr>
      </w:pPr>
    </w:p>
    <w:p>
      <w:pPr>
        <w:jc w:val="both"/>
        <w:ind w:firstLine="314"/>
        <w:spacing w:after="0" w:line="189" w:lineRule="auto"/>
        <w:rPr>
          <w:sz w:val="20"/>
          <w:szCs w:val="20"/>
          <w:color w:val="auto"/>
        </w:rPr>
      </w:pPr>
      <w:r>
        <w:rPr>
          <w:rFonts w:ascii="Times New Roman" w:cs="Times New Roman" w:eastAsia="Times New Roman" w:hAnsi="Times New Roman"/>
          <w:sz w:val="17"/>
          <w:szCs w:val="17"/>
          <w:color w:val="auto"/>
        </w:rPr>
        <w:t>The success of our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systems requires significant amounts of fresh mapping data from series production vehicles around the world in order to develop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our Cloud-Enhanced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Surround ADAS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systems will not perform as expected, which would adversely affect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Professor Amnon Shashua, our President and Chief Executive Officer.</w:t>
      </w:r>
    </w:p>
    <w:p>
      <w:pPr>
        <w:spacing w:after="0" w:line="22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38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retain, and motivate key employees, then our business, results of operations, and financial condition would be adversely affected.</w:t>
      </w:r>
    </w:p>
    <w:p>
      <w:pPr>
        <w:spacing w:after="0" w:line="142"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6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face integration risks and costs associated with companies, assets, employees, products, and technologies that we have or that we may acquire.</w:t>
      </w:r>
    </w:p>
    <w:p>
      <w:pPr>
        <w:spacing w:after="0" w:line="142"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in the future, which may not be available on terms acceptable to us, or at all.</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 majority of our operating expenses are for research and development activities. Our capital requirements will depend on many factors, including, but not limited to:</w:t>
      </w:r>
    </w:p>
    <w:p>
      <w:pPr>
        <w:spacing w:after="0" w:line="147" w:lineRule="exact"/>
        <w:rPr>
          <w:sz w:val="20"/>
          <w:szCs w:val="20"/>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advancements;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solutions and solution enhancements, and the overall level of sales of our solutions;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expenses;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relationships with our customers and suppliers;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control costs;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expenses;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enhancements to our infrastructure and systems and any capital improvements to our facilities;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acquisitions of businesses and product lines; and</w:t>
      </w:r>
    </w:p>
    <w:p>
      <w:pPr>
        <w:spacing w:after="0" w:line="223"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including any remaining effects from the COVID-19 pandemic, inflation, rising interest rates, and international conflicts and their impact on the automotive industry in particular.</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affected by fluctuations in currency exchange rates, including those in connection with recent inflationary trends in the United States.</w:t>
      </w:r>
    </w:p>
    <w:p>
      <w:pPr>
        <w:spacing w:after="0" w:line="142"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and the Japanese Yen. Although most of our sales occur in U.S. dollars, and our financial results are reported in U.S. dollars, the payroll and other operating expenses that are denominated in New Israeli Shekels are well above half of these expenses.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In 2024, the Company initiated a foreign currency cash flow hedging program, designed to hedge the Company’s foreign exchange rate risk resulting from its ILS payroll expenses, but there is no guarantee that volatility in exchange rates will not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historical financial information may not be representative of our results as an independent public company.</w:t>
      </w:r>
    </w:p>
    <w:p>
      <w:pPr>
        <w:spacing w:after="0" w:line="22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historical financial information included in this Annual Report on Form 10-K may not necessarily reflect our results of operations, financial position, and cash flows in the future or what they would have been had we been a separate, stand-alone company during the years presented. Our historical financial data presented in this report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See “Item 7. Management’s Discussion and Analysis of Financial Condition and Results of Operations” and our historical financial statements and the accompanying notes included elsewhere in this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holding company.</w:t>
      </w:r>
    </w:p>
    <w:p>
      <w:pPr>
        <w:spacing w:after="0" w:line="228"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Privacy, Data, and Cybersecurity</w:t>
      </w: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Interruptions to our information technology systems and networks and cybersecurity incidents could adversely affect our business, results of operations, and financial condition.</w:t>
      </w:r>
    </w:p>
    <w:p>
      <w:pPr>
        <w:spacing w:after="0" w:line="142"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logical, electronic, and organizational measures designed to safeguard and secure our systems to prevent a data breach or compromise, and to prevent damage to or downtime of our systems, and although we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Additionally, any contractual protections with such third parties, including our right to indemnification, if any at all, may be limited or insufficient to prevent a negative impact on our business from such cyberattacks. Despite the implementation of preventative and detective security controls, our and such third parties’ IT systems are vulnerable to damage, shutdown, or interruption from a variety of sources, including telecommunications or network failures or interruptions, system malfunction, natural disasters, cyber-crime, terrorism, and war. Additionally, our IT systems and products may be vulnerable to malicious acts by hackers, including through use of computer viruses, malware (including ransomware), phishing attacks, or denial of service attacks.</w:t>
      </w:r>
    </w:p>
    <w:p>
      <w:pPr>
        <w:spacing w:after="0" w:line="175"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may see enhanced effectiveness through the use of AI, and if successful, may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81"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including through the use of AI, thereby increasing the difficulty of successfully defending against them or implementing adequate preventative measures. As a result of and following the COVID-19 pandemic, remote work and remote access to our network and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or regulatory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Security breaches and other disruptions of our in-vehicle systems and related data could impact the safety of our end users and reduce confidence in us and our solutions.</w:t>
      </w:r>
    </w:p>
    <w:p>
      <w:pPr>
        <w:spacing w:after="0" w:line="142"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and safety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increased car connectivity and over-the-air updates, our solutions may increasingly be subject to cyber threats.</w:t>
      </w:r>
    </w:p>
    <w:p>
      <w:pPr>
        <w:spacing w:after="0" w:line="170" w:lineRule="exact"/>
        <w:rPr>
          <w:sz w:val="20"/>
          <w:szCs w:val="20"/>
          <w:color w:val="auto"/>
        </w:rPr>
      </w:pPr>
    </w:p>
    <w:p>
      <w:pPr>
        <w:jc w:val="both"/>
        <w:ind w:firstLine="314"/>
        <w:spacing w:after="0" w:line="227" w:lineRule="auto"/>
        <w:rPr>
          <w:sz w:val="20"/>
          <w:szCs w:val="20"/>
          <w:color w:val="auto"/>
        </w:rPr>
      </w:pPr>
      <w:r>
        <w:rPr>
          <w:rFonts w:ascii="Times New Roman" w:cs="Times New Roman" w:eastAsia="Times New Roman" w:hAnsi="Times New Roman"/>
          <w:sz w:val="17"/>
          <w:szCs w:val="17"/>
          <w:color w:val="auto"/>
        </w:rPr>
        <w:t>We also transmit and store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data on the cloud and operate MaaS connectivity infrastructure with Amazon Web Services, and we depend on Amazon Web Services for securing their underlying infrastructure for the data stored on it. Hackers may attempt to infiltrate, steal, corrupt, or manipulate such data on the cloud, which could also result in our in-vehicle systems malfunctioning.</w:t>
      </w:r>
    </w:p>
    <w:p>
      <w:pPr>
        <w:spacing w:after="0" w:line="193"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outside such vehicles, or result in legal or regulatory claims or proceedings, liability, or regulatory penalties. Moreover, current as well as new law, such as the data law in Massachusetts that permits third-party access to vehicle data and related systems, could expose our vehicle systems and vehicles incorporating our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161"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may increase as a result of the future introduction of our MaaS solutions, including any integration of Moovit, which may provide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We may also be required to expend significant resources to investigate a potential data breach. A major data breach or a major breach of our network security and systems may result in fines, penalties, and damages, harm our reputation, and adversely affect our business, results of operations, and financial condition.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appropriate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including in each case in respect of our use of AI technologies, even if unfounded, to successfully negotiate privacy, data protection, or information security-related contractual terms with customers, or to comply and demonstrate compliance with Data Protection Laws, could result in additional cost and liability to us, harm our reputation and brand, and could adversely affect our business, results of operations, and financial condition.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 Rights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adequately protect, defend or enforce our intellectual property rights, and our efforts to do so may be costly.</w:t>
      </w:r>
    </w:p>
    <w:p>
      <w:pPr>
        <w:spacing w:after="0" w:line="22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7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misappropriates or otherwise violates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misappropriation or other violation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misappropriate or otherwise violate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386"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the Mobileye IPO pursuant to which we are granted limited licenses from Intel for sensitive core technology relating to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38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previously faced claims and may in the future become subject to additional claims and litigation brought by third parties alleging infringement. misappropriation or other violation by us of their intellectual property rights.</w:t>
      </w:r>
    </w:p>
    <w:p>
      <w:pPr>
        <w:spacing w:after="0" w:line="142"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 recent years, there has been significant litigation globally involving patents and other intellectual property rights.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We have previously faced claims and may in the future be subject to additional claims and litigation alleging our infringement, misappropriation or other violation of third-party patent rights, trade secret rights or other intellectual property rights, including in respect of our use of certain AI technologies,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misappropriate or otherwise violate a third party’s patent rights, or if we wish to avoid potential intellectual property litigation on any alleged infringement, misappropriation or other violation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185"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A successful claim of infringement, misappropriation or other violation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misappropriation or other violation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misappropriation or other violation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misappropriate or otherwise violate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8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142"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entered into agreements with Intel in connection with the Mobileye IPO in which we will have a limited license from Intel for sensitive core technology relating to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w:t>
      </w:r>
    </w:p>
    <w:p>
      <w:pPr>
        <w:spacing w:after="0" w:line="3" w:lineRule="exact"/>
        <w:rPr>
          <w:sz w:val="20"/>
          <w:szCs w:val="20"/>
          <w:color w:val="auto"/>
        </w:rPr>
      </w:pPr>
    </w:p>
    <w:p>
      <w:pPr>
        <w:ind w:firstLine="5"/>
        <w:spacing w:after="0" w:line="274" w:lineRule="auto"/>
        <w:tabs>
          <w:tab w:leader="none" w:pos="27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agreements we have with Intel in connection with the Mobileye IPO, and (iii) Intel’s controlling beneficial ownership interest in our company, we may not be able to resolve such conflicts on terms favorable to us.”</w:t>
      </w:r>
    </w:p>
    <w:p>
      <w:pPr>
        <w:spacing w:after="0" w:line="164"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7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42"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 addition to patented technology, we rely on our unpatented proprietary technology, trade secrets, processes, and know-how.</w:t>
      </w:r>
    </w:p>
    <w:p>
      <w:pPr>
        <w:spacing w:after="0" w:line="228"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misappropriation or other violation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142"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18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72"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Industry</w:t>
      </w: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An uncertain economic environment and inflationary conditions may adversely affect global vehicle production and demand for our solutions.</w:t>
      </w:r>
    </w:p>
    <w:p>
      <w:pPr>
        <w:spacing w:after="0" w:line="142"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and in response to labor relations issues and shortages, supply chain disruptions, regulatory requirements, trade agreements and other factors. Furthermore,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More generally, the volume of automotive production in North America, Europe, China, and the rest of the world has fluctuated, sometimes significantly, from year to year, for many reasons, and such fluctuations give rise to fluctuations in the demand for our solutions.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macro-factors impacting our sales to OEMs in China, and the extent of the adverse effect that such volatility could have on our results of operations, financial condition and business in the long term.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38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142"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and Compliance Risks</w:t>
      </w: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laws and regulations that affect our operations and that could adversely affect our business, results of operations, and financial condition.</w:t>
      </w:r>
    </w:p>
    <w:p>
      <w:pPr>
        <w:spacing w:after="0" w:line="142"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are subject to laws and regulations worldwide that affect our operations and that differ among jurisdictions, including automotive safety regulations, regulations governing autonomous driving technology, AI technologies,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 Further, autonomous driving and AI technologies are the subject of evolving review by various federal, state and foreign governmental and regulatory agencies, including the SEC and U.S. Federal Trade Commission. For example, in Europe, the European Union’s Artificial Intelligence Act, which establishes, among other things, a risk-based governance framework for regulating AI systems operating in the European Union, entered into force on August 1, 2024. Various U.S. states and foreign jurisdictions also are applying, or are considering applying, their cybersecurity and data protection laws to AI technologies. As a result of the complexity and rapid development of autonomous vehicles (including the use of AI technologies in connection with their development), it is not possible to predict all of the legal, operational or technological risks related to our development of these technologies or our use of certain tools in connection therewith. Changes in laws and regulations governing autonomous vehicles and the use of certain technologies, such as AI, may adversely affect the ability of our business to develop and use such technologies in the future.</w:t>
      </w:r>
    </w:p>
    <w:p>
      <w:pPr>
        <w:spacing w:after="0" w:line="179"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38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42"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39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related to trade policies, sanctions, and import and export controls.</w:t>
      </w:r>
    </w:p>
    <w:p>
      <w:pPr>
        <w:spacing w:after="0" w:line="22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70"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including for example the controls announced by BIS in January 2025 on advanced computing chips and certain closed AI model weights.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179"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 particular, in response to Russia’s invasion of Ukraine, the United States, the European Union, and several other countries have imposed far-reaching sanctions and export control restrictions on Russian entities and individuals. See “— The current conflict between Ukraine and Russia has exacerbated market instability and disrupted the global economy.”</w:t>
      </w:r>
    </w:p>
    <w:p>
      <w:pPr>
        <w:spacing w:after="0" w:line="164"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For example, the United States has enacted, and subsequently updated, controls on certain transactions involving items for semiconductor manufacturing end uses and advanced computing integrated circuits destined for China. Most recently, BIS adopted final rules in January 2025 prohibiting certain transactions involving the sale or import of connected vehicles integrating specific hardware or software with a sufficient nexus to China or Russia. Conversely, the People’s Republic of China has implemented a series of industrial policies and other measures, including its “Made in China 2025” policy, to incentivize the development and growth of key industries domestically, such as robotics, aerospace and semiconductors, and to reduce reliance on foreign technology. These policies have also extended to ADAS and autonomous vehicle technologies, which has led to Chinese OEMs and other businesses choosing solutions from our Chinese competitors rather than our products, despite any competitive advantage our products may have in respect of price and/or performance. Although we do not believe that these recent controls and industrial policies will materially impede our ability to conduct our business, there can be no assurance that these or future restrictions would not materially adversely affect our financial performance. We derive significant revenue from China. In 2024 and 2023, we derived approximately 26% and 31%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39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current conflict between Ukraine and Russia has exacerbated market instability and disrupted the global economy.</w:t>
      </w:r>
    </w:p>
    <w:p>
      <w:pPr>
        <w:spacing w:after="0" w:line="22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have imposed far-reaching sanctions and export control restrictions on Russian entities and individuals, including for example recent additional sanctions imposed by the European Union under Article 12g of Council Regulation (EU) No 833/2014.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Operations in Israel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Conditions in Israel affect our operations and may limit our ability to produce and sell our solutions.</w:t>
      </w:r>
    </w:p>
    <w:p>
      <w:pPr>
        <w:spacing w:after="0" w:line="228"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Although we are incorporated under the laws of the State of Delaware, our headquarters and research and development center are located in the State of Israel, and as of December 28, 2024, substantially all of our equipment and tangible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On October 7, 2023, Hamas launched a series of attacks on civilian and military targets in Southern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Further, on April 13, 2024 and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Hezbollah, Iran or other countries or militant groups in the region may escalate in the future into a greater regional conflict. To date our operations have not been materially affected, although as of January 31, 2025 approximately 3.7%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spacing w:after="0" w:line="39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Our commercial insurance does not cover losses that may occur as a result of events associated with war and terrorism in Israel.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 Furthermore, depending on developments in the region, it may become difficult, or impossible, to renew or purchase appropriate policies pursuant to reasonable commercial terms, or insurers may condition coverage on our acceptance of certain limitations or exclusions.</w:t>
      </w:r>
    </w:p>
    <w:p>
      <w:pPr>
        <w:spacing w:after="0" w:line="38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4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disrupted by the obligations of personnel to perform military service as a result of current or future military actions involving Israel.</w:t>
      </w:r>
    </w:p>
    <w:p>
      <w:pPr>
        <w:spacing w:after="0" w:line="142"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For example, as a result of Israel’s current war against Hamas in the Gaza Strip and tensions with Hezbollah in northern Israel, as of January 31, 2025 approximately 3.7% of our employees have been called to reserve duty in the Israel Defense Forces. To date, our operations have not been materially affected. See “— Conditions in Israel affect our operations and may limit our ability to produce and sell our solutions.”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17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42"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17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our officers and directors, or to assert U.S. securities laws claims in Israel or serve process on our non-U.S. officers and directors.</w:t>
      </w:r>
    </w:p>
    <w:p>
      <w:pPr>
        <w:spacing w:after="0" w:line="142"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7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that was given in the same matter between the same parties, or if a suit in the same matter between the same parties was pending before a court or tribunal in Israel at the time the foreign action was brought.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Relationship with Intel and our Dual Class Structure</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has the effect of concentrating voting control with Intel, and Intel will beneficially own shares of our Class B common stock, representing a majority of the shares of our common stock and approximately 98.6% of the voting power of our outstanding common stock as of December 28, 2024. This will limit or preclude your ability to influence corporate matters.</w:t>
      </w:r>
    </w:p>
    <w:p>
      <w:pPr>
        <w:spacing w:after="0" w:line="16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Class B common stock has ten votes per share, and our Class A common stock has one vote per share. Because of the 10-to-1 voting ratio between our Class B common stock and our Class A common stock, Intel, which is the beneficial holder of 711,500,000 shares of Class B common stock, beneficially owns approximately 98.6% of the voting power of our outstanding common stock as of December 28, 2024. Because Intel beneficially holds significantly more than a majority of the combined voting power of our common stock, it is able to control all matters submitted to our stockholders for approval.</w:t>
      </w:r>
    </w:p>
    <w:p>
      <w:pPr>
        <w:spacing w:after="0" w:line="1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including any negative perception by shareholders of Intel or its actions, may adversely affect the trading price of our Class A common stock.</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the corporate governance standards of Nasdaq. As a result, we qualify for, and intend to rely on, exemptions from certain corporate governance standards. You will not have the same protections afforded to stockholders of companies that are subject to all corporate governance requirements of Nasdaq.</w:t>
      </w:r>
    </w:p>
    <w:p>
      <w:pPr>
        <w:spacing w:after="0" w:line="16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So long as more than 50% of the voting power for the election of our directors is held by an individual, a group or another company, we will qualify as a “controlled company” under listing requirements of Nasdaq. Intel beneficially holds a majority of the voting power of our outstanding common stock. As a result, we are a “controlled company” under the Nasdaq rules. As a controlled company, we will be exempt from certain Nasdaq corporate governance requirements, and we intend to continue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dual class structure may depress the trading price of our Class A common stock.</w:t>
      </w:r>
    </w:p>
    <w:p>
      <w:pPr>
        <w:spacing w:after="0" w:line="22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w:t>
      </w:r>
    </w:p>
    <w:p>
      <w:pPr>
        <w:spacing w:after="0" w:line="175"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Any actions or publications by stockholder advisory firms critical of our corporate governance practices or capital structure could also adversely affect the value of our Class A common stock.</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spacing w:after="0" w:line="16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Conflicts of interest may arise between Intel and us in a number of areas relating to our ongoing relationship. Potential conflicts of interest that we have identified include, but are not limited to, the following:</w:t>
      </w:r>
    </w:p>
    <w:p>
      <w:pPr>
        <w:spacing w:after="0" w:line="145" w:lineRule="exact"/>
        <w:rPr>
          <w:sz w:val="20"/>
          <w:szCs w:val="20"/>
          <w:color w:val="auto"/>
        </w:rPr>
      </w:pPr>
    </w:p>
    <w:p>
      <w:pPr>
        <w:jc w:val="both"/>
        <w:ind w:firstLine="320"/>
        <w:spacing w:after="0" w:line="267" w:lineRule="auto"/>
        <w:tabs>
          <w:tab w:leader="none" w:pos="62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of our directors may have conflicts of interest</w:t>
      </w:r>
      <w:r>
        <w:rPr>
          <w:rFonts w:ascii="Times New Roman" w:cs="Times New Roman" w:eastAsia="Times New Roman" w:hAnsi="Times New Roman"/>
          <w:sz w:val="17"/>
          <w:szCs w:val="17"/>
          <w:color w:val="auto"/>
        </w:rPr>
        <w:t>. Each of Patrick Bombach, Christine Pambianchi, and Saf Yeboah-Amankwah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serves both as our director and in a senior management role at Intel. In addition, Frank D. Yeary serves both as our director and as Interim Executive Chair and a director of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170" w:lineRule="exact"/>
        <w:rPr>
          <w:rFonts w:ascii="Times New Roman" w:cs="Times New Roman" w:eastAsia="Times New Roman" w:hAnsi="Times New Roman"/>
          <w:sz w:val="17"/>
          <w:szCs w:val="17"/>
          <w:color w:val="auto"/>
        </w:rPr>
      </w:pPr>
    </w:p>
    <w:p>
      <w:pPr>
        <w:jc w:val="both"/>
        <w:ind w:firstLine="320"/>
        <w:spacing w:after="0" w:line="264" w:lineRule="auto"/>
        <w:tabs>
          <w:tab w:leader="none" w:pos="62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Sale of shares of our common stock</w:t>
      </w:r>
      <w:r>
        <w:rPr>
          <w:rFonts w:ascii="Times New Roman" w:cs="Times New Roman" w:eastAsia="Times New Roman" w:hAnsi="Times New Roman"/>
          <w:sz w:val="17"/>
          <w:szCs w:val="17"/>
          <w:color w:val="auto"/>
        </w:rPr>
        <w:t>. Intel may decide to sell all or a portion of our shares that it holds to a third party, including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w:t>
      </w:r>
    </w:p>
    <w:p>
      <w:pPr>
        <w:spacing w:after="0" w:line="171" w:lineRule="exact"/>
        <w:rPr>
          <w:rFonts w:ascii="Times New Roman" w:cs="Times New Roman" w:eastAsia="Times New Roman" w:hAnsi="Times New Roman"/>
          <w:sz w:val="17"/>
          <w:szCs w:val="17"/>
          <w:color w:val="auto"/>
        </w:rPr>
      </w:pPr>
    </w:p>
    <w:p>
      <w:pPr>
        <w:jc w:val="both"/>
        <w:ind w:firstLine="320"/>
        <w:spacing w:after="0" w:line="278" w:lineRule="auto"/>
        <w:tabs>
          <w:tab w:leader="none" w:pos="62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Developing business relationships with Intel’s competitors</w:t>
      </w:r>
      <w:r>
        <w:rPr>
          <w:rFonts w:ascii="Times New Roman" w:cs="Times New Roman" w:eastAsia="Times New Roman" w:hAnsi="Times New Roman"/>
          <w:sz w:val="17"/>
          <w:szCs w:val="17"/>
          <w:color w:val="auto"/>
        </w:rPr>
        <w:t>. We may from time to time partner with, purchase from, and sell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companies that compete with Intel. These companies may be less willing or unwilling to develop and maintain relationships with us, and may favor our competitors or may view us as competitors, because of our relationship with Intel.</w:t>
      </w:r>
    </w:p>
    <w:p>
      <w:pPr>
        <w:spacing w:after="0" w:line="158" w:lineRule="exact"/>
        <w:rPr>
          <w:rFonts w:ascii="Times New Roman" w:cs="Times New Roman" w:eastAsia="Times New Roman" w:hAnsi="Times New Roman"/>
          <w:sz w:val="17"/>
          <w:szCs w:val="17"/>
          <w:color w:val="auto"/>
        </w:rPr>
      </w:pPr>
    </w:p>
    <w:p>
      <w:pPr>
        <w:jc w:val="both"/>
        <w:ind w:firstLine="320"/>
        <w:spacing w:after="0" w:line="262" w:lineRule="auto"/>
        <w:tabs>
          <w:tab w:leader="none" w:pos="62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Allocation of business opportunities</w:t>
      </w:r>
      <w:r>
        <w:rPr>
          <w:rFonts w:ascii="Times New Roman" w:cs="Times New Roman" w:eastAsia="Times New Roman" w:hAnsi="Times New Roman"/>
          <w:sz w:val="17"/>
          <w:szCs w:val="17"/>
          <w:color w:val="auto"/>
        </w:rPr>
        <w:t>. Business opportunities may arise that both we and Intel find attractive, and which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complement our businesses. We may be prevented from taking advantage of new business opportunities that Intel has entered into. Furthermore, our amended and restated certificate of incorporation provides that, until the later of (i) the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w:t>
      </w:r>
    </w:p>
    <w:p>
      <w:pPr>
        <w:spacing w:after="0" w:line="388" w:lineRule="exact"/>
        <w:rPr>
          <w:rFonts w:ascii="Times New Roman" w:cs="Times New Roman" w:eastAsia="Times New Roman" w:hAnsi="Times New Roman"/>
          <w:sz w:val="17"/>
          <w:szCs w:val="17"/>
          <w:color w:val="auto"/>
        </w:rPr>
      </w:pPr>
    </w:p>
    <w:p>
      <w:pPr>
        <w:jc w:val="both"/>
        <w:ind w:firstLine="320"/>
        <w:spacing w:after="0"/>
        <w:tabs>
          <w:tab w:leader="none" w:pos="62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Sale of our products on favorable terms</w:t>
      </w:r>
      <w:r>
        <w:rPr>
          <w:rFonts w:ascii="Times New Roman" w:cs="Times New Roman" w:eastAsia="Times New Roman" w:hAnsi="Times New Roman"/>
          <w:sz w:val="17"/>
          <w:szCs w:val="17"/>
          <w:color w:val="auto"/>
        </w:rPr>
        <w:t>. Under the terms of the Master Transaction Agreement we entered into with Intel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the Mobileye IPO, so long as Intel holds at least 20% of our common stock, we will sell Intel our commercially available products,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for internal use, but not for resale on a standalone or bundled basis. We and Intel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firstLine="320"/>
        <w:spacing w:after="0" w:line="260" w:lineRule="auto"/>
        <w:tabs>
          <w:tab w:leader="none" w:pos="62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Worldwide and perpetual license to patents</w:t>
      </w:r>
      <w:r>
        <w:rPr>
          <w:rFonts w:ascii="Times New Roman" w:cs="Times New Roman" w:eastAsia="Times New Roman" w:hAnsi="Times New Roman"/>
          <w:sz w:val="17"/>
          <w:szCs w:val="17"/>
          <w:color w:val="auto"/>
        </w:rPr>
        <w:t>. We are party to an agreement with Intel under which (i) we grant to Intel a royalty-free,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sublicenses or other rights Intel were to terminate for any reason, we may be unable to replace such licenses, sublicenses or other rights at prices or on terms as favorable as those Intel provides, if at all, and that could adversely affect our business, results of operations, and financial condition.</w:t>
      </w:r>
    </w:p>
    <w:p>
      <w:pPr>
        <w:spacing w:after="0" w:line="176" w:lineRule="exact"/>
        <w:rPr>
          <w:rFonts w:ascii="Times New Roman" w:cs="Times New Roman" w:eastAsia="Times New Roman" w:hAnsi="Times New Roman"/>
          <w:sz w:val="17"/>
          <w:szCs w:val="17"/>
          <w:color w:val="auto"/>
        </w:rPr>
      </w:pPr>
    </w:p>
    <w:p>
      <w:pPr>
        <w:jc w:val="both"/>
        <w:ind w:firstLine="320"/>
        <w:spacing w:after="0" w:line="260" w:lineRule="auto"/>
        <w:tabs>
          <w:tab w:leader="none" w:pos="62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Limited license from Intel for certain technology related to radar</w:t>
      </w:r>
      <w:r>
        <w:rPr>
          <w:rFonts w:ascii="Times New Roman" w:cs="Times New Roman" w:eastAsia="Times New Roman" w:hAnsi="Times New Roman"/>
          <w:sz w:val="17"/>
          <w:szCs w:val="17"/>
          <w:color w:val="auto"/>
        </w:rPr>
        <w:t>. Intel has granted us a limited license for sensitive core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Mobileye IPO,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w:t>
      </w:r>
    </w:p>
    <w:p>
      <w:pPr>
        <w:spacing w:after="0" w:line="183"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are licensed to sell the radar products only for ADAS and AV solutions for automobiles and to certain types of customers (Tier 1s, OEMs, MaaS). The Technology and Services Agreement has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w:t>
      </w:r>
    </w:p>
    <w:p>
      <w:pPr>
        <w:spacing w:after="0" w:line="177"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expect 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Although we entered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6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entered into the Tax Sharing Agreement with Intel in connection with the Mobileye IPO. Pursuant to the Tax Sharing Agreement, we generally are required to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77"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have previously been included in the Consolidated Group for the most recent annual period and expect to be included in the Consolidated Group going forward.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61"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Under current U.S. federal income tax law, in order to consummate a tax-free spin-off of our stock, Intel would need to have beneficial ownership of our stock representing at least 80% of the total voting power and 80% of each class of non-voting capital stock.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certain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18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142"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There can be no guarantee that Intel will consent to such actions, even if they are in our best interests.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have historically utilized and plan to continue to utilize various administrative services and licenses, sublicenses and other rights provided by Intel, and if we are unable to continue utilizing such services and/or licenses, sublicenses or other rights we may fail to replace them at prices or on terms as favorable as those Intel provides. In addition, we have granted Intel a worldwide and perpetual license to our patents and patent applications.</w:t>
      </w:r>
    </w:p>
    <w:p>
      <w:pPr>
        <w:spacing w:after="0" w:line="16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sublicenses or other rights from Intel were to terminate for any reason, we may be unable to replace such licenses, sublicenses or other rights at prices or on terms as favorable as those Intel provides, if at all, and that could adversely affect our business, results of operations, and financial condition.</w:t>
      </w:r>
    </w:p>
    <w:p>
      <w:pPr>
        <w:spacing w:after="0" w:line="17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Intel provides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If we are unable to maintain these contractual relationships with Intel, we may fail to replace such services and/or licenses, sublicenses or other rights at prices or on terms as favorable as those Intel provides, and that could adversely affect our business,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fluctuate, and you could lose all or part of your investment.</w:t>
      </w:r>
    </w:p>
    <w:p>
      <w:pPr>
        <w:spacing w:after="0" w:line="22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164" w:lineRule="exact"/>
        <w:rPr>
          <w:sz w:val="20"/>
          <w:szCs w:val="20"/>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regulators and other safety organizations regarding ADAS, autonomous driving and related technology;</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publicized accidents involving ADAS and autonomous driving technology, whether developed by us or our competitors;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solutions;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supply and demand for our products;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the results of research and development projects by us or our competitors;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others relating to autonomous driving technology and its adoption by OEMs;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competitive systems and products by others;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or recommendations by securities analysts;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our intellectual property rights;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particularly Professor Shashua;</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cost of satisfying our warranty obligations;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customers;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our and the global supply chain;</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irregularities such as worsening inflationary trends, volatile interest rates and labor shortages;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between our expenditures to develop and market new or enhanced products and the generation of sales from those products;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amount that we spend to develop, acquire, or license new products, technologies, or businesses;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research and development and operating expenditures;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and our competitors’ results of operations and financial condition;</w:t>
      </w:r>
    </w:p>
    <w:p>
      <w:pPr>
        <w:spacing w:after="0" w:line="223"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 or proposed sale or the sale or proposed sale by Intel (or other actions taken by Intel) or other significant stockholders of our common stock or other securities in the future; and</w:t>
      </w:r>
    </w:p>
    <w:p>
      <w:pPr>
        <w:spacing w:after="0" w:line="14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and other factors, including factors unrelated to our operating performance.</w:t>
      </w:r>
    </w:p>
    <w:p>
      <w:pPr>
        <w:spacing w:after="0" w:line="224"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pay dividends in the foreseeable future.</w:t>
      </w:r>
    </w:p>
    <w:p>
      <w:pPr>
        <w:spacing w:after="0" w:line="22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and divert management’s attention.</w:t>
      </w:r>
    </w:p>
    <w:p>
      <w:pPr>
        <w:spacing w:after="0" w:line="22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of 2002 (“Sarbanes-Oxley Act”) and stock exchange rules promulgated in response to the Sarbanes-Oxley Act. The requirements of these rules and regulations have and will continue to increase our legal and financial compliance costs, make some activities more difficult, time-consuming, or costly and increase demand on our systems and resources. As a public company, we are obligated to file with the SEC annual and quarterly information and other reports that are specified in the Exchange Act, and therefore need to have the ability to prepare financial statements that are compliant with all SEC reporting requirements on a timely basis. In addition, we continue to be subject to other reporting and corporate governance requirements, including certain requirements of Nasdaq and certain provisions of the Sarbanes-Oxley Act and the regulations promulgated thereunder, which impose significant compliance obligations upon us.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17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6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Failure to establish and maintain effective internal control over financial reporting in accordance with Section 404 of the Sarbanes-Oxley Act could have an adverse effect on our business, results of operations, and financial condition.</w:t>
      </w:r>
    </w:p>
    <w:p>
      <w:pPr>
        <w:spacing w:after="0" w:line="142"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to which our auditors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w:t>
      </w:r>
    </w:p>
    <w:p>
      <w:pPr>
        <w:spacing w:after="0" w:line="17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 addition, we may be required to incur costs in improving our internal control system and the hiring of additional personnel. Any such action could adversely affect our business, results of operations, and financial condition.</w:t>
      </w:r>
    </w:p>
    <w:p>
      <w:pPr>
        <w:spacing w:after="0" w:line="14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142"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in part, on the research and reports that securities and industry analysts publish about us and our business. If securities and industry analysts do not commence or maintain coverage of our company,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issuance by us of additional equity securities may dilute your ownership and adversely affect the market price of our Class A common stock.</w:t>
      </w:r>
    </w:p>
    <w:p>
      <w:pPr>
        <w:spacing w:after="0" w:line="142"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entered into with Intel in connection with the Mobileye IPO, we granted Intel a continuing right to purchase from us such number of shares of Class A common stock or Class B common stock as is necessary for Intel to maintain an aggregate ownership of our common stock representing at least 80.1% of our common stock outstanding following the Mobileye IPO. Any common stock that we issue, including under our equity incentive plan or in connection with the Master Transaction Agreement, would dilute the percentage ownership of existing stockholders prior to such issuance.</w:t>
      </w:r>
    </w:p>
    <w:p>
      <w:pPr>
        <w:spacing w:after="0" w:line="177"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72"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7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42"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177" w:lineRule="exact"/>
        <w:rPr>
          <w:sz w:val="20"/>
          <w:szCs w:val="20"/>
          <w:color w:val="auto"/>
        </w:rPr>
      </w:pPr>
    </w:p>
    <w:p>
      <w:pPr>
        <w:jc w:val="both"/>
        <w:ind w:left="660" w:hanging="314"/>
        <w:spacing w:after="0" w:line="276"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163" w:lineRule="exact"/>
        <w:rPr>
          <w:rFonts w:ascii="Times New Roman" w:cs="Times New Roman" w:eastAsia="Times New Roman" w:hAnsi="Times New Roman"/>
          <w:sz w:val="17"/>
          <w:szCs w:val="17"/>
          <w:color w:val="auto"/>
        </w:rPr>
      </w:pPr>
    </w:p>
    <w:p>
      <w:pPr>
        <w:ind w:left="660" w:right="20" w:hanging="314"/>
        <w:spacing w:after="0" w:line="296"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146" w:lineRule="exact"/>
        <w:rPr>
          <w:rFonts w:ascii="Times New Roman" w:cs="Times New Roman" w:eastAsia="Times New Roman" w:hAnsi="Times New Roman"/>
          <w:sz w:val="17"/>
          <w:szCs w:val="17"/>
          <w:color w:val="auto"/>
        </w:rPr>
      </w:pPr>
    </w:p>
    <w:p>
      <w:pPr>
        <w:jc w:val="both"/>
        <w:ind w:left="660" w:hanging="314"/>
        <w:spacing w:after="0" w:line="274"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378" w:lineRule="exact"/>
        <w:rPr>
          <w:rFonts w:ascii="Times New Roman" w:cs="Times New Roman" w:eastAsia="Times New Roman" w:hAnsi="Times New Roman"/>
          <w:sz w:val="17"/>
          <w:szCs w:val="17"/>
          <w:color w:val="auto"/>
        </w:rPr>
      </w:pPr>
    </w:p>
    <w:p>
      <w:pPr>
        <w:jc w:val="both"/>
        <w:ind w:left="660" w:right="20" w:hanging="314"/>
        <w:spacing w:after="0" w:line="276"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left="660" w:hanging="314"/>
        <w:spacing w:after="0" w:line="27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63"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in our amended and restated certificate of incorporation or amended and restated bylaws provides for cumulative voting, which limits the ability of minority stockholders to elect director candidates;</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Chairman of our Board of Directors, our Chief Executive Officer, or our Secretary upon written request by a majority of our Board of Directors are authorized to call a special meeting of stockholders;</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certificate of incorporation provides that certain litigation against us can only be brought in Delaware unless we otherwise consent;</w:t>
      </w:r>
    </w:p>
    <w:p>
      <w:pPr>
        <w:spacing w:after="0" w:line="146" w:lineRule="exact"/>
        <w:rPr>
          <w:rFonts w:ascii="Times New Roman" w:cs="Times New Roman" w:eastAsia="Times New Roman" w:hAnsi="Times New Roman"/>
          <w:sz w:val="17"/>
          <w:szCs w:val="17"/>
          <w:color w:val="auto"/>
        </w:rPr>
      </w:pPr>
    </w:p>
    <w:p>
      <w:pPr>
        <w:jc w:val="both"/>
        <w:ind w:left="660" w:hanging="314"/>
        <w:spacing w:after="0" w:line="270"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168"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146" w:lineRule="exact"/>
        <w:rPr>
          <w:rFonts w:ascii="Times New Roman" w:cs="Times New Roman" w:eastAsia="Times New Roman" w:hAnsi="Times New Roman"/>
          <w:sz w:val="17"/>
          <w:szCs w:val="17"/>
          <w:color w:val="auto"/>
        </w:rPr>
      </w:pPr>
    </w:p>
    <w:p>
      <w:pPr>
        <w:ind w:left="660" w:right="420" w:hanging="314"/>
        <w:spacing w:after="0" w:line="29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6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42"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Our amended and restated certificate of incorporation, to the fullest extent permitted by law, provides that, unless we consent in writing to the selection of an alternative forum, the Court of Chancery of the State of Delaware is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389"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w:t>
      </w:r>
    </w:p>
    <w:p>
      <w:pPr>
        <w:spacing w:after="0" w:line="37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64"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effective tax rates may reduce our net income.</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number of factors can increase our effective tax rates, which could reduce our net income, including:</w:t>
      </w:r>
    </w:p>
    <w:p>
      <w:pPr>
        <w:spacing w:after="0" w:line="224" w:lineRule="exact"/>
        <w:rPr>
          <w:sz w:val="20"/>
          <w:szCs w:val="20"/>
          <w:color w:val="auto"/>
        </w:rPr>
      </w:pPr>
    </w:p>
    <w:p>
      <w:pPr>
        <w:ind w:left="660" w:hanging="314"/>
        <w:spacing w:after="0" w:line="296"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volume and mix of profits earned and location of assets across jurisdictions with varying tax rates and the associated impacts of legislative actions affecting multi-national enterprises;</w:t>
      </w:r>
    </w:p>
    <w:p>
      <w:pPr>
        <w:spacing w:after="0" w:line="14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 and in associated deferred tax asset valuation allowance;</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income taxes upon finalization of tax returns;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expenses not deductible for tax purposes, including equity-based compensation or impairments of goodwill;</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available tax credits;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ability to secure new, or renew existing, tax holidays and incentives;</w:t>
      </w:r>
    </w:p>
    <w:p>
      <w:pPr>
        <w:spacing w:after="0" w:line="223"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federal, state, or foreign tax laws or their interpretation, including changes in the U.S. to the taxation of non-U.S. income and expenses;</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resulting from the adoption by countries of OECD recommendations, including adoption of tax legislation to comply with Pillar Two Model Rules, or other legislative actions</w:t>
      </w:r>
    </w:p>
    <w:p>
      <w:pPr>
        <w:spacing w:after="0" w:line="14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660" w:hanging="314"/>
        <w:spacing w:after="0" w:line="296"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or regional conditions can adversely affect our business, results of operations, and financial condition.</w:t>
      </w:r>
    </w:p>
    <w:p>
      <w:pPr>
        <w:spacing w:after="0" w:line="22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and our suppliers have manufacturing, assembly and testing, research and development, sales and other operations in Israel and several other countries, and some of our business activities are concentrated in one or more geographic areas. Moreover, 82% of our total revenue in 2024 was derived outside of the United States, with China, Germany, and South Korea making up 26%, 16%, and 13% of total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72"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can be adversely affected by other global and regional factors that periodically occur, including:</w:t>
      </w:r>
    </w:p>
    <w:p>
      <w:pPr>
        <w:spacing w:after="0" w:line="224" w:lineRule="exact"/>
        <w:rPr>
          <w:sz w:val="20"/>
          <w:szCs w:val="20"/>
          <w:color w:val="auto"/>
        </w:rPr>
      </w:pPr>
    </w:p>
    <w:p>
      <w:pPr>
        <w:ind w:left="660" w:hanging="314"/>
        <w:spacing w:after="0" w:line="296"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and security issues, such as armed conflict and civil or military unrest, political instability, human rights concerns and terrorist activity;</w:t>
      </w:r>
    </w:p>
    <w:p>
      <w:pPr>
        <w:spacing w:after="0" w:line="14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public health issues (such as the COVID-19 pandemic) and other catastrophic events;</w:t>
      </w:r>
    </w:p>
    <w:p>
      <w:pPr>
        <w:spacing w:after="0" w:line="223" w:lineRule="exact"/>
        <w:rPr>
          <w:rFonts w:ascii="Times New Roman" w:cs="Times New Roman" w:eastAsia="Times New Roman" w:hAnsi="Times New Roman"/>
          <w:sz w:val="17"/>
          <w:szCs w:val="17"/>
          <w:color w:val="auto"/>
        </w:rPr>
      </w:pPr>
    </w:p>
    <w:p>
      <w:pPr>
        <w:ind w:left="660" w:right="20" w:hanging="314"/>
        <w:spacing w:after="0" w:line="296"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formal or informal imposition of new or revised export, import or doing-business regulations, including trade sanctions, tariffs, and changes in the ability to obtain export licenses, which could be changed without notice;</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restrictions on, or nationalization of, our operations in any country, or restrictions on our ability to repatriate earnings from a particular country;</w:t>
      </w:r>
    </w:p>
    <w:p>
      <w:pPr>
        <w:spacing w:after="0" w:line="146"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relating to government grants, tax credits or other government incentives, including more favorable incentives provided to competitors;</w:t>
      </w:r>
    </w:p>
    <w:p>
      <w:pPr>
        <w:spacing w:after="0" w:line="14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employment practices and labor issues;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legal protection of our intellectual property rights in certain countries;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business and cultural factors that differ from our current standards and practices;</w:t>
      </w:r>
    </w:p>
    <w:p>
      <w:pPr>
        <w:spacing w:after="0" w:line="223"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uncertainty regarding social, political, immigration and tax and trade policies; and</w:t>
      </w:r>
    </w:p>
    <w:p>
      <w:pPr>
        <w:spacing w:after="0" w:line="223" w:lineRule="exact"/>
        <w:rPr>
          <w:rFonts w:ascii="Times New Roman" w:cs="Times New Roman" w:eastAsia="Times New Roman" w:hAnsi="Times New Roman"/>
          <w:sz w:val="17"/>
          <w:szCs w:val="17"/>
          <w:color w:val="auto"/>
        </w:rPr>
      </w:pPr>
    </w:p>
    <w:p>
      <w:pPr>
        <w:ind w:left="660" w:hanging="314"/>
        <w:spacing w:after="0" w:line="296"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Catastrophic events can adversely affect our business, results of operations, and financial condition.</w:t>
      </w:r>
    </w:p>
    <w:p>
      <w:pPr>
        <w:spacing w:after="0" w:line="22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operations and business, and those of our customers and direct and indirect vendors and suppliers of OEMs, can be disrupted by natural disasters, industrial accidents, public health issues (such as the COVID-19 pandemic), cybersecurity incidents, interruptions of service from utilities, transportation, telecommunications or IT systems providers, production equipment failures or other catastrophic events.</w:t>
      </w:r>
    </w:p>
    <w:p>
      <w:pPr>
        <w:spacing w:after="0" w:line="164"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1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72"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Even though we maintain insurance coverage for a variety of property, casualty, and other risks, not all possible risks are or can be fully covered and therefore any insurance payments to the Company may not necessarily cover the entire scope of the damage and/or all possible losses. We may also decide not to purchase certain policies and/or to self-insure against certain risks. The types and amounts of our insurance coverage vary depending on availability, cost, and decisions with respect to risk retention. We may decided to not purchase certain policies at all for various reasons, including due to the costs of such policy outweighing any economic benefit, and there is no certainty that it will be possible to purchase or renew suitable insurance policies in the future pursuant to reasonable commercial terms, if at all. Some of the policies under which we are covered may have large deductibles and broad exclusions. In addition, one or more insurance providers may be unable or unwilling to pay a claim. Our insurers may also discontinue our insurance coverage and we may be unable to find replacement insurance on acceptable terms or at all, or where we share our limits with Intel claims by Intel under these policies may exhaust the available policy limits.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Losses not covered by insurance may be large, which would adversely affect our business, results of operations, and financial condition.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 Management</w:t>
      </w:r>
    </w:p>
    <w:p>
      <w:pPr>
        <w:spacing w:after="0" w:line="22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Cybersecurity risk management is an integral part of our overall enterprise risk management program, which we have continued to invest in developing. Our corporate cybersecurity risk management program provides a framework for handling cybersecurity threats and incidents, including threats and incidents associated with the use of services provided by third-party vendors and service providers, and facilitating coordination across different business units of the Company. Our corporate cybersecurity risk management program is based on and audited against industry standards, including ISO 27001 for Information Security Management Systems (ISMS) and the automotive industry’s Trusted Information Security Assessment Exchange standard (TISAX).</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corporate cybersecurity team is responsible for operating our cybersecurity risk management program. The cybersecurity team determines with management an annual workplan for risk assessments, reviews, audits and tests. The cybersecurity team also conducts vulnerability assessments, security reviews and penetration tests on a regular basis in accordance with such workplan. Following risk assessments that require any remediation, the cybersecurity team then conducts a risk treatment and response process, including mitigation, remediation and risk reduction efforts. Our policies also require that Internet-accessible enterprise systems and applications must undergo a penetration test at least annually, and we engage specialized, independent, third parties to conduct penetration tests and specific in-depth reviews of certain enterprise systems and applications.</w:t>
      </w:r>
    </w:p>
    <w:p>
      <w:pPr>
        <w:spacing w:after="0" w:line="177"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With respect to overseeing and identifying cybersecurity risks associated with third parties, we seek to impose certain cybersecurity requirements on critical third parties with whom we do business. The cybersecurity team performs risk assessments, due diligence checks and validation of key security controls in accordance with our cybersecurity policies and standards for third-party vendors and service providers with whom we exchange information or integrate our information systems and networks. We include cybersecurity and privacy addenda and clauses in our agreements with such third parties where applicable and seek to pass through any necessary regulatory and contractual requirements to such third parties. When we do become aware that a third-party vendor or service provider has experienced a compromise or failure, we attempt to mitigate our risk, including by terminating such third party’s connection to our information systems and networks where appropriate or by exercising any applicable contractual remedies we may have, such as a right to indemnification.</w:t>
      </w:r>
    </w:p>
    <w:p>
      <w:pPr>
        <w:spacing w:after="0" w:line="179"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a semi-annual basis the cybersecurity team conducts a program performance evaluation with management to assess the continuing suitability, adequacy and effectiveness of the Company’s cybersecurity risk management program, including with respect to the fulfillment of cybersecurity objectives and compliance with industry standards, and to recommend changes to the Company’s threat modeling, priorities for future risk assessments, policy adjustments in response to newly identified risks or non-compliance, and overall risk acceptance.</w:t>
      </w:r>
    </w:p>
    <w:p>
      <w:pPr>
        <w:spacing w:after="0" w:line="1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To foster a culture of cybersecurity awareness within the Company and provide employees with further knowledge of cybersecurity-conscious behavior, all employees of the Company are required to attend cybersecurity training sessions during the onboarding process and at least once per year.</w:t>
      </w:r>
    </w:p>
    <w:p>
      <w:pPr>
        <w:spacing w:after="0" w:line="164"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Our organizational cybersecurity program is under the direction of our Chief Information Security Officer (“CISO”) who receives reports from our cybersecurity team and oversees the prevention, detection, mitigation, and remediation of cybersecurity threats and incidents. Our CISO reports to our Chief Operating Officer (“COO”), who may discuss cybersecurity risks and other operational risks with other senior management as appropriate. Our CISO and dedicated cybersecurity team personnel are certified and experienced information systems security professionals and cybersecurity managers with many years of experience. Our CISO has served in that position since 2019 and has over 25 years of managerial and professional cybersecurity expertise. He has held the role of CISO and other senior management positions with NDS, Cisco and Deloitte and has also served as cybersecurity consultant for companies in multiple global industries. Our COO has extensive experience in project management and cybersecurity, including from past roles with Verint - Systems and Cisco Systems as well as the establishment and management of the Company’s cybersecurity team prior to our CISO joining the Company.</w:t>
      </w:r>
    </w:p>
    <w:p>
      <w:pPr>
        <w:spacing w:after="0" w:line="175"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The Company’s cybersecurity team regularly meets with the COO to report its findings. The COO in turn periodically reports on such matters to the Chief Executive Officer and other members of management.</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COO and CISO provide updates to the audit committee of our board of directors (the “Audit Committee”) on the Company’s cybersecurity programs, material cybersecurity risks and mitigation strategies. In addition to such regular updates, and as part of our incident response processes, our COO is also responsible for informing the Audit Committee of material cybersecurity threats and incidents, based on management’s assessment of risk.</w:t>
      </w:r>
    </w:p>
    <w:p>
      <w:pPr>
        <w:spacing w:after="0" w:line="1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board of directors has overall oversight responsibility for our risk management, and delegates cybersecurity risk management oversight to the Audit Committee. The Audit Committee is responsible for ensuring that management has processes in place designed to identify and assess cybersecurity risks to which the Company is exposed and implement processes and programs designed to manage cybersecurity risks and mitigate and remediate cybersecurity threats and incidents. Both management and the Audit Committee also report material cybersecurity risks to our full board of directors, based on management’s assessment of risk.</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2024, we did not identify any cybersecurity risks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 Risks Related to Privacy, Data, and Cybersecurity” in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own our principal offices at Shlomo Momo HaLevi Street 1, Jerusalem, Israel, totaling approximately 1,377,781 square feet (approximately 128,000 square meters). We also lease office space in Tel Aviv and various other locations in Israel and around the world, including Detroit, Munich, Tokyo, Beijing and Shanghai.</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are working to enter into additional leases for more office space in various locations around the world. In most of the countries we operate in, we lease office space for local operations (local country leadership, customer support, local sales, etc.) and we do not foresee any significant changes to these operations going forward.</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consider our facilities, taken as a whole, to be suitable, adequate, and of sufficient capacity for our current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8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Legal Actions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U.S. Class Action</w:t>
      </w:r>
    </w:p>
    <w:p>
      <w:pPr>
        <w:spacing w:after="0" w:line="18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Following the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public offering. Mobileye and the individual defendants filed a motion to dismiss the second amended complaint on December 20, 2024. We intend to defend the matter vigorously. No provision was recorded in the financial statements as of December 28, 2024.</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U.S. Derivative Action</w:t>
      </w:r>
    </w:p>
    <w:p>
      <w:pPr>
        <w:spacing w:after="0" w:line="22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9th, 2024,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December 28, 2024.</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U.S. Patent Litigation</w:t>
      </w:r>
    </w:p>
    <w:p>
      <w:pPr>
        <w:spacing w:after="0" w:line="22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 xml:space="preserve">On January 26, 2024, Facet Technology Corp. (“Facet”) sued Mobileye in the U.S. District Court for the Eastern District of Texas for allegedly infringing two patents. Captioned </w:t>
      </w:r>
      <w:r>
        <w:rPr>
          <w:rFonts w:ascii="Times New Roman" w:cs="Times New Roman" w:eastAsia="Times New Roman" w:hAnsi="Times New Roman"/>
          <w:sz w:val="17"/>
          <w:szCs w:val="17"/>
          <w:i w:val="1"/>
          <w:iCs w:val="1"/>
          <w:color w:val="auto"/>
        </w:rPr>
        <w:t>Facet Technology Corp. v. Mobileye Global, Inc.</w:t>
      </w:r>
      <w:r>
        <w:rPr>
          <w:rFonts w:ascii="Times New Roman" w:cs="Times New Roman" w:eastAsia="Times New Roman" w:hAnsi="Times New Roman"/>
          <w:sz w:val="17"/>
          <w:szCs w:val="17"/>
          <w:color w:val="auto"/>
        </w:rPr>
        <w:t>, the complaint alleges that certain Mobileye products directly and indirectly infringe both patents. The complaint seeks unspecified damages, a permanent injunction, and attorneys’ fees and costs. We have moved to dismiss the complaint for improper venue and await a ruling. On November 7, 2024, Mobileye Vision Technologies Ltd. and Mobileye Inc., each a wholly-owned indirect subsidiary of Mobileye Global Inc., sued Facet Technology Corp. in the U.S. District Court of Minnesota seeking a declaratory judgement that the Mobileye plaintiffs do not infringe either patent. We intend to defend the matter vigorously. No provision was recorded in the financial statements as of December 28,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Class A common stock is listed on Nasdaq under the symbol “MBLY.” Our Class B common stock is not listed nor traded on any stock exchange.</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January 31, 2025, there was 1 stockholder of record of our Class A common stock and 1 stockholder of record of our Class B common stock. The number of record holders does not include persons who held shares of our Class A common stock in nominee or “street name” accounts through brokers.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intend to retain any future earnings and do not anticipate declaring or paying any cash dividends in the foreseeable future. See “Item 1A. Risk Factors — Risks Related to Ownership of Our Class A Common Stock — We do not expect to pay dividends in the foreseeable future.”</w:t>
      </w:r>
    </w:p>
    <w:p>
      <w:pPr>
        <w:spacing w:after="0" w:line="3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may be contained in any of our subsidiaries’ credit facilities, and such other factors as our board of directors may deem relevant.</w:t>
      </w:r>
    </w:p>
    <w:p>
      <w:pPr>
        <w:spacing w:after="0" w:line="1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6" w:lineRule="exact"/>
        <w:rPr>
          <w:sz w:val="20"/>
          <w:szCs w:val="20"/>
          <w:color w:val="auto"/>
        </w:rPr>
      </w:pPr>
    </w:p>
    <w:p>
      <w:pPr>
        <w:ind w:right="260" w:firstLine="314"/>
        <w:spacing w:after="0" w:line="296" w:lineRule="auto"/>
        <w:rPr>
          <w:sz w:val="20"/>
          <w:szCs w:val="20"/>
          <w:color w:val="auto"/>
        </w:rPr>
      </w:pPr>
      <w:r>
        <w:rPr>
          <w:rFonts w:ascii="Times New Roman" w:cs="Times New Roman" w:eastAsia="Times New Roman" w:hAnsi="Times New Roman"/>
          <w:sz w:val="17"/>
          <w:szCs w:val="17"/>
          <w:color w:val="auto"/>
        </w:rPr>
        <w:t>The information required by this item will be filed (and is hereby incorporated by reference) by an amendment hereto or pursuant to a definitive proxy statement pursuant to Regulation 14A that will contain such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Mobileye under the Securities Act or the Exchange Act.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on our Class A common stock with the comparable cumulative return of the NASDAQ Composite index and PHLX Semiconductor index. The graph assumes that $100 was invested in our Class A common stock and in each index on October 26, 2022, the date our Class A common stock began trading on Nasdaq. The comparisons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118745</wp:posOffset>
            </wp:positionV>
            <wp:extent cx="5439410" cy="19964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39410"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firstLine="314"/>
        <w:spacing w:after="0" w:line="296" w:lineRule="auto"/>
        <w:rPr>
          <w:sz w:val="20"/>
          <w:szCs w:val="20"/>
          <w:color w:val="auto"/>
        </w:rPr>
      </w:pPr>
      <w:r>
        <w:rPr>
          <w:rFonts w:ascii="Times New Roman" w:cs="Times New Roman" w:eastAsia="Times New Roman" w:hAnsi="Times New Roman"/>
          <w:sz w:val="17"/>
          <w:szCs w:val="17"/>
          <w:color w:val="auto"/>
        </w:rPr>
        <w:t>*$100 invested at the closing price on the first day of trading on October 26, 2022 of Mobileye Class A common stock and in indices, including reinvestment of dividends.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Shares of Equity Securities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our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72"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financial data for periods ending or as of dates prior to the completion of the Mobileye IPO have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68" w:lineRule="exact"/>
        <w:rPr>
          <w:sz w:val="20"/>
          <w:szCs w:val="20"/>
          <w:color w:val="auto"/>
        </w:rPr>
      </w:pPr>
    </w:p>
    <w:p>
      <w:pPr>
        <w:jc w:val="both"/>
        <w:ind w:firstLine="314"/>
        <w:spacing w:after="0" w:line="239" w:lineRule="auto"/>
        <w:rPr>
          <w:sz w:val="20"/>
          <w:szCs w:val="20"/>
          <w:color w:val="auto"/>
        </w:rPr>
      </w:pPr>
      <w:r>
        <w:rPr>
          <w:rFonts w:ascii="Times New Roman" w:cs="Times New Roman" w:eastAsia="Times New Roman" w:hAnsi="Times New Roman"/>
          <w:sz w:val="17"/>
          <w:szCs w:val="17"/>
          <w:color w:val="auto"/>
        </w:rPr>
        <w:t>As of December 28, 2024, our solutions had been installed in approximately 1200 vehicle models (including local country, year, and other vehicle model variations), and our SoCs had been deployed in over 200 million vehicles. We are actively working with more than 50 OEMs worldwide on the implementation of our ADAS solutions. For the year ended December 28, 2024, we shipped approximately 29.0 million of our systems, of which the substantial majority were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This represents a decrease from the approximately 37.4 million of our systems that we shipped in 2023 and approximately 33.7 million of our systems that we shipped in 2022, primarily due to a significant drawdown of excess inventory at our Tier 1 customers and a reduction in volumes shipped to China in 2024.</w:t>
      </w:r>
    </w:p>
    <w:p>
      <w:pPr>
        <w:spacing w:after="0" w:line="19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and Mobileye IPO in October 2022.</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26" w:lineRule="exact"/>
        <w:rPr>
          <w:sz w:val="20"/>
          <w:szCs w:val="20"/>
          <w:color w:val="auto"/>
        </w:rPr>
      </w:pPr>
    </w:p>
    <w:p>
      <w:pPr>
        <w:jc w:val="both"/>
        <w:ind w:firstLine="314"/>
        <w:spacing w:after="0" w:line="207" w:lineRule="auto"/>
        <w:rPr>
          <w:sz w:val="20"/>
          <w:szCs w:val="20"/>
          <w:color w:val="auto"/>
        </w:rPr>
      </w:pPr>
      <w:r>
        <w:rPr>
          <w:rFonts w:ascii="Times New Roman" w:cs="Times New Roman" w:eastAsia="Times New Roman" w:hAnsi="Times New Roman"/>
          <w:sz w:val="17"/>
          <w:szCs w:val="17"/>
          <w:color w:val="auto"/>
        </w:rPr>
        <w:t>We currently derive substantially all of our revenue from our commercially deployed ADAS solutions, including our Premium ADAS solutions. In the future, propelled by our next generation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including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SoC, our Compound AI system architecture, including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our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and our software-defined imaging radars, we believe that we will be positioned to deliver an autonomous driving solution that can enable the mass adoption of AV.</w:t>
      </w:r>
    </w:p>
    <w:p>
      <w:pPr>
        <w:spacing w:after="0" w:line="187" w:lineRule="exact"/>
        <w:rPr>
          <w:sz w:val="20"/>
          <w:szCs w:val="20"/>
          <w:color w:val="auto"/>
        </w:rPr>
      </w:pPr>
    </w:p>
    <w:p>
      <w:pPr>
        <w:jc w:val="both"/>
        <w:ind w:firstLine="314"/>
        <w:spacing w:after="0" w:line="215" w:lineRule="auto"/>
        <w:rPr>
          <w:sz w:val="20"/>
          <w:szCs w:val="20"/>
          <w:color w:val="auto"/>
        </w:rPr>
      </w:pPr>
      <w:r>
        <w:rPr>
          <w:rFonts w:ascii="Times New Roman" w:cs="Times New Roman" w:eastAsia="Times New Roman" w:hAnsi="Times New Roman"/>
          <w:sz w:val="17"/>
          <w:szCs w:val="17"/>
          <w:color w:val="auto"/>
        </w:rPr>
        <w:t>We generate the majority of our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to OEMs through sales to Tier 1 automotive suppliers. We typically sell our products with volume-based pricing and recognize the revenue and costs associated with our products upon shipment.</w:t>
      </w:r>
    </w:p>
    <w:p>
      <w:pPr>
        <w:spacing w:after="0" w:line="19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70" w:lineRule="exact"/>
        <w:rPr>
          <w:sz w:val="20"/>
          <w:szCs w:val="20"/>
          <w:color w:val="auto"/>
        </w:rPr>
      </w:pPr>
    </w:p>
    <w:p>
      <w:pPr>
        <w:jc w:val="both"/>
        <w:ind w:firstLine="314"/>
        <w:spacing w:after="0" w:line="219" w:lineRule="auto"/>
        <w:rPr>
          <w:sz w:val="20"/>
          <w:szCs w:val="20"/>
          <w:color w:val="auto"/>
        </w:rPr>
      </w:pPr>
      <w:r>
        <w:rPr>
          <w:rFonts w:ascii="Times New Roman" w:cs="Times New Roman" w:eastAsia="Times New Roman" w:hAnsi="Times New Roman"/>
          <w:sz w:val="17"/>
          <w:szCs w:val="17"/>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with STMicroelectronics including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and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We have also established relationships with several suppliers, such as Quanta Computer, to develop and assemble our ECUs, including the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which includes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5 and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 SoCs manufactured by STMicroelectronics.</w:t>
      </w:r>
    </w:p>
    <w:p>
      <w:pPr>
        <w:spacing w:after="0" w:line="82" w:lineRule="exact"/>
        <w:rPr>
          <w:sz w:val="20"/>
          <w:szCs w:val="20"/>
          <w:color w:val="auto"/>
        </w:rPr>
      </w:pPr>
    </w:p>
    <w:p>
      <w:pPr>
        <w:jc w:val="both"/>
        <w:ind w:firstLine="314"/>
        <w:spacing w:after="0" w:line="242" w:lineRule="auto"/>
        <w:rPr>
          <w:sz w:val="20"/>
          <w:szCs w:val="20"/>
          <w:color w:val="auto"/>
        </w:rPr>
      </w:pPr>
      <w:r>
        <w:rPr>
          <w:rFonts w:ascii="Times New Roman" w:cs="Times New Roman" w:eastAsia="Times New Roman" w:hAnsi="Times New Roman"/>
          <w:sz w:val="17"/>
          <w:szCs w:val="17"/>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there are several important factors that have affected and that we expect to continue to affect our results of operations:</w:t>
      </w:r>
    </w:p>
    <w:p>
      <w:pPr>
        <w:spacing w:after="0" w:line="220"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Global demand for automotive vehicles. </w:t>
      </w:r>
      <w:r>
        <w:rPr>
          <w:rFonts w:ascii="Times New Roman" w:cs="Times New Roman" w:eastAsia="Times New Roman" w:hAnsi="Times New Roman"/>
          <w:sz w:val="17"/>
          <w:szCs w:val="17"/>
          <w:color w:val="auto"/>
        </w:rPr>
        <w:t>Our business performance is related to global automotive sales and automotive vehicle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our customers used the vast majority of this excess customer inventory in 2024 in accordance with our expectations, but there is no guarantee that orders will remain normalized or that our customers won’t build up excess inventory in the future. ADAS volumes have grown faster in recent years than the overall automotive market as ADAS penetration rates have increased, and we believe that we will continue to benefit from that trend. Our revenue of $1,654 million for the year ended December 28, 2024 was down 20% year-over-year, primarily due to the aforementioned utilization of excess inventory by our customers during the first half of 2024 and a reduction in volumes shipped to China OEMs in 2024.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175"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Design wins with new and existing customers. </w:t>
      </w:r>
      <w:r>
        <w:rPr>
          <w:rFonts w:ascii="Times New Roman" w:cs="Times New Roman" w:eastAsia="Times New Roman" w:hAnsi="Times New Roman"/>
          <w:sz w:val="17"/>
          <w:szCs w:val="17"/>
          <w:color w:val="auto"/>
        </w:rPr>
        <w:t>Global OEMs are continuously looking for innovative ways to improve the customer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products, though there is no guarantee that our customers will purchase our solutions in any certain quantity or at any certain price even after we achieve design wins. For example, in the third quarter of 2024 Zeekr announced their decision to utilize their in-house system instead of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for at least a major portion of product for their 001 model going forward.</w:t>
      </w:r>
    </w:p>
    <w:p>
      <w:pPr>
        <w:spacing w:after="0" w:line="339" w:lineRule="exact"/>
        <w:rPr>
          <w:sz w:val="20"/>
          <w:szCs w:val="20"/>
          <w:color w:val="auto"/>
        </w:rPr>
      </w:pPr>
    </w:p>
    <w:p>
      <w:pPr>
        <w:jc w:val="both"/>
        <w:ind w:firstLine="314"/>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Investment in technology leadership and product development</w:t>
      </w:r>
      <w:r>
        <w:rPr>
          <w:rFonts w:ascii="Times New Roman" w:cs="Times New Roman" w:eastAsia="Times New Roman" w:hAnsi="Times New Roman"/>
          <w:sz w:val="17"/>
          <w:szCs w:val="17"/>
          <w:color w:val="auto"/>
        </w:rPr>
        <w:t>. We believe our ability to continue to develop and design highly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development of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Regulation for ADAS and autonomous driving solutions</w:t>
      </w:r>
      <w:r>
        <w:rPr>
          <w:rFonts w:ascii="Times New Roman" w:cs="Times New Roman" w:eastAsia="Times New Roman" w:hAnsi="Times New Roman"/>
          <w:sz w:val="17"/>
          <w:szCs w:val="17"/>
          <w:color w:val="auto"/>
        </w:rPr>
        <w:t>. Demand for our solutions is influenced by the impact of regulation and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75"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79"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Consumer adoption of our ADAS and autonomous driving solutions</w:t>
      </w:r>
      <w:r>
        <w:rPr>
          <w:rFonts w:ascii="Times New Roman" w:cs="Times New Roman" w:eastAsia="Times New Roman" w:hAnsi="Times New Roman"/>
          <w:sz w:val="17"/>
          <w:szCs w:val="17"/>
          <w:color w:val="auto"/>
        </w:rPr>
        <w:t>. Our financial performance is in part driven by public awareness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66"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b w:val="1"/>
          <w:bCs w:val="1"/>
          <w:i w:val="1"/>
          <w:iCs w:val="1"/>
          <w:color w:val="auto"/>
        </w:rPr>
        <w:t>Solution mix, pricing, and product costs</w:t>
      </w:r>
      <w:r>
        <w:rPr>
          <w:rFonts w:ascii="Times New Roman" w:cs="Times New Roman" w:eastAsia="Times New Roman" w:hAnsi="Times New Roman"/>
          <w:sz w:val="17"/>
          <w:szCs w:val="17"/>
          <w:color w:val="auto"/>
        </w:rPr>
        <w:t>. Solution mix is among the most important factors affecting our revenue and gross margin,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31" w:lineRule="auto"/>
        <w:rPr>
          <w:sz w:val="20"/>
          <w:szCs w:val="20"/>
          <w:color w:val="auto"/>
        </w:rPr>
      </w:pPr>
      <w:r>
        <w:rPr>
          <w:rFonts w:ascii="Times New Roman" w:cs="Times New Roman" w:eastAsia="Times New Roman" w:hAnsi="Times New Roman"/>
          <w:sz w:val="17"/>
          <w:szCs w:val="17"/>
          <w:color w:val="auto"/>
        </w:rPr>
        <w:t>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other advanced solutions become a larger portion of our product mix.</w:t>
      </w:r>
    </w:p>
    <w:p>
      <w:pPr>
        <w:spacing w:after="0" w:line="82"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385" w:lineRule="exact"/>
        <w:rPr>
          <w:sz w:val="20"/>
          <w:szCs w:val="20"/>
          <w:color w:val="auto"/>
        </w:rPr>
      </w:pPr>
    </w:p>
    <w:p>
      <w:pPr>
        <w:jc w:val="both"/>
        <w:ind w:firstLine="314"/>
        <w:spacing w:after="0" w:line="227" w:lineRule="auto"/>
        <w:rPr>
          <w:sz w:val="20"/>
          <w:szCs w:val="20"/>
          <w:color w:val="auto"/>
        </w:rPr>
      </w:pPr>
      <w:r>
        <w:rPr>
          <w:rFonts w:ascii="Times New Roman" w:cs="Times New Roman" w:eastAsia="Times New Roman" w:hAnsi="Times New Roman"/>
          <w:sz w:val="17"/>
          <w:szCs w:val="17"/>
          <w:b w:val="1"/>
          <w:bCs w:val="1"/>
          <w:i w:val="1"/>
          <w:iCs w:val="1"/>
          <w:color w:val="auto"/>
        </w:rPr>
        <w:t>Supply and manufacturing capacity</w:t>
      </w:r>
      <w:r>
        <w:rPr>
          <w:rFonts w:ascii="Times New Roman" w:cs="Times New Roman" w:eastAsia="Times New Roman" w:hAnsi="Times New Roman"/>
          <w:sz w:val="17"/>
          <w:szCs w:val="17"/>
          <w:color w:val="auto"/>
        </w:rPr>
        <w:t>. Our solutions are dependent on the global semiconductor supply chain. The continued and timely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on our balance sheet as a result of the limited supply during 2021. Further,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during 2022, causing a further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or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ECUs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89"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Public company expenses. </w:t>
      </w:r>
      <w:r>
        <w:rPr>
          <w:rFonts w:ascii="Times New Roman" w:cs="Times New Roman" w:eastAsia="Times New Roman" w:hAnsi="Times New Roman"/>
          <w:sz w:val="17"/>
          <w:szCs w:val="17"/>
          <w:color w:val="auto"/>
        </w:rPr>
        <w:t>As a recently public company, we have implemented and will continue to implement additional procedures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processes for the purpose of addressing the standards and requirements applicable to public companies. In particular, we expect our accounting, legal and personnel-related expenses to increase as we continue to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addition, in connection with the Mobileye IPO, we established an equity incentive plan for purposes of 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Intel Segment Reporting</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8" w:lineRule="exact"/>
        <w:rPr>
          <w:sz w:val="20"/>
          <w:szCs w:val="20"/>
          <w:color w:val="auto"/>
        </w:rPr>
      </w:pPr>
    </w:p>
    <w:p>
      <w:pPr>
        <w:jc w:val="both"/>
        <w:ind w:firstLine="314"/>
        <w:spacing w:after="0" w:line="236" w:lineRule="auto"/>
        <w:rPr>
          <w:sz w:val="20"/>
          <w:szCs w:val="20"/>
          <w:color w:val="auto"/>
        </w:rPr>
      </w:pPr>
      <w:r>
        <w:rPr>
          <w:rFonts w:ascii="Times New Roman" w:cs="Times New Roman" w:eastAsia="Times New Roman" w:hAnsi="Times New Roman"/>
          <w:sz w:val="17"/>
          <w:szCs w:val="17"/>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87" w:lineRule="exact"/>
        <w:rPr>
          <w:sz w:val="20"/>
          <w:szCs w:val="20"/>
          <w:color w:val="auto"/>
        </w:rPr>
      </w:pPr>
    </w:p>
    <w:p>
      <w:pPr>
        <w:jc w:val="both"/>
        <w:ind w:firstLine="314"/>
        <w:spacing w:after="0" w:line="200" w:lineRule="auto"/>
        <w:rPr>
          <w:sz w:val="20"/>
          <w:szCs w:val="20"/>
          <w:color w:val="auto"/>
        </w:rPr>
      </w:pPr>
      <w:r>
        <w:rPr>
          <w:rFonts w:ascii="Times New Roman" w:cs="Times New Roman" w:eastAsia="Times New Roman" w:hAnsi="Times New Roman"/>
          <w:sz w:val="17"/>
          <w:szCs w:val="17"/>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sales represented approximately 86% and 89% of our revenue for the years 2024 and 2023, respectively. Sales of our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product represented the majority of the remainder of our revenue for both 2024 and 2023.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products and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0" w:lineRule="exact"/>
        <w:rPr>
          <w:sz w:val="20"/>
          <w:szCs w:val="20"/>
          <w:color w:val="auto"/>
        </w:rPr>
      </w:pPr>
    </w:p>
    <w:p>
      <w:pPr>
        <w:jc w:val="both"/>
        <w:ind w:firstLine="314"/>
        <w:spacing w:after="0" w:line="207"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and our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 net</w:t>
      </w:r>
    </w:p>
    <w:p>
      <w:pPr>
        <w:spacing w:after="0" w:line="22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spacing w:after="0" w:line="164"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generations, Premium Driver-Assist offerings and the investment in software and hardware infrastructure for our AV solutions and active sensor suite.</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p>
      <w:pPr>
        <w:spacing w:after="0" w:line="175" w:lineRule="exact"/>
        <w:rPr>
          <w:sz w:val="20"/>
          <w:szCs w:val="20"/>
          <w:color w:val="auto"/>
        </w:rPr>
      </w:pPr>
    </w:p>
    <w:p>
      <w:pPr>
        <w:jc w:val="both"/>
        <w:ind w:firstLine="314"/>
        <w:spacing w:after="0" w:line="252" w:lineRule="auto"/>
        <w:rPr>
          <w:sz w:val="20"/>
          <w:szCs w:val="20"/>
          <w:color w:val="auto"/>
        </w:rPr>
      </w:pPr>
      <w:r>
        <w:rPr>
          <w:rFonts w:ascii="Times New Roman" w:cs="Times New Roman" w:eastAsia="Times New Roman" w:hAnsi="Times New Roman"/>
          <w:sz w:val="17"/>
          <w:szCs w:val="17"/>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31" w:lineRule="exact"/>
        <w:rPr>
          <w:sz w:val="20"/>
          <w:szCs w:val="20"/>
          <w:color w:val="auto"/>
        </w:rPr>
      </w:pPr>
    </w:p>
    <w:p>
      <w:pPr>
        <w:jc w:val="both"/>
        <w:ind w:firstLine="314"/>
        <w:spacing w:after="0" w:line="280" w:lineRule="auto"/>
        <w:rPr>
          <w:sz w:val="20"/>
          <w:szCs w:val="20"/>
          <w:color w:val="auto"/>
        </w:rPr>
      </w:pPr>
      <w:r>
        <w:rPr>
          <w:rFonts w:ascii="Times New Roman" w:cs="Times New Roman" w:eastAsia="Times New Roman" w:hAnsi="Times New Roman"/>
          <w:sz w:val="17"/>
          <w:szCs w:val="17"/>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75" w:lineRule="exact"/>
        <w:rPr>
          <w:sz w:val="20"/>
          <w:szCs w:val="20"/>
          <w:color w:val="auto"/>
        </w:rPr>
      </w:pPr>
    </w:p>
    <w:p>
      <w:pPr>
        <w:jc w:val="both"/>
        <w:ind w:firstLine="314"/>
        <w:spacing w:after="0" w:line="252"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31" w:lineRule="exact"/>
        <w:rPr>
          <w:sz w:val="20"/>
          <w:szCs w:val="20"/>
          <w:color w:val="auto"/>
        </w:rPr>
      </w:pPr>
    </w:p>
    <w:p>
      <w:pPr>
        <w:jc w:val="both"/>
        <w:ind w:firstLine="314"/>
        <w:spacing w:after="0" w:line="243" w:lineRule="auto"/>
        <w:rPr>
          <w:sz w:val="20"/>
          <w:szCs w:val="20"/>
          <w:color w:val="auto"/>
        </w:rPr>
      </w:pPr>
      <w:r>
        <w:rPr>
          <w:rFonts w:ascii="Times New Roman" w:cs="Times New Roman" w:eastAsia="Times New Roman" w:hAnsi="Times New Roman"/>
          <w:sz w:val="17"/>
          <w:szCs w:val="17"/>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including the need to hire more personnel to support compliance with SEC rules and regulations and the applicable provisions of the Sarbanes-Oxley Act, as well as increased premiums for directors’ and officers’ insurance and the increased use of share-based compensation for general and administrative personnel.</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Goodwill Impairment</w:t>
      </w:r>
    </w:p>
    <w:p>
      <w:pPr>
        <w:spacing w:after="0" w:line="175" w:lineRule="exact"/>
        <w:rPr>
          <w:sz w:val="20"/>
          <w:szCs w:val="20"/>
          <w:color w:val="auto"/>
        </w:rPr>
      </w:pPr>
    </w:p>
    <w:p>
      <w:pPr>
        <w:jc w:val="both"/>
        <w:ind w:firstLine="314"/>
        <w:spacing w:after="0" w:line="280" w:lineRule="auto"/>
        <w:rPr>
          <w:sz w:val="20"/>
          <w:szCs w:val="20"/>
          <w:color w:val="auto"/>
        </w:rPr>
      </w:pPr>
      <w:r>
        <w:rPr>
          <w:rFonts w:ascii="Times New Roman" w:cs="Times New Roman" w:eastAsia="Times New Roman" w:hAnsi="Times New Roman"/>
          <w:sz w:val="17"/>
          <w:szCs w:val="17"/>
          <w:color w:val="auto"/>
        </w:rPr>
        <w:t>Goodwill impairment expenses consist of a non-cash impairment loss recognized for the goodwill of the “Mobileye” reporting unit in the year ended December 28, 2024, as a result of the impairment analysis the Company performed during the third quarter of 2024.</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(Expense) with related party, net and Other Financial Income (Expense), net</w:t>
      </w:r>
    </w:p>
    <w:p>
      <w:pPr>
        <w:spacing w:after="0" w:line="175" w:lineRule="exact"/>
        <w:rPr>
          <w:sz w:val="20"/>
          <w:szCs w:val="20"/>
          <w:color w:val="auto"/>
        </w:rPr>
      </w:pPr>
    </w:p>
    <w:p>
      <w:pPr>
        <w:jc w:val="both"/>
        <w:ind w:firstLine="314"/>
        <w:spacing w:after="0" w:line="247" w:lineRule="auto"/>
        <w:rPr>
          <w:sz w:val="20"/>
          <w:szCs w:val="20"/>
          <w:color w:val="auto"/>
        </w:rPr>
      </w:pPr>
      <w:r>
        <w:rPr>
          <w:rFonts w:ascii="Times New Roman" w:cs="Times New Roman" w:eastAsia="Times New Roman" w:hAnsi="Times New Roman"/>
          <w:sz w:val="17"/>
          <w:szCs w:val="17"/>
          <w:color w:val="auto"/>
        </w:rPr>
        <w:t>On April 21, 2022, we and Intel entered into a loan agreement whereby we issued a promissory note to Intel in an aggregate principal amount of $3.5 billion (the “Dividend Note”). The Dividend Note accrues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spacing w:after="0" w:line="134" w:lineRule="exact"/>
        <w:rPr>
          <w:sz w:val="20"/>
          <w:szCs w:val="20"/>
          <w:color w:val="auto"/>
        </w:rPr>
      </w:pPr>
    </w:p>
    <w:p>
      <w:pPr>
        <w:jc w:val="both"/>
        <w:ind w:firstLine="314"/>
        <w:spacing w:after="0" w:line="252" w:lineRule="auto"/>
        <w:rPr>
          <w:sz w:val="20"/>
          <w:szCs w:val="20"/>
          <w:color w:val="auto"/>
        </w:rPr>
      </w:pPr>
      <w:r>
        <w:rPr>
          <w:rFonts w:ascii="Times New Roman" w:cs="Times New Roman" w:eastAsia="Times New Roman" w:hAnsi="Times New Roman"/>
          <w:sz w:val="17"/>
          <w:szCs w:val="17"/>
          <w:color w:val="auto"/>
        </w:rPr>
        <w:t>In the years ended December 28, 2024 and December 30, 2023, we had no interest income (expense) with related party since the outstanding balance of both the Dividend Note and a loan to Intel were zero as of December 31, 2022. In the year ended December 31, 2022, we incurred a net interest expense with related party of $(6) million which mainly relates to accrued interest on the Dividend Note to Intel.</w:t>
      </w:r>
    </w:p>
    <w:p>
      <w:pPr>
        <w:spacing w:after="0" w:line="131"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Other financial income (expense), net, consists primarily of income related to investments in money market funds, as well as income from short term deposits, fair value revaluation of equity investments and fluctuations in value due to foreign exchange differences between our monetary assets and liabilities denominated in New Israeli Shekels and to a much lesser extent, the Euro, the Chinese Yuan, the Japanese Yen, and other currencies.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4915" cy="16510"/>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Benefit (provision) for income taxes</w:t>
      </w:r>
    </w:p>
    <w:p>
      <w:pPr>
        <w:spacing w:after="0" w:line="175"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the OECD announced an Inclusive Framework on Base Erosion and Profit Shifting including Pillar Two Model Rules defining the global minimum tax in 2021,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w:t>
      </w:r>
    </w:p>
    <w:p>
      <w:pPr>
        <w:spacing w:after="0" w:line="140" w:lineRule="exact"/>
        <w:rPr>
          <w:sz w:val="20"/>
          <w:szCs w:val="20"/>
          <w:color w:val="auto"/>
        </w:rPr>
      </w:pPr>
    </w:p>
    <w:p>
      <w:pPr>
        <w:jc w:val="both"/>
        <w:ind w:firstLine="314"/>
        <w:spacing w:after="0" w:line="245" w:lineRule="auto"/>
        <w:rPr>
          <w:sz w:val="20"/>
          <w:szCs w:val="20"/>
          <w:color w:val="auto"/>
        </w:rPr>
      </w:pPr>
      <w:r>
        <w:rPr>
          <w:rFonts w:ascii="Times New Roman" w:cs="Times New Roman" w:eastAsia="Times New Roman" w:hAnsi="Times New Roman"/>
          <w:sz w:val="17"/>
          <w:szCs w:val="17"/>
          <w:color w:val="auto"/>
        </w:rPr>
        <w:t>During the years presented in our consolidated financial statements, certain components of our business operations were included in the consolidated U.S. tax return filed by Intel. We also file certain foreign income tax returns on a separate basis, distinct from Intel. The income tax provision included in our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tax return method approach. The use of the separate return method may result in differences between our income tax provision compared to Intel’s consolidated income tax provision.</w:t>
      </w:r>
    </w:p>
    <w:p>
      <w:pPr>
        <w:spacing w:after="0" w:line="126" w:lineRule="exact"/>
        <w:rPr>
          <w:sz w:val="20"/>
          <w:szCs w:val="20"/>
          <w:color w:val="auto"/>
        </w:rPr>
      </w:pPr>
    </w:p>
    <w:p>
      <w:pPr>
        <w:jc w:val="both"/>
        <w:ind w:firstLine="314"/>
        <w:spacing w:after="0" w:line="247" w:lineRule="auto"/>
        <w:rPr>
          <w:sz w:val="20"/>
          <w:szCs w:val="20"/>
          <w:color w:val="auto"/>
        </w:rPr>
      </w:pPr>
      <w:r>
        <w:rPr>
          <w:rFonts w:ascii="Times New Roman" w:cs="Times New Roman" w:eastAsia="Times New Roman" w:hAnsi="Times New Roman"/>
          <w:sz w:val="17"/>
          <w:szCs w:val="17"/>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335"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consolidated financial statements primarily relates to U.S. branch deferred tax assets not currently expected to be realized given that we have sustained recent losses based on the separate return method.</w:t>
      </w:r>
    </w:p>
    <w:p>
      <w:pPr>
        <w:spacing w:after="0" w:line="135"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 consolidated financial statements because the Company will recognize a benefit based on the separate return method when determined to be realizable.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4915" cy="16510"/>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in dollars and as a percentage of revenue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gridSpan w:val="4"/>
          </w:tcPr>
          <w:p>
            <w:pPr>
              <w:jc w:val="right"/>
              <w:ind w:right="733"/>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5"/>
          </w:tcPr>
          <w:p>
            <w:pPr>
              <w:jc w:val="center"/>
              <w:ind w:left="316"/>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9"/>
          </w:tcPr>
          <w:p>
            <w:pPr>
              <w:jc w:val="center"/>
              <w:ind w:right="35"/>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5"/>
              <w:spacing w:after="0" w:line="13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1020" w:type="dxa"/>
            <w:vAlign w:val="bottom"/>
          </w:tcPr>
          <w:p>
            <w:pPr>
              <w:jc w:val="right"/>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6"/>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1020" w:type="dxa"/>
            <w:vAlign w:val="bottom"/>
            <w:gridSpan w:val="4"/>
          </w:tcPr>
          <w:p>
            <w:pPr>
              <w:jc w:val="right"/>
              <w:ind w:right="14"/>
              <w:spacing w:after="0" w:line="137"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jc w:val="right"/>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6"/>
          </w:tcPr>
          <w:p>
            <w:pPr>
              <w:jc w:val="right"/>
              <w:ind w:right="35"/>
              <w:spacing w:after="0" w:line="137" w:lineRule="exact"/>
              <w:rPr>
                <w:sz w:val="20"/>
                <w:szCs w:val="20"/>
                <w:color w:val="auto"/>
              </w:rPr>
            </w:pPr>
            <w:r>
              <w:rPr>
                <w:rFonts w:ascii="Times New Roman" w:cs="Times New Roman" w:eastAsia="Times New Roman" w:hAnsi="Times New Roman"/>
                <w:sz w:val="14"/>
                <w:szCs w:val="14"/>
                <w:b w:val="1"/>
                <w:bCs w:val="1"/>
                <w:color w:val="auto"/>
                <w:w w:val="97"/>
              </w:rPr>
              <w:t>% of Revenue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42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55 %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741</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4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65 %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42 %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2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7 %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4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142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163 %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(3,225)</w:t>
            </w:r>
          </w:p>
        </w:tc>
        <w:tc>
          <w:tcPr>
            <w:tcW w:w="1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w:t>
            </w:r>
          </w:p>
        </w:tc>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Borders>
              <w:top w:val="single" w:sz="8" w:color="CCEEFF"/>
            </w:tcBorders>
            <w:gridSpan w:val="3"/>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Interest income (expense) with related party,</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lef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and other financial income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4 %</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2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(3,163)</w:t>
            </w:r>
          </w:p>
        </w:tc>
        <w:tc>
          <w:tcPr>
            <w:tcW w:w="160" w:type="dxa"/>
            <w:vAlign w:val="bottom"/>
            <w:vMerge w:val="continue"/>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(3,090)</w:t>
            </w:r>
          </w:p>
        </w:tc>
        <w:tc>
          <w:tcPr>
            <w:tcW w:w="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(187)</w:t>
            </w:r>
          </w:p>
        </w:tc>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700" w:type="dxa"/>
            <w:vAlign w:val="bottom"/>
            <w:gridSpan w:val="7"/>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(1) Includes amortization of acquired intangible assets,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20"/>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9"/>
        </w:trPr>
        <w:tc>
          <w:tcPr>
            <w:tcW w:w="32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amortization of acquired intangible assets</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444</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474</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700" w:type="dxa"/>
            <w:vAlign w:val="bottom"/>
            <w:gridSpan w:val="7"/>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(2) Includes share-based compensation expense,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0"/>
                <w:szCs w:val="10"/>
                <w:color w:val="auto"/>
              </w:rPr>
            </w:pPr>
          </w:p>
        </w:tc>
        <w:tc>
          <w:tcPr>
            <w:tcW w:w="920" w:type="dxa"/>
            <w:vAlign w:val="bottom"/>
            <w:gridSpan w:val="4"/>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3"/>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CCEEFF"/>
            </w:tcBorders>
            <w:gridSpan w:val="4"/>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Research and development,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share-based compensation</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252</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28, 2024 and December 30, 2023</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8" w:lineRule="exact"/>
        <w:rPr>
          <w:sz w:val="20"/>
          <w:szCs w:val="20"/>
          <w:color w:val="auto"/>
        </w:rPr>
      </w:pPr>
    </w:p>
    <w:p>
      <w:pPr>
        <w:ind w:right="100" w:firstLine="314"/>
        <w:spacing w:after="0" w:line="215" w:lineRule="auto"/>
        <w:rPr>
          <w:sz w:val="20"/>
          <w:szCs w:val="20"/>
          <w:color w:val="auto"/>
        </w:rPr>
      </w:pPr>
      <w:r>
        <w:rPr>
          <w:rFonts w:ascii="Times New Roman" w:cs="Times New Roman" w:eastAsia="Times New Roman" w:hAnsi="Times New Roman"/>
          <w:sz w:val="17"/>
          <w:szCs w:val="17"/>
          <w:color w:val="auto"/>
        </w:rPr>
        <w:t>In 2024, revenue was $1,654 million, down $425 million, or 20%, compared to 2023. This decrease in revenue was primarily due to a decrease of $438 million, or 24%,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revenue attributable mainly to a 23% decrease in volume, which was primarily related to the previously disclosed meaningful build-up of inventory at our Tier 1 customers, including in the fourth quarter of 2023. The vast majority of this excess inventory was consumed to satisfy demand in the first half of 2024. This was offset by a slight increase in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related revenue.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4915" cy="16510"/>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8" w:lineRule="exact"/>
        <w:rPr>
          <w:sz w:val="20"/>
          <w:szCs w:val="20"/>
          <w:color w:val="auto"/>
        </w:rPr>
      </w:pPr>
    </w:p>
    <w:p>
      <w:pPr>
        <w:ind w:firstLine="314"/>
        <w:spacing w:after="0" w:line="224" w:lineRule="auto"/>
        <w:rPr>
          <w:sz w:val="20"/>
          <w:szCs w:val="20"/>
          <w:color w:val="auto"/>
        </w:rPr>
      </w:pPr>
      <w:r>
        <w:rPr>
          <w:rFonts w:ascii="Times New Roman" w:cs="Times New Roman" w:eastAsia="Times New Roman" w:hAnsi="Times New Roman"/>
          <w:sz w:val="17"/>
          <w:szCs w:val="17"/>
          <w:color w:val="auto"/>
        </w:rPr>
        <w:t>In 2024, our cost of revenue decreased by $119 million, or 12%, compared to 2023. This decrease was primarily due to a decrease of $87 million in manufacturing costs relating primarily due to the decrease in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in addition to a $30 million decrease in amortization expenses of intangible assets.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margin</w:t>
      </w:r>
    </w:p>
    <w:p>
      <w:pPr>
        <w:spacing w:after="0" w:line="228" w:lineRule="exact"/>
        <w:rPr>
          <w:sz w:val="20"/>
          <w:szCs w:val="20"/>
          <w:color w:val="auto"/>
        </w:rPr>
      </w:pPr>
    </w:p>
    <w:p>
      <w:pPr>
        <w:ind w:right="40" w:firstLine="314"/>
        <w:spacing w:after="0" w:line="282" w:lineRule="auto"/>
        <w:rPr>
          <w:sz w:val="20"/>
          <w:szCs w:val="20"/>
          <w:color w:val="auto"/>
        </w:rPr>
      </w:pPr>
      <w:r>
        <w:rPr>
          <w:rFonts w:ascii="Times New Roman" w:cs="Times New Roman" w:eastAsia="Times New Roman" w:hAnsi="Times New Roman"/>
          <w:sz w:val="17"/>
          <w:szCs w:val="17"/>
          <w:color w:val="auto"/>
        </w:rPr>
        <w:t>In 2024, our gross profit decreased by $306 million, or 29%, compared to 2023. The decrease was mainly due to the decrease in revenue from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sales, partially offset by the decrease in amortization expenses of intangible assets.</w:t>
      </w:r>
    </w:p>
    <w:p>
      <w:pPr>
        <w:spacing w:after="0" w:line="48" w:lineRule="exact"/>
        <w:rPr>
          <w:sz w:val="20"/>
          <w:szCs w:val="20"/>
          <w:color w:val="auto"/>
        </w:rPr>
      </w:pPr>
    </w:p>
    <w:p>
      <w:pPr>
        <w:ind w:right="160" w:firstLine="314"/>
        <w:spacing w:after="0" w:line="296" w:lineRule="auto"/>
        <w:rPr>
          <w:sz w:val="20"/>
          <w:szCs w:val="20"/>
          <w:color w:val="auto"/>
        </w:rPr>
      </w:pPr>
      <w:r>
        <w:rPr>
          <w:rFonts w:ascii="Times New Roman" w:cs="Times New Roman" w:eastAsia="Times New Roman" w:hAnsi="Times New Roman"/>
          <w:sz w:val="17"/>
          <w:szCs w:val="17"/>
          <w:color w:val="auto"/>
        </w:rPr>
        <w:t>Our gross margin decreased from 50% during 2023, to 45% during 2024. This decrease was mainly due to a higher impact of amortization of intangible assets as a percentage of revenues, as well as the impact of higher EyeQ-related costs per unit due to mix effects.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 net</w:t>
      </w:r>
    </w:p>
    <w:p>
      <w:pPr>
        <w:spacing w:after="0" w:line="228" w:lineRule="exact"/>
        <w:rPr>
          <w:sz w:val="20"/>
          <w:szCs w:val="20"/>
          <w:color w:val="auto"/>
        </w:rPr>
      </w:pPr>
    </w:p>
    <w:p>
      <w:pPr>
        <w:ind w:right="80" w:firstLine="314"/>
        <w:spacing w:after="0" w:line="267" w:lineRule="auto"/>
        <w:rPr>
          <w:sz w:val="20"/>
          <w:szCs w:val="20"/>
          <w:color w:val="auto"/>
        </w:rPr>
      </w:pPr>
      <w:r>
        <w:rPr>
          <w:rFonts w:ascii="Times New Roman" w:cs="Times New Roman" w:eastAsia="Times New Roman" w:hAnsi="Times New Roman"/>
          <w:sz w:val="17"/>
          <w:szCs w:val="17"/>
          <w:color w:val="auto"/>
        </w:rPr>
        <w:t>Research and development expenses, net, in 2024, increased by $194 million, or 22%, compared to 2023. This increase was primarily due to an increase in payroll and related expenses, resulting from an increase in average research and development headcount of 348 employees, and an increase in share-based compensation, which was partially offset by military duty reserve refunds from the state of Israel. In addition, there was an increase related to investments attributable to new product development and also an increase in depreciation costs associated with the new campus and additional sites.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p>
      <w:pPr>
        <w:spacing w:after="0" w:line="228" w:lineRule="exact"/>
        <w:rPr>
          <w:sz w:val="20"/>
          <w:szCs w:val="20"/>
          <w:color w:val="auto"/>
        </w:rPr>
      </w:pPr>
    </w:p>
    <w:p>
      <w:pPr>
        <w:ind w:right="140" w:firstLine="314"/>
        <w:spacing w:after="0" w:line="276" w:lineRule="auto"/>
        <w:rPr>
          <w:sz w:val="20"/>
          <w:szCs w:val="20"/>
          <w:color w:val="auto"/>
        </w:rPr>
      </w:pPr>
      <w:r>
        <w:rPr>
          <w:rFonts w:ascii="Times New Roman" w:cs="Times New Roman" w:eastAsia="Times New Roman" w:hAnsi="Times New Roman"/>
          <w:sz w:val="17"/>
          <w:szCs w:val="17"/>
          <w:color w:val="auto"/>
        </w:rPr>
        <w:t>Sales and marketing expenses in 2024 remained flat compared to 2023, mainly due to an increase in marketing expenses which was offset by a decrease in payroll and related expenses including share-based compensation which is mainly associated to the winding down of the Aftermarket Solutions Unit in 2024.</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28" w:lineRule="exact"/>
        <w:rPr>
          <w:sz w:val="20"/>
          <w:szCs w:val="20"/>
          <w:color w:val="auto"/>
        </w:rPr>
      </w:pPr>
    </w:p>
    <w:p>
      <w:pPr>
        <w:ind w:right="380" w:firstLine="314"/>
        <w:spacing w:after="0" w:line="296" w:lineRule="auto"/>
        <w:rPr>
          <w:sz w:val="20"/>
          <w:szCs w:val="20"/>
          <w:color w:val="auto"/>
        </w:rPr>
      </w:pPr>
      <w:r>
        <w:rPr>
          <w:rFonts w:ascii="Times New Roman" w:cs="Times New Roman" w:eastAsia="Times New Roman" w:hAnsi="Times New Roman"/>
          <w:sz w:val="17"/>
          <w:szCs w:val="17"/>
          <w:color w:val="auto"/>
        </w:rPr>
        <w:t>General and administrative expenses in 2024 decreased by $3 million, or 4%, compared to 2023. This decrease was mainly due to a decrease in legal and corporate expenses.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Goodwill Impairment</w:t>
      </w:r>
    </w:p>
    <w:p>
      <w:pPr>
        <w:spacing w:after="0" w:line="228" w:lineRule="exact"/>
        <w:rPr>
          <w:sz w:val="20"/>
          <w:szCs w:val="20"/>
          <w:color w:val="auto"/>
        </w:rPr>
      </w:pPr>
    </w:p>
    <w:p>
      <w:pPr>
        <w:ind w:right="40" w:firstLine="314"/>
        <w:spacing w:after="0" w:line="276" w:lineRule="auto"/>
        <w:rPr>
          <w:sz w:val="20"/>
          <w:szCs w:val="20"/>
          <w:color w:val="auto"/>
        </w:rPr>
      </w:pPr>
      <w:r>
        <w:rPr>
          <w:rFonts w:ascii="Times New Roman" w:cs="Times New Roman" w:eastAsia="Times New Roman" w:hAnsi="Times New Roman"/>
          <w:sz w:val="17"/>
          <w:szCs w:val="17"/>
          <w:color w:val="auto"/>
        </w:rPr>
        <w:t>Goodwill impairment expenses were $2,695 million in 2024 and zero in 2023. During the third quarter of 2024, the Company performed an interim quantitative goodwill impairment analysis for the “Mobileye” reporting unit, resulting in a non-cash impairment loss. For further details, refer to Note 10 to the Consolidated Financial Statements included in this report.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(expense) with Related Party, net and Other Financial Income (expense), net</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Interest income (expense) with related party, net was zero in both 2024 and 2023.</w:t>
      </w:r>
    </w:p>
    <w:p>
      <w:pPr>
        <w:spacing w:after="0" w:line="224" w:lineRule="exact"/>
        <w:rPr>
          <w:sz w:val="20"/>
          <w:szCs w:val="20"/>
          <w:color w:val="auto"/>
        </w:rPr>
      </w:pPr>
    </w:p>
    <w:p>
      <w:pPr>
        <w:ind w:right="320" w:firstLine="314"/>
        <w:spacing w:after="0" w:line="276" w:lineRule="auto"/>
        <w:rPr>
          <w:sz w:val="20"/>
          <w:szCs w:val="20"/>
          <w:color w:val="auto"/>
        </w:rPr>
      </w:pPr>
      <w:r>
        <w:rPr>
          <w:rFonts w:ascii="Times New Roman" w:cs="Times New Roman" w:eastAsia="Times New Roman" w:hAnsi="Times New Roman"/>
          <w:sz w:val="17"/>
          <w:szCs w:val="17"/>
          <w:color w:val="auto"/>
        </w:rPr>
        <w:t>Other financial income (expense) net in 2024, was $62 million compared to $49 million in 2023. This increase was mainly due to an increase in interest earned on short term bank deposits, a decrease in exchange rate differences expense and income from fair value revaluation of equity investments executed during 2024.</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Benefit (Provision) for Income Tax</w:t>
      </w:r>
    </w:p>
    <w:p>
      <w:pPr>
        <w:spacing w:after="0" w:line="228" w:lineRule="exact"/>
        <w:rPr>
          <w:sz w:val="20"/>
          <w:szCs w:val="20"/>
          <w:color w:val="auto"/>
        </w:rPr>
      </w:pPr>
    </w:p>
    <w:p>
      <w:pPr>
        <w:ind w:right="240" w:firstLine="314"/>
        <w:spacing w:after="0" w:line="296" w:lineRule="auto"/>
        <w:rPr>
          <w:sz w:val="20"/>
          <w:szCs w:val="20"/>
          <w:color w:val="auto"/>
        </w:rPr>
      </w:pPr>
      <w:r>
        <w:rPr>
          <w:rFonts w:ascii="Times New Roman" w:cs="Times New Roman" w:eastAsia="Times New Roman" w:hAnsi="Times New Roman"/>
          <w:sz w:val="17"/>
          <w:szCs w:val="17"/>
          <w:color w:val="auto"/>
        </w:rPr>
        <w:t>In 2024, benefit for income tax was $73 million, compared to a $(43) million provision for income tax in 2023. This change is mainly due to the deferred tax effects of goodwill impairment to the Mobileye reporting unit, as well as higher loss before income taxes in 2024.</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00"/>
          </w:cols>
          <w:pgMar w:left="980" w:top="645"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30, 2023 and December 31, 2022</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8" w:lineRule="exact"/>
        <w:rPr>
          <w:sz w:val="20"/>
          <w:szCs w:val="20"/>
          <w:color w:val="auto"/>
        </w:rPr>
      </w:pPr>
    </w:p>
    <w:p>
      <w:pPr>
        <w:ind w:right="220" w:firstLine="314"/>
        <w:spacing w:after="0" w:line="229" w:lineRule="auto"/>
        <w:rPr>
          <w:sz w:val="20"/>
          <w:szCs w:val="20"/>
          <w:color w:val="auto"/>
        </w:rPr>
      </w:pPr>
      <w:r>
        <w:rPr>
          <w:rFonts w:ascii="Times New Roman" w:cs="Times New Roman" w:eastAsia="Times New Roman" w:hAnsi="Times New Roman"/>
          <w:sz w:val="17"/>
          <w:szCs w:val="17"/>
          <w:color w:val="auto"/>
        </w:rPr>
        <w:t>In 2023, revenue was $2,079 million, up $210 million, or 11%, compared to 2022. This increase in revenue was primarily due to an increase of $189 million, or 11%,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revenue, attributable to an 11% increase in volume, with ASP remaining consistent with prior year, some increase in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sales and initial sales of self-driving systems.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8" w:lineRule="exact"/>
        <w:rPr>
          <w:sz w:val="20"/>
          <w:szCs w:val="20"/>
          <w:color w:val="auto"/>
        </w:rPr>
      </w:pPr>
    </w:p>
    <w:p>
      <w:pPr>
        <w:jc w:val="both"/>
        <w:ind w:firstLine="314"/>
        <w:spacing w:after="0" w:line="224" w:lineRule="auto"/>
        <w:rPr>
          <w:sz w:val="20"/>
          <w:szCs w:val="20"/>
          <w:color w:val="auto"/>
        </w:rPr>
      </w:pPr>
      <w:r>
        <w:rPr>
          <w:rFonts w:ascii="Times New Roman" w:cs="Times New Roman" w:eastAsia="Times New Roman" w:hAnsi="Times New Roman"/>
          <w:sz w:val="17"/>
          <w:szCs w:val="17"/>
          <w:color w:val="auto"/>
        </w:rPr>
        <w:t>In 2023, our cost of revenue increased by $85 million, or 9%, compared to 2022. This increase was primarily due to an increase of $138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and our sales of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solution, offset by $63 million decrease in amortization expenses of intangible assets.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margin</w:t>
      </w:r>
    </w:p>
    <w:p>
      <w:pPr>
        <w:spacing w:after="0" w:line="228" w:lineRule="exact"/>
        <w:rPr>
          <w:sz w:val="20"/>
          <w:szCs w:val="20"/>
          <w:color w:val="auto"/>
        </w:rPr>
      </w:pPr>
    </w:p>
    <w:p>
      <w:pPr>
        <w:ind w:right="440" w:firstLine="314"/>
        <w:spacing w:after="0" w:line="282" w:lineRule="auto"/>
        <w:rPr>
          <w:sz w:val="20"/>
          <w:szCs w:val="20"/>
          <w:color w:val="auto"/>
        </w:rPr>
      </w:pPr>
      <w:r>
        <w:rPr>
          <w:rFonts w:ascii="Times New Roman" w:cs="Times New Roman" w:eastAsia="Times New Roman" w:hAnsi="Times New Roman"/>
          <w:sz w:val="17"/>
          <w:szCs w:val="17"/>
          <w:color w:val="auto"/>
        </w:rPr>
        <w:t>In 2023, our gross profit increased by $125 million, or 14%, compared to 2022. The increase was mainly driven by the increase in revenue from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sales, as well as the decrease in amortization expenses of intangible assets.</w:t>
      </w:r>
    </w:p>
    <w:p>
      <w:pPr>
        <w:spacing w:after="0" w:line="48" w:lineRule="exact"/>
        <w:rPr>
          <w:sz w:val="20"/>
          <w:szCs w:val="20"/>
          <w:color w:val="auto"/>
        </w:rPr>
      </w:pPr>
    </w:p>
    <w:p>
      <w:pPr>
        <w:ind w:firstLine="314"/>
        <w:spacing w:after="0" w:line="272" w:lineRule="auto"/>
        <w:rPr>
          <w:sz w:val="20"/>
          <w:szCs w:val="20"/>
          <w:color w:val="auto"/>
        </w:rPr>
      </w:pPr>
      <w:r>
        <w:rPr>
          <w:rFonts w:ascii="Times New Roman" w:cs="Times New Roman" w:eastAsia="Times New Roman" w:hAnsi="Times New Roman"/>
          <w:sz w:val="17"/>
          <w:szCs w:val="17"/>
          <w:color w:val="auto"/>
        </w:rPr>
        <w:t>Our gross margin increased from 49% during 2022, to 50% during 2023. This increase was mainly due to lower cost attributable to amortization of intangible assets as a percentage of revenues, which was partially offset by the downward impact of the increased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(which was passed through as a price increase to our customers on a zero-margin basis).</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 Net</w:t>
      </w:r>
    </w:p>
    <w:p>
      <w:pPr>
        <w:spacing w:after="0" w:line="228" w:lineRule="exact"/>
        <w:rPr>
          <w:sz w:val="20"/>
          <w:szCs w:val="20"/>
          <w:color w:val="auto"/>
        </w:rPr>
      </w:pPr>
    </w:p>
    <w:p>
      <w:pPr>
        <w:ind w:right="100" w:firstLine="314"/>
        <w:spacing w:after="0" w:line="265" w:lineRule="auto"/>
        <w:rPr>
          <w:sz w:val="20"/>
          <w:szCs w:val="20"/>
          <w:color w:val="auto"/>
        </w:rPr>
      </w:pPr>
      <w:r>
        <w:rPr>
          <w:rFonts w:ascii="Times New Roman" w:cs="Times New Roman" w:eastAsia="Times New Roman" w:hAnsi="Times New Roman"/>
          <w:sz w:val="17"/>
          <w:szCs w:val="17"/>
          <w:color w:val="auto"/>
        </w:rPr>
        <w:t>Research and development expenses, net, in 2023, increased by $100 million, or 13%, compared to 2022. This increase was primarily due to an increase of $59 million in share-based compensation expenses, an increase of $44 million in cloud computing services and investments attributable to new product development offset by $31 million of higher NRE reimbursements in 2023 and an increase of $32 million in facilities and related expenses due to the occupancy of new sites. Average research and development headcount increased by 367 employees, however the related payroll expenses were mainly offset by ILS/USD foreign exchange rate impact and military duty reserve refunds from the state of Israel.</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p>
      <w:pPr>
        <w:spacing w:after="0" w:line="228" w:lineRule="exact"/>
        <w:rPr>
          <w:sz w:val="20"/>
          <w:szCs w:val="20"/>
          <w:color w:val="auto"/>
        </w:rPr>
      </w:pPr>
    </w:p>
    <w:p>
      <w:pPr>
        <w:ind w:right="20" w:firstLine="314"/>
        <w:spacing w:after="0" w:line="296" w:lineRule="auto"/>
        <w:rPr>
          <w:sz w:val="20"/>
          <w:szCs w:val="20"/>
          <w:color w:val="auto"/>
        </w:rPr>
      </w:pPr>
      <w:r>
        <w:rPr>
          <w:rFonts w:ascii="Times New Roman" w:cs="Times New Roman" w:eastAsia="Times New Roman" w:hAnsi="Times New Roman"/>
          <w:sz w:val="17"/>
          <w:szCs w:val="17"/>
          <w:color w:val="auto"/>
        </w:rPr>
        <w:t>Sales and marketing expenses in 2023 decreased by $2 million, or 2%, compared to 2022. The decrease was mainly due to a decrease in amortization expenses of intangible assets, partially offset by an increase in marketing expenses.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28" w:lineRule="exact"/>
        <w:rPr>
          <w:sz w:val="20"/>
          <w:szCs w:val="20"/>
          <w:color w:val="auto"/>
        </w:rPr>
      </w:pPr>
    </w:p>
    <w:p>
      <w:pPr>
        <w:ind w:right="120" w:firstLine="314"/>
        <w:spacing w:after="0" w:line="296" w:lineRule="auto"/>
        <w:rPr>
          <w:sz w:val="20"/>
          <w:szCs w:val="20"/>
          <w:color w:val="auto"/>
        </w:rPr>
      </w:pPr>
      <w:r>
        <w:rPr>
          <w:rFonts w:ascii="Times New Roman" w:cs="Times New Roman" w:eastAsia="Times New Roman" w:hAnsi="Times New Roman"/>
          <w:sz w:val="17"/>
          <w:szCs w:val="17"/>
          <w:color w:val="auto"/>
        </w:rPr>
        <w:t>General and administrative expenses in 2023 increased by $23 million, or 46%, compared to 2022. This increase was mainly due to an increase of $17 million in share-based compensation, as well as costs related to being a public company.</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(Expenses) with related party, net and Other Financial Income (expense), net</w:t>
      </w:r>
    </w:p>
    <w:p>
      <w:pPr>
        <w:spacing w:after="0" w:line="228" w:lineRule="exact"/>
        <w:rPr>
          <w:sz w:val="20"/>
          <w:szCs w:val="20"/>
          <w:color w:val="auto"/>
        </w:rPr>
      </w:pPr>
    </w:p>
    <w:p>
      <w:pPr>
        <w:ind w:right="180" w:firstLine="314"/>
        <w:spacing w:after="0" w:line="296" w:lineRule="auto"/>
        <w:rPr>
          <w:sz w:val="20"/>
          <w:szCs w:val="20"/>
          <w:color w:val="auto"/>
        </w:rPr>
      </w:pPr>
      <w:r>
        <w:rPr>
          <w:rFonts w:ascii="Times New Roman" w:cs="Times New Roman" w:eastAsia="Times New Roman" w:hAnsi="Times New Roman"/>
          <w:sz w:val="17"/>
          <w:szCs w:val="17"/>
          <w:color w:val="auto"/>
        </w:rPr>
        <w:t>Interest income (expense) with related party, net in 2023 was $0 million compared $(6) million in 2022. The decrease was due to zero outstanding balances of both the Dividend Note and the loans to Intel as of December 31, 2022.</w:t>
      </w:r>
    </w:p>
    <w:p>
      <w:pPr>
        <w:spacing w:after="0" w:line="147" w:lineRule="exact"/>
        <w:rPr>
          <w:sz w:val="20"/>
          <w:szCs w:val="20"/>
          <w:color w:val="auto"/>
        </w:rPr>
      </w:pPr>
    </w:p>
    <w:p>
      <w:pPr>
        <w:ind w:right="440" w:firstLine="314"/>
        <w:spacing w:after="0" w:line="296" w:lineRule="auto"/>
        <w:rPr>
          <w:sz w:val="20"/>
          <w:szCs w:val="20"/>
          <w:color w:val="auto"/>
        </w:rPr>
      </w:pPr>
      <w:r>
        <w:rPr>
          <w:rFonts w:ascii="Times New Roman" w:cs="Times New Roman" w:eastAsia="Times New Roman" w:hAnsi="Times New Roman"/>
          <w:sz w:val="17"/>
          <w:szCs w:val="17"/>
          <w:color w:val="auto"/>
        </w:rPr>
        <w:t>Other financial income (expense), net in 2023, was $49 million compared to $11 million in 2022. This increase was mainly due to interest earned on investment in money market funds.</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840"/>
          </w:cols>
          <w:pgMar w:left="980" w:top="645" w:right="10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Benefit (provision) for income tax</w:t>
      </w:r>
    </w:p>
    <w:p>
      <w:pPr>
        <w:spacing w:after="0" w:line="228" w:lineRule="exact"/>
        <w:rPr>
          <w:sz w:val="20"/>
          <w:szCs w:val="20"/>
          <w:color w:val="auto"/>
        </w:rPr>
      </w:pPr>
    </w:p>
    <w:p>
      <w:pPr>
        <w:ind w:right="160" w:firstLine="314"/>
        <w:spacing w:after="0" w:line="270" w:lineRule="auto"/>
        <w:rPr>
          <w:sz w:val="20"/>
          <w:szCs w:val="20"/>
          <w:color w:val="auto"/>
        </w:rPr>
      </w:pPr>
      <w:r>
        <w:rPr>
          <w:rFonts w:ascii="Times New Roman" w:cs="Times New Roman" w:eastAsia="Times New Roman" w:hAnsi="Times New Roman"/>
          <w:sz w:val="17"/>
          <w:szCs w:val="17"/>
          <w:color w:val="auto"/>
        </w:rPr>
        <w:t>In 2023, provision for income tax decreased by $7 million, compared to 2022. This decrease was driven by withholding tax expense of $14 million related to a dividend distribution between entities within the Mobileye Group in 2022, which was partially offset by an increase in tax expense related to changes in jurisdictional composition of our taxable income based on operational results and recognition of uncertain tax positions in 2023.</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4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computer related equipment, expenditure related to research and development projects and to the construction of new sites and were $81 million and $98 million for 2024 and 2023, respectively.</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To fund our cash requirements in the ordinary course of business, we anticipate that we will continue to primarily rely on operating cash flows, supplemented by our total cash and cash equivalents. We expect our total capital expenditures for 2025 to be higher compared to our total capital expenditures in 2024. We continue to invest in equipment related to the development of our next generation products. Our future capital requirements will depend on many factors, including our growth rate and the timing and extent of operating expenses.</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certain consolidated statements of cash flow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4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14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0"/>
                <w:szCs w:val="10"/>
                <w:color w:val="auto"/>
              </w:rPr>
            </w:pPr>
          </w:p>
        </w:tc>
        <w:tc>
          <w:tcPr>
            <w:tcW w:w="920" w:type="dxa"/>
            <w:vAlign w:val="bottom"/>
          </w:tcPr>
          <w:p>
            <w:pPr>
              <w:jc w:val="right"/>
              <w:ind w:right="18"/>
              <w:spacing w:after="0" w:line="126"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6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2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Increase in cash, cash equivalents and restricted cash</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For 2024 compared to 2023, the $6 million increase in cash provided by operating activities was mainly due to a lower increase in inventories compared to prior year period during which the company rebuilt its strategic inventory of EyeQ chips and a decrease in accounts receivable due to reduction in revenue. This was mostly offset by an increase of $3,063 million in net loss, which was adjusted by $2,695 million of non-cash goodwill impairment loss.</w:t>
      </w:r>
    </w:p>
    <w:p>
      <w:pPr>
        <w:spacing w:after="0" w:line="1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For 2023 compared to 2022, the $152 million decrease in cash provided by operating activities was mainly due to an increase in inventories, as part of a planned initiative to rebuild our strategic inventory of EyeQ chips that was largely consumed during the supply chain crisis in 2021 and 2022, which was partially offset by a change in employee related balances.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Net cash used in investing activities in 2024 was $120 million, consisting mostly of capital expenditures and purchases of debt and equity investments.</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Net cash used in investing activities in 2023 was $98 million, consisting of capital expenditures in connection with the construction of our campus and electronic equipment.</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Net cash provided by investing activities in 2022 was $1,187 million, consisting primarily of $1,299 million net repayment of a loan by Intel, partially offset by capital expenditures.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Net cash used in financing activities in 2024 and 2023 was $66 million and $100 million, respectively, consisting of share-based compensation recharge payments made to Intel.</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in 2022 was $1,317 million, consisting primarily of $900 million legal purchase of Moovit and $918 million repayment of the Dividend Note, as well as $280 million of share-based compensation recharge payments made to Intel and the $337 million dividend to Intel, partially offset by $1,034 million in net proceeds from the Mobileye IPO.</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Liability in respect of employee rights upon retirement</w:t>
      </w:r>
    </w:p>
    <w:p>
      <w:pPr>
        <w:spacing w:after="0" w:line="22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64"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7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Severance pay liability increased from $56 million as of December 30, 2023, to $62 million and as of December 28, 2024, reflecting mainly the impact of annual salary increases.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Lease liabilities</w:t>
      </w:r>
    </w:p>
    <w:p>
      <w:pPr>
        <w:spacing w:after="0" w:line="22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decreased from $51 million as of December 30, 2023 to $50 million as of December 28, 2024, reflecting mainly the progress in lease payments for existing arrangements partially offset by new lease contracts and amendments to existing agreements.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have several bank guarantees aggregating approximately $11 million as of December 28, 2024 (denominated in New Israeli Shekels) mainly in connection with lease agreements and import of vehicles.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addition, in connection with the Reorganization and the Mobileye IPO, on April 21, 2022, we distributed to Intel the Dividend Note, in the aggregate principal amount of $3.5 billion. In November 2022, we used approximately $0.9 billion out of the net proceeds to repay a portion of indebtedness under the Dividend Note and Intel has contributed to Mobileye the remaining portion of the Dividend Note such that no amounts under the Dividend Note remain owed by us to Intel.</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39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70"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Our non-GAAP financial measures reflect adjustments for amortization charges for our acquisition-related intangible assets, share-based compensation expense, impairment of goodwill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Adjusted Gross Profit and Margin</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Set forth below is the reconciliation of gross profit to Adjusted Gross Profit and the calculations of gross margin and Adjusted Gross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jc w:val="center"/>
              <w:ind w:right="333"/>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0"/>
                <w:szCs w:val="10"/>
                <w:color w:val="auto"/>
              </w:rPr>
            </w:pPr>
          </w:p>
        </w:tc>
        <w:tc>
          <w:tcPr>
            <w:tcW w:w="1680" w:type="dxa"/>
            <w:vAlign w:val="bottom"/>
            <w:gridSpan w:val="5"/>
          </w:tcPr>
          <w:p>
            <w:pPr>
              <w:jc w:val="center"/>
              <w:ind w:right="313"/>
              <w:spacing w:after="0" w:line="126" w:lineRule="exact"/>
              <w:rPr>
                <w:sz w:val="20"/>
                <w:szCs w:val="20"/>
                <w:color w:val="auto"/>
              </w:rPr>
            </w:pPr>
            <w:r>
              <w:rPr>
                <w:rFonts w:ascii="Times New Roman" w:cs="Times New Roman" w:eastAsia="Times New Roman" w:hAnsi="Times New Roman"/>
                <w:sz w:val="14"/>
                <w:szCs w:val="14"/>
                <w:b w:val="1"/>
                <w:bCs w:val="1"/>
                <w:color w:val="auto"/>
                <w:w w:val="97"/>
              </w:rPr>
              <w:t>December 30,</w:t>
            </w:r>
          </w:p>
        </w:tc>
        <w:tc>
          <w:tcPr>
            <w:tcW w:w="120" w:type="dxa"/>
            <w:vAlign w:val="bottom"/>
          </w:tcPr>
          <w:p>
            <w:pPr>
              <w:spacing w:after="0"/>
              <w:rPr>
                <w:sz w:val="10"/>
                <w:szCs w:val="10"/>
                <w:color w:val="auto"/>
              </w:rPr>
            </w:pPr>
          </w:p>
        </w:tc>
        <w:tc>
          <w:tcPr>
            <w:tcW w:w="1400" w:type="dxa"/>
            <w:vAlign w:val="bottom"/>
            <w:gridSpan w:val="4"/>
          </w:tcPr>
          <w:p>
            <w:pPr>
              <w:jc w:val="center"/>
              <w:ind w:right="19"/>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9"/>
                <w:szCs w:val="9"/>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ind w:left="120"/>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 and margin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50</w:t>
            </w:r>
          </w:p>
        </w:tc>
        <w:tc>
          <w:tcPr>
            <w:tcW w:w="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49</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Add: Amortization of acquired intangible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20 %</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Share-based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gross profit and margin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1,119</w:t>
            </w:r>
          </w:p>
        </w:tc>
        <w:tc>
          <w:tcPr>
            <w:tcW w:w="1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68</w:t>
            </w:r>
          </w:p>
        </w:tc>
        <w:tc>
          <w:tcPr>
            <w:tcW w:w="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1,455</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70</w:t>
            </w:r>
          </w:p>
        </w:tc>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1,393</w:t>
            </w:r>
          </w:p>
        </w:tc>
        <w:tc>
          <w:tcPr>
            <w:tcW w:w="1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75</w:t>
            </w:r>
          </w:p>
        </w:tc>
        <w:tc>
          <w:tcPr>
            <w:tcW w:w="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32" w:lineRule="auto"/>
        <w:rPr>
          <w:sz w:val="20"/>
          <w:szCs w:val="20"/>
          <w:color w:val="auto"/>
        </w:rPr>
      </w:pPr>
      <w:r>
        <w:rPr>
          <w:rFonts w:ascii="Times New Roman" w:cs="Times New Roman" w:eastAsia="Times New Roman" w:hAnsi="Times New Roman"/>
          <w:sz w:val="17"/>
          <w:szCs w:val="17"/>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92"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Our Adjusted Gross Margin decreased from 70% for 2023 to 68% for 2024. The decrease was primarily due to the downward impact of the increased cost per unit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due to mix effects. The decrease was also related to higher percentage of revenue attributable to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jc w:val="both"/>
        <w:ind w:firstLine="314"/>
        <w:spacing w:after="0" w:line="282" w:lineRule="auto"/>
        <w:rPr>
          <w:sz w:val="20"/>
          <w:szCs w:val="20"/>
          <w:color w:val="auto"/>
        </w:rPr>
      </w:pPr>
      <w:r>
        <w:rPr>
          <w:rFonts w:ascii="Times New Roman" w:cs="Times New Roman" w:eastAsia="Times New Roman" w:hAnsi="Times New Roman"/>
          <w:sz w:val="17"/>
          <w:szCs w:val="17"/>
          <w:color w:val="auto"/>
        </w:rPr>
        <w:t>Our Adjusted Gross Margin decreased from 75% for 2022 to 70% for 2023. The decrease was primarily due to the downward impact of the increased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(which was passed through as a price increase to our customers on a zero-margin basis).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Adjusted Operating Income and Margin</w:t>
      </w:r>
    </w:p>
    <w:p>
      <w:pPr>
        <w:spacing w:after="0" w:line="228"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We define Adjusted Operating Income as operating income (loss) presented in accordance with GAAP, adjusted to exclude amortization of acquisition related intangibles, share-based compensation expenses and impairment of goodwill. Operating margin is calculated as operating income (loss) divided by total revenue, and Adjusted Operating Margin is calculated as Adjusted Operating Income divided by total revenue.</w:t>
      </w:r>
    </w:p>
    <w:p>
      <w:pPr>
        <w:spacing w:after="0" w:line="37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Set forth below is the reconciliation of operating income (loss) to Adjusted Operating Income and the calculations of Operating Margin and Adjusted Operating Margin: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273"/>
              <w:spacing w:after="0" w:line="126"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4"/>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tcPr>
          <w:p>
            <w:pPr>
              <w:jc w:val="right"/>
              <w:ind w:right="218"/>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78"/>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78"/>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98"/>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0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6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6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 and operating margin</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(3,225)</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Add: Amortization of acquired intangible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60" w:type="dxa"/>
            <w:vAlign w:val="bottom"/>
          </w:tcPr>
          <w:p>
            <w:pPr>
              <w:spacing w:after="0"/>
              <w:rPr>
                <w:sz w:val="18"/>
                <w:szCs w:val="18"/>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27 %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40" w:type="dxa"/>
            <w:vAlign w:val="bottom"/>
          </w:tcPr>
          <w:p>
            <w:pPr>
              <w:spacing w:after="0"/>
              <w:rPr>
                <w:sz w:val="18"/>
                <w:szCs w:val="18"/>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23 %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Share-based compensation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Add: Expenses related to the IPO</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Goodwill impairment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163 %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Adjusted operating income and margin</w:t>
            </w:r>
          </w:p>
        </w:tc>
        <w:tc>
          <w:tcPr>
            <w:tcW w:w="6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w:t>
            </w:r>
          </w:p>
        </w:tc>
        <w:tc>
          <w:tcPr>
            <w:tcW w:w="1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693</w:t>
            </w:r>
          </w:p>
        </w:tc>
        <w:tc>
          <w:tcPr>
            <w:tcW w:w="1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685</w:t>
            </w:r>
          </w:p>
        </w:tc>
        <w:tc>
          <w:tcPr>
            <w:tcW w:w="1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38"/>
              <w:spacing w:after="0"/>
              <w:rPr>
                <w:sz w:val="20"/>
                <w:szCs w:val="20"/>
                <w:color w:val="auto"/>
              </w:rPr>
            </w:pPr>
            <w:r>
              <w:rPr>
                <w:rFonts w:ascii="Times New Roman" w:cs="Times New Roman" w:eastAsia="Times New Roman" w:hAnsi="Times New Roman"/>
                <w:sz w:val="17"/>
                <w:szCs w:val="17"/>
                <w:color w:val="auto"/>
              </w:rPr>
              <w:t>88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5"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operating loss increased by $3,192 million in 2024 compared to 2023, mainly as a result of a goodwill impairment loss recognized during the third quarter of 2024.</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Adjusted Operating Income decreased by $500 million in 2024 compared to 2023, primarily due to a reduction in revenue, and an increase in operating expenses. Our Adjusted Operating Income increased by $8 million in 2023 compared to 2022, primarily due to the growth in our overall business, partially offset by the increase in research and development and general and administrative expenses.</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Adjusted Operating Margin decreased from 33% in 2023 to 12% in 2024, primarily due to a higher operating expenses on a lower revenue base, in addition to lower adjusted gross margin. Our Adjusted Operating Margin decreased from 37% in 2022 to 33% in 2023, primarily due to a decrease in our Adjusted Gross Margin.</w:t>
      </w:r>
    </w:p>
    <w:p>
      <w:pPr>
        <w:spacing w:after="0" w:line="1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expect that our Adjusted Operating Margin in the near-term future will increase compared to 2024, mainly due to a lower expected impact of operating expenses as a percentage of revenue. This is expected to be partially offset by an over time decrease in Adjusted Gross Margin as we develop and sell full systems solutions contributing higher gross profit dollars per unit but lower percentage gross margin given the greater hardware content included in these systems.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w:t>
      </w:r>
    </w:p>
    <w:p>
      <w:pPr>
        <w:spacing w:after="0" w:line="22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define Adjusted Net Income as net income (loss) presented in accordance with GAAP, adjusted to exclude amortization of acquisition related intangibles, share-based compensation expenses and impairment of goodwill,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and impairment of goodwill.</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Set forth below is the reconciliation of net income (loss) to Adjusted Net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273"/>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jc w:val="right"/>
              <w:ind w:right="393"/>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right"/>
              <w:ind w:right="177"/>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1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2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6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00" w:type="dxa"/>
            <w:vAlign w:val="bottom"/>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Borders>
              <w:top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Borders>
              <w:top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Add: Amortization of acquired intangible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27 %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60" w:type="dxa"/>
            <w:vAlign w:val="bottom"/>
          </w:tcPr>
          <w:p>
            <w:pPr>
              <w:spacing w:after="0"/>
              <w:rPr>
                <w:sz w:val="18"/>
                <w:szCs w:val="18"/>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23 %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60" w:type="dxa"/>
            <w:vAlign w:val="bottom"/>
          </w:tcPr>
          <w:p>
            <w:pPr>
              <w:spacing w:after="0"/>
              <w:rPr>
                <w:sz w:val="18"/>
                <w:szCs w:val="18"/>
                <w:color w:val="auto"/>
              </w:rPr>
            </w:pPr>
          </w:p>
        </w:tc>
        <w:tc>
          <w:tcPr>
            <w:tcW w:w="9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Share-based compensation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Add: Expenses related to the Mobileye IPO</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8"/>
                <w:szCs w:val="18"/>
                <w:color w:val="auto"/>
              </w:rPr>
            </w:pPr>
          </w:p>
        </w:tc>
        <w:tc>
          <w:tcPr>
            <w:tcW w:w="9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Goodwill impairment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Less: Income tax effects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8"/>
                <w:szCs w:val="18"/>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60" w:type="dxa"/>
            <w:vAlign w:val="bottom"/>
          </w:tcPr>
          <w:p>
            <w:pPr>
              <w:spacing w:after="0"/>
              <w:rPr>
                <w:sz w:val="18"/>
                <w:szCs w:val="18"/>
                <w:color w:val="auto"/>
              </w:rPr>
            </w:pPr>
          </w:p>
        </w:tc>
        <w:tc>
          <w:tcPr>
            <w:tcW w:w="9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280" w:type="dxa"/>
            <w:vAlign w:val="bottom"/>
            <w:tcBorders>
              <w:top w:val="single" w:sz="8" w:color="CCEEFF"/>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Net Loss increased by $3,063 million in 2024 compared to 2023, primarily due to a goodwill impairment loss recognized during the third quarter of 2024. Our Net Loss decreased by $55 million in 2023 compared to 2022, primarily due to increase in revenue in addition to a decrease in amortization expense of intangible assets, partially offset by an increase of share-based compensation and and increase in financial income in 2023.</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Adjusted Net Income decreased by $454 million in 2024 compared to 2023, primarily due to a reduction in revenue, and an increase in research and development expenses. Our Adjusted Net Income increased by $54 million in 2023 compared to 2022, primarily due to increase in revenue, partially offset by the increase in our research and development and general and administrative expenses and an increase in financial income in 2023.</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expect that our Adjusted Net Income Margin (which is the Adjusted Net Income divided by total revenue) in the near-term future will increase compared to 2024, mainly due to a lower expected impact of operating expenses as a percentage of revenue. This is expected to be partially offset by an over time decrease in Adjusted Gross Margin as we develop and sell full systems solutions contributing higher gross profit dollars per unit but lower percentage gross margin given the greater hardware content included in these systems.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audited consolidated financial statements have been prepared in accordance with U.S. GAAP. The preparation of financial statements and related disclosures in conformity with U.S. GAAP and the Company’s discussion and analysis of its financial condition and operating results require the Company’s management to make judgements,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consolidated financial statements.</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64"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2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consolidated financial statements include acquisition-related intangible assets, consisting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w:t>
      </w:r>
    </w:p>
    <w:p>
      <w:pPr>
        <w:spacing w:after="0" w:line="172"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perform an annual review of significant finite-lived identified intangible assets to make a judgment on whether facts and circumstances indicate that the carrying amount may not be recoverable and an impairment may be required.</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2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in accordance with ASC 350, we first assess qualitative factors to determine the existence of events or circumstances which indicate that it is more likely than not that the fair value of a reporting unit is less than its carrying amount. A quantitative impairment test is only required if we determine, based on the qualitative assessment, that it is more likely than not that a reporting unit’s fair value is less than its carrying amount.</w:t>
      </w:r>
    </w:p>
    <w:p>
      <w:pPr>
        <w:spacing w:after="0" w:line="172"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Qualitative factors include industry and market considerations, overall financial performance, and other relevant events and factors affecting the reporting unit.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quantitative impairment test considers both the income approach and the market approach to estimate a reporting unit’s fair value. Significant estimates include business projections, growth rates, and discount rates based on a reporting unit’s weighted average cost of capital. The estimated fair value using a market approach is based on a number of assumptions, including current market capitalization as corroboration of fair value.</w:t>
      </w:r>
    </w:p>
    <w:p>
      <w:pPr>
        <w:spacing w:after="0" w:line="1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During the third quarter of 2024, the Company performed an interim quantitative goodwill impairment analysis for the “Mobileye” reporting unit due to the recent decline in the share price of the Company’s Class A common stock and the corresponding decline in market capitalization, as well as macroeconomic and industry factors. The quantitative impairment test estimates the fair value of the reporting unit using an income approach. Significant inputs and assumptions incorporated in the valuation include business projections, terminal growth rate, and discount rate based on the reporting unit’s weighted average cost of capital.</w:t>
      </w:r>
    </w:p>
    <w:p>
      <w:pPr>
        <w:spacing w:after="0" w:line="17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Company also assesses the reasonableness of the estimated fair value of the reporting unit by comparison to its market capitalization, including consideration of expected acquirer synergies, control premium, and the current market.</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results of the impairment analysis indicated that the fair value of the Mobileye reporting unit was below its carrying amount and therefore a non-cash impairment loss of $2,695 million ($2,613 million, net of tax), was recognized in the Consolidated Statements of Operations.</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 1% increase in the discount rate and a 0.5% decrease in terminal growth rate would result in an additional impairment of $1,493 million and $465 million, respectively.</w:t>
      </w:r>
    </w:p>
    <w:p>
      <w:pPr>
        <w:spacing w:after="0" w:line="14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During the fourth quarter of 2024, we completed our annual impairment assessment. Based on the assessment, the fair value of the “Mobileye” reporting unit exceeds its book value. We also performed a detailed quantitative analysis for the “Other” reporting unit which showed that no impairment was required. Fair value was estimated using the expected present value of future cash flows and is categorized as Level 3 within the fair value hierarchy due to the use of unobservable inputs.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did not record any impairment of goodwill in 2023 and 2022.</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provision for income tax consists of income taxes in the various jurisdictions where the Company is subject to taxation, primarily the United States and Israel.</w:t>
      </w:r>
    </w:p>
    <w:p>
      <w:pPr>
        <w:spacing w:after="0" w:line="147"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Certain components of the Company’s business operations were included in the consolidated U.S. income tax return filed by Intel. The Company also files various foreign income tax returns on a separate basis, distinct from Intel. The income tax provision included in the Company’s consolidated financial statements has been calculated using the separate return method, as if the Company had filed its own tax returns. The Company has entered into the Tax Sharing Agreement with Intel that establishes the respective rights, responsibilities and obligations of the Company and Intel with respect to tax matters and, therefore, ultimately governs the amount payable to Intel with respect to income taxes.</w:t>
      </w:r>
    </w:p>
    <w:p>
      <w:pPr>
        <w:spacing w:after="0" w:line="172"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Any differences between taxes currently payable to Intel under the Tax Sharing Agreement and the current tax provision computed on a separate return basis, is reflected as adjustments to additional paid-in capital in the consolidated statement of shareholders’ equity and financing activities within the consolidated statement of cash flows.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w:t>
      </w:r>
    </w:p>
    <w:p>
      <w:pPr>
        <w:spacing w:after="0" w:line="172"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Deferred tax assets and liabilities are recognized based on the future tax consequences attributable to temporary differences between the consolidated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recognizes tax benefits from uncertain tax positions only if it is more likely than not that the tax positions will be sustained on examination by the tax authorities, based on the technical merits of the position. The tax benefits recognized in the financial statements from such positions are measured based on the largest amount that is more than 50% likely to be realized upon ultimate settlement. The Company recognizes interest and penalties related to unrecognized tax benefits within the provision for (benefit from) taxes on the Consolidated Statements of Income.</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regarding income taxes, see Note 8 of the Notes to the Consolidated Financial Statements.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See “Note 2: Significant Accounting Policies” to our consolidated financial statements included elsewhere in this report for information on new accounting pronouncements.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2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investments in money market funds, U.S. government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December 28, 2024 and December 30, 2023, our investment in money market funds was $951 million and $932 million, respectively; our U.S. government bonds were $33 million and zero, respectively; and our short term deposits were $419 million and $222 million, respectively.</w:t>
      </w:r>
    </w:p>
    <w:p>
      <w:pPr>
        <w:spacing w:after="0" w:line="172"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22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fourth quarter of 2024 we initiated a foreign currency cash flow hedging program, designed to hedge the Company’s foreign exchange rate risk, resulting mainly from ILS payroll expenses. The Company hedges portions of its forecasted payroll payments denominated in ILS using forward contracts that are designated as cash flow hedges, as defined by ASC 815.</w:t>
      </w:r>
    </w:p>
    <w:p>
      <w:pPr>
        <w:spacing w:after="0" w:line="164"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If the New Israeli Shekel had strengthened by 10% against the U.S. dollar, it would have decreased our cash flows by approximately $67 million in the year ended December 28, 2024. If the New Israeli Shekel had strengthened by 10% against the U.S. dollar, it would have decreased our cash flows by approximately $43 million in the year ended December 30, 2023. This exposure to U.S. dollar / New Israeli Shekel exchange rates in 2023 resulted from the nine months ended December 30, 2023, since in the first quarter of 2023 we were still affected by the hedging program with Intel and therefore the effect of the exchange rates would not have had a material impact on our cash flows. The effect of a 10% change in the U.S. dollar / New Israeli Shekel exchange rate would not have had a material impact on our cash flows in the year ended December 31, 2022 due to our hedging services agreement with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95"/>
        </w:trPr>
        <w:tc>
          <w:tcPr>
            <w:tcW w:w="918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918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40" w:type="dxa"/>
            <w:vAlign w:val="bottom"/>
            <w:gridSpan w:val="6"/>
          </w:tcPr>
          <w:p>
            <w:pPr>
              <w:ind w:left="6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18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(PCAOB name: Kesselman &amp; Kesselman C.P.A.s and PCAOB ID:</w:t>
            </w: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0"/>
        </w:trPr>
        <w:tc>
          <w:tcPr>
            <w:tcW w:w="9180" w:type="dxa"/>
            <w:vAlign w:val="bottom"/>
            <w:gridSpan w:val="8"/>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color w:val="auto"/>
              </w:rPr>
              <w:t>1309)</w:t>
            </w:r>
          </w:p>
        </w:tc>
        <w:tc>
          <w:tcPr>
            <w:tcW w:w="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rPr>
              <w:t>Consolidated Balance Sheets</w:t>
            </w:r>
          </w:p>
        </w:tc>
        <w:tc>
          <w:tcPr>
            <w:tcW w:w="7140" w:type="dxa"/>
            <w:vAlign w:val="bottom"/>
            <w:gridSpan w:val="6"/>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90"/>
        </w:trPr>
        <w:tc>
          <w:tcPr>
            <w:tcW w:w="918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Consolidated Statements of Operations and Comprehensive Income (Loss)</w:t>
            </w: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190"/>
        </w:trPr>
        <w:tc>
          <w:tcPr>
            <w:tcW w:w="3260" w:type="dxa"/>
            <w:vAlign w:val="bottom"/>
            <w:tcBorders>
              <w:top w:val="single" w:sz="8" w:color="0000EE"/>
              <w:bottom w:val="single" w:sz="8" w:color="0000EE"/>
            </w:tcBorders>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Consolidated Statements of Changes in Equity</w:t>
            </w:r>
          </w:p>
        </w:tc>
        <w:tc>
          <w:tcPr>
            <w:tcW w:w="1960" w:type="dxa"/>
            <w:vAlign w:val="bottom"/>
            <w:tcBorders>
              <w:top w:val="single" w:sz="8" w:color="0000EE"/>
            </w:tcBorders>
            <w:gridSpan w:val="2"/>
          </w:tcPr>
          <w:p>
            <w:pPr>
              <w:spacing w:after="0"/>
              <w:rPr>
                <w:sz w:val="16"/>
                <w:szCs w:val="16"/>
                <w:color w:val="auto"/>
              </w:rPr>
            </w:pPr>
          </w:p>
        </w:tc>
        <w:tc>
          <w:tcPr>
            <w:tcW w:w="396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90"/>
        </w:trPr>
        <w:tc>
          <w:tcPr>
            <w:tcW w:w="918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tcBorders>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6120" w:type="dxa"/>
            <w:vAlign w:val="bottom"/>
            <w:gridSpan w:val="4"/>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38"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1205865" cy="10147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5865" cy="101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680" w:firstLine="2782"/>
        <w:spacing w:after="0" w:line="427"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Board of Directors and Shareholders of Mobileye Global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28" w:lineRule="exact"/>
        <w:rPr>
          <w:sz w:val="20"/>
          <w:szCs w:val="20"/>
          <w:color w:val="auto"/>
        </w:rPr>
      </w:pPr>
    </w:p>
    <w:p>
      <w:pPr>
        <w:ind w:hanging="8"/>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Mobileye Global Inc. and its subsidiaries (the “Company”) as of December 28, 2024 and December 30, 2023, and the related consolidated statements of operations and comprehensive income (loss), of changes in equity and of cash flows for each of the three years in the period ended December 28, 2024, including the related notes (collectively referred to as the “consolidated financial statements”). We also have audited the Company's internal control over financial reporting as of December 28, 2024, based on criteria established in Internal Control - Integrated Framework (2013) issued by the Committee of Sponsoring Organizations of the Treadway Commission (COSO).</w:t>
      </w:r>
    </w:p>
    <w:p>
      <w:pPr>
        <w:spacing w:after="0" w:line="172" w:lineRule="exact"/>
        <w:rPr>
          <w:sz w:val="20"/>
          <w:szCs w:val="20"/>
          <w:color w:val="auto"/>
        </w:rPr>
      </w:pPr>
    </w:p>
    <w:p>
      <w:pPr>
        <w:ind w:right="40" w:hanging="8"/>
        <w:spacing w:after="0" w:line="267"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 Also in our opinion, the Company maintained, in all material respects, effective internal control over financial reporting as of December 28, 2024, based on criteria established in Internal Control - Integrated Framework (2013) issued by the COSO.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28" w:lineRule="exact"/>
        <w:rPr>
          <w:sz w:val="20"/>
          <w:szCs w:val="20"/>
          <w:color w:val="auto"/>
        </w:rPr>
      </w:pPr>
    </w:p>
    <w:p>
      <w:pPr>
        <w:ind w:right="60" w:hanging="8"/>
        <w:spacing w:after="0" w:line="263"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right="180" w:hanging="8"/>
        <w:spacing w:after="0" w:line="27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4" w:lineRule="exact"/>
        <w:rPr>
          <w:sz w:val="20"/>
          <w:szCs w:val="20"/>
          <w:color w:val="auto"/>
        </w:rPr>
      </w:pPr>
    </w:p>
    <w:p>
      <w:pPr>
        <w:ind w:hanging="8"/>
        <w:spacing w:after="0" w:line="26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820"/>
          </w:cols>
          <w:pgMar w:left="980" w:top="645" w:right="10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28" w:lineRule="exact"/>
        <w:rPr>
          <w:sz w:val="20"/>
          <w:szCs w:val="20"/>
          <w:color w:val="auto"/>
        </w:rPr>
      </w:pPr>
    </w:p>
    <w:p>
      <w:pPr>
        <w:ind w:right="20" w:hanging="8"/>
        <w:spacing w:after="0" w:line="26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ind w:hanging="8"/>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28" w:lineRule="exact"/>
        <w:rPr>
          <w:sz w:val="20"/>
          <w:szCs w:val="20"/>
          <w:color w:val="auto"/>
        </w:rPr>
      </w:pPr>
    </w:p>
    <w:p>
      <w:pPr>
        <w:ind w:right="80" w:hanging="8"/>
        <w:spacing w:after="0" w:line="26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 Impairment Assessments – Mobileye and Moovit reporting units</w:t>
      </w:r>
    </w:p>
    <w:p>
      <w:pPr>
        <w:spacing w:after="0" w:line="226" w:lineRule="exact"/>
        <w:rPr>
          <w:sz w:val="20"/>
          <w:szCs w:val="20"/>
          <w:color w:val="auto"/>
        </w:rPr>
      </w:pPr>
    </w:p>
    <w:p>
      <w:pPr>
        <w:ind w:right="60" w:hanging="8"/>
        <w:spacing w:after="0" w:line="261" w:lineRule="auto"/>
        <w:rPr>
          <w:sz w:val="20"/>
          <w:szCs w:val="20"/>
          <w:color w:val="auto"/>
        </w:rPr>
      </w:pPr>
      <w:r>
        <w:rPr>
          <w:rFonts w:ascii="Times New Roman" w:cs="Times New Roman" w:eastAsia="Times New Roman" w:hAnsi="Times New Roman"/>
          <w:sz w:val="17"/>
          <w:szCs w:val="17"/>
          <w:color w:val="auto"/>
        </w:rPr>
        <w:t>As described in Note 10 to the consolidated financial statements, the Company’s goodwill balance was $8,200 million as of December 28, 2024, and the goodwill associated with the Mobileye and Moovit reporting units was $8,089 million and $111 million, respectively. Management conducts an impairment test as of the end of each year, or more frequently if events or circumstances indicate that the carrying value of goodwill may be impaired. Potential impairment is identified by comparing the fair value of a reporting unit to its carrying value, including goodwill. In 2024, the Company performed a detailed quantitative analysis for the Mobileye and Moovit reporting units. Based on the goodwill impairment assessment during the year ended December 28, 2024, a goodwill impairment charge of $2,695 million was recorded to the Mobileye reporting unit during the third quarter due to a decline in the price of the Company’s Class A common stock and corresponding market capitalization, as well as macroeconomic and industry factors. Fair value is estimated by management using a discounted cash flow model. Management’s cash flow projections for the Mobileye and Moovit reporting units included significant judgments and assumptions relating to financial projections, terminal growth rate and the discount rate.</w:t>
      </w:r>
    </w:p>
    <w:p>
      <w:pPr>
        <w:spacing w:after="0" w:line="179" w:lineRule="exact"/>
        <w:rPr>
          <w:sz w:val="20"/>
          <w:szCs w:val="20"/>
          <w:color w:val="auto"/>
        </w:rPr>
      </w:pPr>
    </w:p>
    <w:p>
      <w:pPr>
        <w:ind w:hanging="8"/>
        <w:spacing w:after="0" w:line="267"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goodwill impairment assessment of the Mobileye and Moovit reporting units is a critical audit matter are (i) the significant judgment by management when developing the fair value estimate of the Mobileye and Moovit reporting units, and (ii) a high degree of auditor judgment, subjectivity, and effort in performing procedures and evaluating management’s significant assumptions related to financial projections, terminal growth rate and the discount rate. In addition, the audit effort involved the use of professionals with specialized skills and knowledge.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860"/>
          </w:cols>
          <w:pgMar w:left="980" w:top="645" w:right="10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hanging="11"/>
        <w:spacing w:after="0" w:line="261"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Mobileye and Moovit reporting units. These procedures also included, among others, (i) testing management’s process for developing the fair value estimate; (ii) evaluating the appropriateness of the discounted cash flow model used by management; (iii) testing the completeness and accuracy of underlying data used in the discounted cash flow model;</w:t>
      </w:r>
    </w:p>
    <w:p>
      <w:pPr>
        <w:spacing w:after="0" w:line="3" w:lineRule="exact"/>
        <w:rPr>
          <w:sz w:val="20"/>
          <w:szCs w:val="20"/>
          <w:color w:val="auto"/>
        </w:rPr>
      </w:pPr>
    </w:p>
    <w:p>
      <w:pPr>
        <w:ind w:firstLine="5"/>
        <w:spacing w:after="0" w:line="260" w:lineRule="auto"/>
        <w:tabs>
          <w:tab w:leader="none" w:pos="2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reasonableness of the significant assumptions used by management related to financial projections, terminal growth rate and the discount rate. Evaluating management’s assumptions related to future cash flow projections involved evaluating whether the assumptions used by management were reasonable considering (i) the current and past performance of the Mobileye and Moovit reporting units, (ii) the consistency with external market and industry data, (iii) whether these assumptions were consistent with evidence obtained in other areas of the audit, and (iv) assessing the adequacy of disclosures in the consolidated financial statements. Professionals with specialized skill and knowledge were used to assist in evaluating the appropriateness of the discounted cash flow model and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Kesselman &amp; Kesselman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 (Isr.)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member firm of PricewaterhouseCoopers International Limited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Aviv, Israel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00"/>
          </w:cols>
          <w:pgMar w:left="980" w:top="645"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69"/>
        </w:trPr>
        <w:tc>
          <w:tcPr>
            <w:tcW w:w="7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Trade accounts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2,174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13,511</w:t>
            </w:r>
          </w:p>
        </w:tc>
        <w:tc>
          <w:tcPr>
            <w:tcW w:w="0" w:type="dxa"/>
            <w:vAlign w:val="bottom"/>
          </w:tcPr>
          <w:p>
            <w:pPr>
              <w:spacing w:after="0"/>
              <w:rPr>
                <w:sz w:val="1"/>
                <w:szCs w:val="1"/>
                <w:color w:val="auto"/>
              </w:rPr>
            </w:pPr>
          </w:p>
        </w:tc>
      </w:tr>
      <w:tr>
        <w:trPr>
          <w:trHeight w:val="243"/>
        </w:trPr>
        <w:tc>
          <w:tcPr>
            <w:tcW w:w="7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12,579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Employee related 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party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employee benefits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Contingencies (see note 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492</w:t>
            </w:r>
          </w:p>
        </w:tc>
        <w:tc>
          <w:tcPr>
            <w:tcW w:w="2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Equity</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4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Class A common stock: $0.01 par value; 4,000,000,000 shares authorized; shares issued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outstanding: 100,226,477 as of December 28, 2024 and 94,652,348 as of December 30, 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Class B common stock: $0.01 par value; 1,500,000,000 shares authorized; shares issued and outstanding:</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711,500,000 as of December 28, 2024 and December 30, 2023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14,924</w:t>
            </w:r>
          </w:p>
        </w:tc>
        <w:tc>
          <w:tcPr>
            <w:tcW w:w="0" w:type="dxa"/>
            <w:vAlign w:val="bottom"/>
          </w:tcPr>
          <w:p>
            <w:pPr>
              <w:spacing w:after="0"/>
              <w:rPr>
                <w:sz w:val="1"/>
                <w:szCs w:val="1"/>
                <w:color w:val="auto"/>
              </w:rPr>
            </w:pPr>
          </w:p>
        </w:tc>
      </w:tr>
      <w:tr>
        <w:trPr>
          <w:trHeight w:val="203"/>
        </w:trPr>
        <w:tc>
          <w:tcPr>
            <w:tcW w:w="7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12,579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amounts</w:t>
            </w:r>
          </w:p>
        </w:tc>
        <w:tc>
          <w:tcPr>
            <w:tcW w:w="220" w:type="dxa"/>
            <w:vAlign w:val="bottom"/>
          </w:tcPr>
          <w:p>
            <w:pPr>
              <w:spacing w:after="0"/>
              <w:rPr>
                <w:sz w:val="9"/>
                <w:szCs w:val="9"/>
                <w:color w:val="auto"/>
              </w:rPr>
            </w:pP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00" w:type="dxa"/>
            <w:vAlign w:val="bottom"/>
          </w:tcPr>
          <w:p>
            <w:pPr>
              <w:spacing w:after="0"/>
              <w:rPr>
                <w:sz w:val="9"/>
                <w:szCs w:val="9"/>
                <w:color w:val="auto"/>
              </w:rPr>
            </w:pPr>
          </w:p>
        </w:tc>
        <w:tc>
          <w:tcPr>
            <w:tcW w:w="1120" w:type="dxa"/>
            <w:vAlign w:val="bottom"/>
            <w:gridSpan w:val="3"/>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0" w:type="dxa"/>
            <w:vAlign w:val="bottom"/>
          </w:tcPr>
          <w:p>
            <w:pPr>
              <w:spacing w:after="0"/>
              <w:rPr>
                <w:sz w:val="9"/>
                <w:szCs w:val="9"/>
                <w:color w:val="auto"/>
              </w:rPr>
            </w:pP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6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741</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net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(3,225)</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with related party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with related party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financial income (expense), net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income (loss)</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9"/>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(3,090)</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(27)</w:t>
            </w: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(82)</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Earnings (loss) per share attributed to Class A and Class B stockholders:</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4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Weighted-average number of shares used in computation of earnings (loss) per share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attributed to Class A and Class B stockholders (in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(3,090)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COMPREHENSIVE INCOME (LOSS)</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(3,088)</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04"/>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jc w:val="right"/>
              <w:ind w:right="19"/>
              <w:spacing w:after="0" w:line="10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ind w:right="59"/>
              <w:spacing w:after="0" w:line="104"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9"/>
                <w:szCs w:val="9"/>
                <w:color w:val="auto"/>
              </w:rPr>
            </w:pPr>
          </w:p>
        </w:tc>
        <w:tc>
          <w:tcPr>
            <w:tcW w:w="60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Parent Net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ind w:right="39"/>
              <w:spacing w:after="0" w:line="104"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ind w:right="299"/>
              <w:spacing w:after="0" w:line="104"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9"/>
                <w:szCs w:val="9"/>
                <w:color w:val="auto"/>
              </w:rPr>
            </w:pPr>
          </w:p>
        </w:tc>
        <w:tc>
          <w:tcPr>
            <w:tcW w:w="76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w w:val="99"/>
              </w:rPr>
              <w:t>Shareholders’</w:t>
            </w:r>
          </w:p>
        </w:tc>
      </w:tr>
      <w:tr>
        <w:trPr>
          <w:trHeight w:val="151"/>
        </w:trPr>
        <w:tc>
          <w:tcPr>
            <w:tcW w:w="3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U.S. dollars in millions, except per share data</w:t>
            </w: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9"/>
              </w:rPr>
              <w:t>paid-in capital</w:t>
            </w:r>
          </w:p>
        </w:tc>
        <w:tc>
          <w:tcPr>
            <w:tcW w:w="14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 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24"/>
        </w:trPr>
        <w:tc>
          <w:tcPr>
            <w:tcW w:w="20" w:type="dxa"/>
            <w:vAlign w:val="bottom"/>
          </w:tcPr>
          <w:p>
            <w:pPr>
              <w:spacing w:after="0"/>
              <w:rPr>
                <w:sz w:val="10"/>
                <w:szCs w:val="10"/>
                <w:color w:val="auto"/>
              </w:rPr>
            </w:pPr>
          </w:p>
        </w:tc>
        <w:tc>
          <w:tcPr>
            <w:tcW w:w="338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as of December 25, 2021</w:t>
            </w:r>
          </w:p>
        </w:tc>
        <w:tc>
          <w:tcPr>
            <w:tcW w:w="7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15,884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5</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82"/>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15,889</w:t>
            </w:r>
          </w:p>
        </w:tc>
      </w:tr>
      <w:tr>
        <w:trPr>
          <w:trHeight w:val="124"/>
        </w:trPr>
        <w:tc>
          <w:tcPr>
            <w:tcW w:w="20" w:type="dxa"/>
            <w:vAlign w:val="bottom"/>
          </w:tcPr>
          <w:p>
            <w:pPr>
              <w:spacing w:after="0"/>
              <w:rPr>
                <w:sz w:val="10"/>
                <w:szCs w:val="10"/>
                <w:color w:val="auto"/>
              </w:rPr>
            </w:pPr>
          </w:p>
        </w:tc>
        <w:tc>
          <w:tcPr>
            <w:tcW w:w="33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Net income (loss)</w:t>
            </w:r>
          </w:p>
        </w:tc>
        <w:tc>
          <w:tcPr>
            <w:tcW w:w="7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(82)</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Other comprehensive income (loss), net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(14)</w:t>
            </w:r>
          </w:p>
        </w:tc>
      </w:tr>
      <w:tr>
        <w:trPr>
          <w:trHeight w:val="113"/>
        </w:trPr>
        <w:tc>
          <w:tcPr>
            <w:tcW w:w="20" w:type="dxa"/>
            <w:vAlign w:val="bottom"/>
          </w:tcPr>
          <w:p>
            <w:pPr>
              <w:spacing w:after="0"/>
              <w:rPr>
                <w:sz w:val="9"/>
                <w:szCs w:val="9"/>
                <w:color w:val="auto"/>
              </w:rPr>
            </w:pPr>
          </w:p>
        </w:tc>
        <w:tc>
          <w:tcPr>
            <w:tcW w:w="3380" w:type="dxa"/>
            <w:vAlign w:val="bottom"/>
            <w:gridSpan w:val="2"/>
          </w:tcPr>
          <w:p>
            <w:pPr>
              <w:ind w:left="100"/>
              <w:spacing w:after="0" w:line="113" w:lineRule="exact"/>
              <w:rPr>
                <w:sz w:val="20"/>
                <w:szCs w:val="20"/>
                <w:color w:val="auto"/>
              </w:rPr>
            </w:pPr>
            <w:r>
              <w:rPr>
                <w:rFonts w:ascii="Times New Roman" w:cs="Times New Roman" w:eastAsia="Times New Roman" w:hAnsi="Times New Roman"/>
                <w:sz w:val="12"/>
                <w:szCs w:val="12"/>
                <w:color w:val="auto"/>
              </w:rPr>
              <w:t>Equity transaction in connection with the legal purchase of</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Moovit entities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Dividend Note with related party</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(3,500)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(3,500)</w:t>
            </w:r>
          </w:p>
        </w:tc>
      </w:tr>
      <w:tr>
        <w:trPr>
          <w:trHeight w:val="131"/>
        </w:trPr>
        <w:tc>
          <w:tcPr>
            <w:tcW w:w="20" w:type="dxa"/>
            <w:vAlign w:val="bottom"/>
          </w:tcPr>
          <w:p>
            <w:pPr>
              <w:spacing w:after="0"/>
              <w:rPr>
                <w:sz w:val="11"/>
                <w:szCs w:val="11"/>
                <w:color w:val="auto"/>
              </w:rPr>
            </w:pPr>
          </w:p>
        </w:tc>
        <w:tc>
          <w:tcPr>
            <w:tcW w:w="3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Dividend distribution</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(337)</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Tax sharing agreement with Parent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(34)</w:t>
            </w:r>
          </w:p>
        </w:tc>
      </w:tr>
      <w:tr>
        <w:trPr>
          <w:trHeight w:val="131"/>
        </w:trPr>
        <w:tc>
          <w:tcPr>
            <w:tcW w:w="20" w:type="dxa"/>
            <w:vAlign w:val="bottom"/>
          </w:tcPr>
          <w:p>
            <w:pPr>
              <w:spacing w:after="0"/>
              <w:rPr>
                <w:sz w:val="11"/>
                <w:szCs w:val="11"/>
                <w:color w:val="auto"/>
              </w:rPr>
            </w:pPr>
          </w:p>
        </w:tc>
        <w:tc>
          <w:tcPr>
            <w:tcW w:w="3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174</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Recharge to Parent for Share-based compensation</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(52)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(118)</w:t>
            </w:r>
          </w:p>
        </w:tc>
      </w:tr>
      <w:tr>
        <w:trPr>
          <w:trHeight w:val="131"/>
        </w:trPr>
        <w:tc>
          <w:tcPr>
            <w:tcW w:w="20" w:type="dxa"/>
            <w:vAlign w:val="bottom"/>
          </w:tcPr>
          <w:p>
            <w:pPr>
              <w:spacing w:after="0"/>
              <w:rPr>
                <w:sz w:val="11"/>
                <w:szCs w:val="11"/>
                <w:color w:val="auto"/>
              </w:rPr>
            </w:pPr>
          </w:p>
        </w:tc>
        <w:tc>
          <w:tcPr>
            <w:tcW w:w="3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Net transfer from (to) Parent</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84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84</w:t>
            </w:r>
          </w:p>
        </w:tc>
      </w:tr>
      <w:tr>
        <w:trPr>
          <w:trHeight w:val="113"/>
        </w:trPr>
        <w:tc>
          <w:tcPr>
            <w:tcW w:w="20" w:type="dxa"/>
            <w:vAlign w:val="bottom"/>
          </w:tcPr>
          <w:p>
            <w:pPr>
              <w:spacing w:after="0"/>
              <w:rPr>
                <w:sz w:val="9"/>
                <w:szCs w:val="9"/>
                <w:color w:val="auto"/>
              </w:rPr>
            </w:pPr>
          </w:p>
        </w:tc>
        <w:tc>
          <w:tcPr>
            <w:tcW w:w="3380" w:type="dxa"/>
            <w:vAlign w:val="bottom"/>
            <w:gridSpan w:val="2"/>
            <w:shd w:val="clear" w:color="auto" w:fill="CCEEFF"/>
          </w:tcPr>
          <w:p>
            <w:pPr>
              <w:ind w:left="100"/>
              <w:spacing w:after="0" w:line="113" w:lineRule="exact"/>
              <w:rPr>
                <w:sz w:val="20"/>
                <w:szCs w:val="20"/>
                <w:color w:val="auto"/>
              </w:rPr>
            </w:pPr>
            <w:r>
              <w:rPr>
                <w:rFonts w:ascii="Times New Roman" w:cs="Times New Roman" w:eastAsia="Times New Roman" w:hAnsi="Times New Roman"/>
                <w:sz w:val="12"/>
                <w:szCs w:val="12"/>
                <w:color w:val="auto"/>
              </w:rPr>
              <w:t>Issuance of Class B common stock and reclassification of</w:t>
            </w: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Parent Net Investment in connection with the Initial Public</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Offering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3"/>
        </w:trPr>
        <w:tc>
          <w:tcPr>
            <w:tcW w:w="20" w:type="dxa"/>
            <w:vAlign w:val="bottom"/>
          </w:tcPr>
          <w:p>
            <w:pPr>
              <w:spacing w:after="0"/>
              <w:rPr>
                <w:sz w:val="9"/>
                <w:szCs w:val="9"/>
                <w:color w:val="auto"/>
              </w:rPr>
            </w:pPr>
          </w:p>
        </w:tc>
        <w:tc>
          <w:tcPr>
            <w:tcW w:w="3380" w:type="dxa"/>
            <w:vAlign w:val="bottom"/>
            <w:gridSpan w:val="2"/>
          </w:tcPr>
          <w:p>
            <w:pPr>
              <w:ind w:left="100"/>
              <w:spacing w:after="0" w:line="113" w:lineRule="exact"/>
              <w:rPr>
                <w:sz w:val="20"/>
                <w:szCs w:val="20"/>
                <w:color w:val="auto"/>
              </w:rPr>
            </w:pPr>
            <w:r>
              <w:rPr>
                <w:rFonts w:ascii="Times New Roman" w:cs="Times New Roman" w:eastAsia="Times New Roman" w:hAnsi="Times New Roman"/>
                <w:sz w:val="12"/>
                <w:szCs w:val="12"/>
                <w:color w:val="auto"/>
              </w:rPr>
              <w:t>Issuance of Class A common stock in Initial Public Offering,</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of underwriting discounts, commissions and offering costs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Dividend Note contribution from related party</w:t>
            </w:r>
          </w:p>
        </w:tc>
        <w:tc>
          <w:tcPr>
            <w:tcW w:w="7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2,600</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2,600</w:t>
            </w:r>
          </w:p>
        </w:tc>
      </w:tr>
      <w:tr>
        <w:trPr>
          <w:trHeight w:val="164"/>
        </w:trPr>
        <w:tc>
          <w:tcPr>
            <w:tcW w:w="34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as of December 31, 2022</w:t>
            </w:r>
          </w:p>
        </w:tc>
        <w:tc>
          <w:tcPr>
            <w:tcW w:w="7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802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w:t>
            </w: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14,737</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57</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14,794</w:t>
            </w:r>
          </w:p>
        </w:tc>
      </w:tr>
      <w:tr>
        <w:trPr>
          <w:trHeight w:val="110"/>
        </w:trPr>
        <w:tc>
          <w:tcPr>
            <w:tcW w:w="20" w:type="dxa"/>
            <w:vAlign w:val="bottom"/>
          </w:tcPr>
          <w:p>
            <w:pPr>
              <w:spacing w:after="0"/>
              <w:rPr>
                <w:sz w:val="9"/>
                <w:szCs w:val="9"/>
                <w:color w:val="auto"/>
              </w:rPr>
            </w:pPr>
          </w:p>
        </w:tc>
        <w:tc>
          <w:tcPr>
            <w:tcW w:w="3380" w:type="dxa"/>
            <w:vAlign w:val="bottom"/>
            <w:tcBorders>
              <w:top w:val="single" w:sz="8" w:color="CCEEFF"/>
            </w:tcBorders>
            <w:gridSpan w:val="2"/>
            <w:shd w:val="clear" w:color="auto" w:fill="CCEEFF"/>
          </w:tcPr>
          <w:p>
            <w:pPr>
              <w:ind w:left="100"/>
              <w:spacing w:after="0" w:line="110" w:lineRule="exact"/>
              <w:rPr>
                <w:sz w:val="20"/>
                <w:szCs w:val="20"/>
                <w:color w:val="auto"/>
              </w:rPr>
            </w:pPr>
            <w:r>
              <w:rPr>
                <w:rFonts w:ascii="Times New Roman" w:cs="Times New Roman" w:eastAsia="Times New Roman" w:hAnsi="Times New Roman"/>
                <w:sz w:val="12"/>
                <w:szCs w:val="12"/>
                <w:color w:val="auto"/>
              </w:rPr>
              <w:t>Net income (loss)</w:t>
            </w:r>
          </w:p>
        </w:tc>
        <w:tc>
          <w:tcPr>
            <w:tcW w:w="7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(27)</w:t>
            </w:r>
          </w:p>
        </w:tc>
      </w:tr>
      <w:tr>
        <w:trPr>
          <w:trHeight w:val="131"/>
        </w:trPr>
        <w:tc>
          <w:tcPr>
            <w:tcW w:w="20" w:type="dxa"/>
            <w:vAlign w:val="bottom"/>
          </w:tcPr>
          <w:p>
            <w:pPr>
              <w:spacing w:after="0"/>
              <w:rPr>
                <w:sz w:val="11"/>
                <w:szCs w:val="11"/>
                <w:color w:val="auto"/>
              </w:rPr>
            </w:pPr>
          </w:p>
        </w:tc>
        <w:tc>
          <w:tcPr>
            <w:tcW w:w="3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Other comprehensive income (loss), net</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9</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Tax sharing agreement with Parent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w:t>
            </w:r>
          </w:p>
        </w:tc>
      </w:tr>
      <w:tr>
        <w:trPr>
          <w:trHeight w:val="131"/>
        </w:trPr>
        <w:tc>
          <w:tcPr>
            <w:tcW w:w="20" w:type="dxa"/>
            <w:vAlign w:val="bottom"/>
          </w:tcPr>
          <w:p>
            <w:pPr>
              <w:spacing w:after="0"/>
              <w:rPr>
                <w:sz w:val="11"/>
                <w:szCs w:val="11"/>
                <w:color w:val="auto"/>
              </w:rPr>
            </w:pPr>
          </w:p>
        </w:tc>
        <w:tc>
          <w:tcPr>
            <w:tcW w:w="3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252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252</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Recharge to Parent for Share-based compensation</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(100)</w:t>
            </w:r>
          </w:p>
        </w:tc>
      </w:tr>
      <w:tr>
        <w:trPr>
          <w:trHeight w:val="113"/>
        </w:trPr>
        <w:tc>
          <w:tcPr>
            <w:tcW w:w="20" w:type="dxa"/>
            <w:vAlign w:val="bottom"/>
          </w:tcPr>
          <w:p>
            <w:pPr>
              <w:spacing w:after="0"/>
              <w:rPr>
                <w:sz w:val="9"/>
                <w:szCs w:val="9"/>
                <w:color w:val="auto"/>
              </w:rPr>
            </w:pPr>
          </w:p>
        </w:tc>
        <w:tc>
          <w:tcPr>
            <w:tcW w:w="3380" w:type="dxa"/>
            <w:vAlign w:val="bottom"/>
            <w:gridSpan w:val="2"/>
          </w:tcPr>
          <w:p>
            <w:pPr>
              <w:ind w:left="100"/>
              <w:spacing w:after="0" w:line="113" w:lineRule="exact"/>
              <w:rPr>
                <w:sz w:val="20"/>
                <w:szCs w:val="20"/>
                <w:color w:val="auto"/>
              </w:rPr>
            </w:pPr>
            <w:r>
              <w:rPr>
                <w:rFonts w:ascii="Times New Roman" w:cs="Times New Roman" w:eastAsia="Times New Roman" w:hAnsi="Times New Roman"/>
                <w:sz w:val="12"/>
                <w:szCs w:val="12"/>
                <w:color w:val="auto"/>
              </w:rPr>
              <w:t>Issuance of common stock under employee share-based</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compensation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Secondary offering</w:t>
            </w:r>
          </w:p>
        </w:tc>
        <w:tc>
          <w:tcPr>
            <w:tcW w:w="7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64"/>
        </w:trPr>
        <w:tc>
          <w:tcPr>
            <w:tcW w:w="340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as of December 30, 2023</w:t>
            </w:r>
          </w:p>
        </w:tc>
        <w:tc>
          <w:tcPr>
            <w:tcW w:w="7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806</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w:t>
            </w: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14,886</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30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14,924</w:t>
            </w:r>
          </w:p>
        </w:tc>
      </w:tr>
      <w:tr>
        <w:trPr>
          <w:trHeight w:val="110"/>
        </w:trPr>
        <w:tc>
          <w:tcPr>
            <w:tcW w:w="20" w:type="dxa"/>
            <w:vAlign w:val="bottom"/>
          </w:tcPr>
          <w:p>
            <w:pPr>
              <w:spacing w:after="0"/>
              <w:rPr>
                <w:sz w:val="9"/>
                <w:szCs w:val="9"/>
                <w:color w:val="auto"/>
              </w:rPr>
            </w:pPr>
          </w:p>
        </w:tc>
        <w:tc>
          <w:tcPr>
            <w:tcW w:w="3380" w:type="dxa"/>
            <w:vAlign w:val="bottom"/>
            <w:tcBorders>
              <w:top w:val="single" w:sz="8" w:color="CCEEFF"/>
            </w:tcBorders>
            <w:gridSpan w:val="2"/>
            <w:shd w:val="clear" w:color="auto" w:fill="CCEEFF"/>
          </w:tcPr>
          <w:p>
            <w:pPr>
              <w:ind w:left="100"/>
              <w:spacing w:after="0" w:line="110" w:lineRule="exact"/>
              <w:rPr>
                <w:sz w:val="20"/>
                <w:szCs w:val="20"/>
                <w:color w:val="auto"/>
              </w:rPr>
            </w:pPr>
            <w:r>
              <w:rPr>
                <w:rFonts w:ascii="Times New Roman" w:cs="Times New Roman" w:eastAsia="Times New Roman" w:hAnsi="Times New Roman"/>
                <w:sz w:val="12"/>
                <w:szCs w:val="12"/>
                <w:color w:val="auto"/>
              </w:rPr>
              <w:t>Net income (loss)</w:t>
            </w:r>
          </w:p>
        </w:tc>
        <w:tc>
          <w:tcPr>
            <w:tcW w:w="7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(3,090)</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(3,090)</w:t>
            </w:r>
          </w:p>
        </w:tc>
      </w:tr>
      <w:tr>
        <w:trPr>
          <w:trHeight w:val="131"/>
        </w:trPr>
        <w:tc>
          <w:tcPr>
            <w:tcW w:w="20" w:type="dxa"/>
            <w:vAlign w:val="bottom"/>
          </w:tcPr>
          <w:p>
            <w:pPr>
              <w:spacing w:after="0"/>
              <w:rPr>
                <w:sz w:val="11"/>
                <w:szCs w:val="11"/>
                <w:color w:val="auto"/>
              </w:rPr>
            </w:pPr>
          </w:p>
        </w:tc>
        <w:tc>
          <w:tcPr>
            <w:tcW w:w="3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Other comprehensive income (loss), net</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Tax sharing agreement with Parent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34</w:t>
            </w:r>
          </w:p>
        </w:tc>
      </w:tr>
      <w:tr>
        <w:trPr>
          <w:trHeight w:val="131"/>
        </w:trPr>
        <w:tc>
          <w:tcPr>
            <w:tcW w:w="20" w:type="dxa"/>
            <w:vAlign w:val="bottom"/>
          </w:tcPr>
          <w:p>
            <w:pPr>
              <w:spacing w:after="0"/>
              <w:rPr>
                <w:sz w:val="11"/>
                <w:szCs w:val="11"/>
                <w:color w:val="auto"/>
              </w:rPr>
            </w:pPr>
          </w:p>
        </w:tc>
        <w:tc>
          <w:tcPr>
            <w:tcW w:w="3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279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279</w:t>
            </w:r>
          </w:p>
        </w:tc>
      </w:tr>
      <w:tr>
        <w:trPr>
          <w:trHeight w:val="131"/>
        </w:trPr>
        <w:tc>
          <w:tcPr>
            <w:tcW w:w="20" w:type="dxa"/>
            <w:vAlign w:val="bottom"/>
          </w:tcPr>
          <w:p>
            <w:pPr>
              <w:spacing w:after="0"/>
              <w:rPr>
                <w:sz w:val="11"/>
                <w:szCs w:val="11"/>
                <w:color w:val="auto"/>
              </w:rPr>
            </w:pPr>
          </w:p>
        </w:tc>
        <w:tc>
          <w:tcPr>
            <w:tcW w:w="33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Recharge to Parent for Share-based compensation</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(62)</w:t>
            </w:r>
          </w:p>
        </w:tc>
      </w:tr>
      <w:tr>
        <w:trPr>
          <w:trHeight w:val="113"/>
        </w:trPr>
        <w:tc>
          <w:tcPr>
            <w:tcW w:w="20" w:type="dxa"/>
            <w:vAlign w:val="bottom"/>
          </w:tcPr>
          <w:p>
            <w:pPr>
              <w:spacing w:after="0"/>
              <w:rPr>
                <w:sz w:val="9"/>
                <w:szCs w:val="9"/>
                <w:color w:val="auto"/>
              </w:rPr>
            </w:pPr>
          </w:p>
        </w:tc>
        <w:tc>
          <w:tcPr>
            <w:tcW w:w="3380" w:type="dxa"/>
            <w:vAlign w:val="bottom"/>
            <w:gridSpan w:val="2"/>
          </w:tcPr>
          <w:p>
            <w:pPr>
              <w:ind w:left="100"/>
              <w:spacing w:after="0" w:line="113" w:lineRule="exact"/>
              <w:rPr>
                <w:sz w:val="20"/>
                <w:szCs w:val="20"/>
                <w:color w:val="auto"/>
              </w:rPr>
            </w:pPr>
            <w:r>
              <w:rPr>
                <w:rFonts w:ascii="Times New Roman" w:cs="Times New Roman" w:eastAsia="Times New Roman" w:hAnsi="Times New Roman"/>
                <w:sz w:val="12"/>
                <w:szCs w:val="12"/>
                <w:color w:val="auto"/>
              </w:rPr>
              <w:t>Issuance of common stock under employee share-based</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compensation plans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24"/>
        </w:trPr>
        <w:tc>
          <w:tcPr>
            <w:tcW w:w="20" w:type="dxa"/>
            <w:vAlign w:val="bottom"/>
          </w:tcPr>
          <w:p>
            <w:pPr>
              <w:spacing w:after="0"/>
              <w:rPr>
                <w:sz w:val="10"/>
                <w:szCs w:val="10"/>
                <w:color w:val="auto"/>
              </w:rPr>
            </w:pPr>
          </w:p>
        </w:tc>
        <w:tc>
          <w:tcPr>
            <w:tcW w:w="3380" w:type="dxa"/>
            <w:vAlign w:val="bottom"/>
            <w:tcBorders>
              <w:bottom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as of December 28, 2024</w:t>
            </w:r>
          </w:p>
        </w:tc>
        <w:tc>
          <w:tcPr>
            <w:tcW w:w="7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812</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w:t>
            </w: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15,137</w:t>
            </w:r>
          </w:p>
        </w:tc>
        <w:tc>
          <w:tcPr>
            <w:tcW w:w="1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2"/>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(3,060)</w:t>
            </w: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12,087</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Rounding of Class A and Class B share amounts due to Secondary offering.</w:t>
      </w:r>
    </w:p>
    <w:p>
      <w:pPr>
        <w:spacing w:after="0" w:line="18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8"/>
              </w:rPr>
              <w:t>Year ended</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04"/>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right"/>
              <w:ind w:right="139"/>
              <w:spacing w:after="0" w:line="104" w:lineRule="exact"/>
              <w:rPr>
                <w:sz w:val="20"/>
                <w:szCs w:val="20"/>
                <w:color w:val="auto"/>
              </w:rPr>
            </w:pPr>
            <w:r>
              <w:rPr>
                <w:rFonts w:ascii="Times New Roman" w:cs="Times New Roman" w:eastAsia="Times New Roman" w:hAnsi="Times New Roman"/>
                <w:sz w:val="12"/>
                <w:szCs w:val="12"/>
                <w:b w:val="1"/>
                <w:bCs w:val="1"/>
                <w:color w:val="auto"/>
              </w:rPr>
              <w:t>December 28,</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79"/>
              <w:spacing w:after="0" w:line="104" w:lineRule="exact"/>
              <w:rPr>
                <w:sz w:val="20"/>
                <w:szCs w:val="20"/>
                <w:color w:val="auto"/>
              </w:rPr>
            </w:pPr>
            <w:r>
              <w:rPr>
                <w:rFonts w:ascii="Times New Roman" w:cs="Times New Roman" w:eastAsia="Times New Roman" w:hAnsi="Times New Roman"/>
                <w:sz w:val="12"/>
                <w:szCs w:val="12"/>
                <w:b w:val="1"/>
                <w:bCs w:val="1"/>
                <w:color w:val="auto"/>
                <w:w w:val="99"/>
              </w:rPr>
              <w:t>December 30,</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jc w:val="right"/>
              <w:ind w:right="139"/>
              <w:spacing w:after="0" w:line="104"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1"/>
        </w:trPr>
        <w:tc>
          <w:tcPr>
            <w:tcW w:w="5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U.S. dollars in millions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24"/>
        </w:trPr>
        <w:tc>
          <w:tcPr>
            <w:tcW w:w="20" w:type="dxa"/>
            <w:vAlign w:val="bottom"/>
          </w:tcPr>
          <w:p>
            <w:pPr>
              <w:spacing w:after="0"/>
              <w:rPr>
                <w:sz w:val="10"/>
                <w:szCs w:val="10"/>
                <w:color w:val="auto"/>
              </w:rPr>
            </w:pPr>
          </w:p>
        </w:tc>
        <w:tc>
          <w:tcPr>
            <w:tcW w:w="53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53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income (loss)</w:t>
            </w:r>
          </w:p>
        </w:tc>
        <w:tc>
          <w:tcPr>
            <w:tcW w:w="1020" w:type="dxa"/>
            <w:vAlign w:val="bottom"/>
            <w:gridSpan w:val="2"/>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(3,090)</w:t>
            </w:r>
          </w:p>
        </w:tc>
        <w:tc>
          <w:tcPr>
            <w:tcW w:w="300" w:type="dxa"/>
            <w:vAlign w:val="bottom"/>
            <w:gridSpan w:val="2"/>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(27)</w:t>
            </w:r>
          </w:p>
        </w:tc>
        <w:tc>
          <w:tcPr>
            <w:tcW w:w="300" w:type="dxa"/>
            <w:vAlign w:val="bottom"/>
            <w:gridSpan w:val="2"/>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(82)</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Adjustments to reconcile net income (loss) to net cash provided by operating activities: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Depreciation of property and equipment</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23</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Share-based compensation</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279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252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174</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Amortization of intangible assets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444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474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544</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Goodwill impairment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2,695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Exchange rate differences on cash and cash equivalents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Deferred income taxes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(101)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(9)</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Interest on Dividend Note to related party, net</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18</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Interest with related party, net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12</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(Gains) losses on equity and debt investments, net</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Other</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w:t>
            </w:r>
          </w:p>
        </w:tc>
      </w:tr>
      <w:tr>
        <w:trPr>
          <w:trHeight w:val="131"/>
        </w:trPr>
        <w:tc>
          <w:tcPr>
            <w:tcW w:w="20" w:type="dxa"/>
            <w:vAlign w:val="bottom"/>
          </w:tcPr>
          <w:p>
            <w:pPr>
              <w:spacing w:after="0"/>
              <w:rPr>
                <w:sz w:val="11"/>
                <w:szCs w:val="11"/>
                <w:color w:val="auto"/>
              </w:rPr>
            </w:pPr>
          </w:p>
        </w:tc>
        <w:tc>
          <w:tcPr>
            <w:tcW w:w="538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Decrease (increase) in trade accounts receivable</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124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(88)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(114)</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Decrease (increase) in other current assets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Decrease (increase) in inventories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(278)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(16)</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Increase (decrease) in accounts payable, accrued expenses and related party payable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58</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Increase (decrease) in employee-related accrued expenses and long term benefits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(52)</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Increase (decrease) in other current liabilities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(16)</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Decrease (increase) in other long term assets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17</w:t>
            </w:r>
          </w:p>
        </w:tc>
      </w:tr>
      <w:tr>
        <w:trPr>
          <w:trHeight w:val="131"/>
        </w:trPr>
        <w:tc>
          <w:tcPr>
            <w:tcW w:w="20" w:type="dxa"/>
            <w:vAlign w:val="bottom"/>
          </w:tcPr>
          <w:p>
            <w:pPr>
              <w:spacing w:after="0"/>
              <w:rPr>
                <w:sz w:val="11"/>
                <w:szCs w:val="11"/>
                <w:color w:val="auto"/>
              </w:rPr>
            </w:pPr>
          </w:p>
        </w:tc>
        <w:tc>
          <w:tcPr>
            <w:tcW w:w="5380" w:type="dxa"/>
            <w:vAlign w:val="bottom"/>
            <w:tcBorders>
              <w:bottom w:val="single" w:sz="8" w:color="CCEEFF"/>
            </w:tcBorders>
          </w:tcPr>
          <w:p>
            <w:pPr>
              <w:ind w:left="100"/>
              <w:spacing w:after="0" w:line="131" w:lineRule="exact"/>
              <w:rPr>
                <w:sz w:val="20"/>
                <w:szCs w:val="20"/>
                <w:color w:val="auto"/>
              </w:rPr>
            </w:pPr>
            <w:r>
              <w:rPr>
                <w:rFonts w:ascii="Times New Roman" w:cs="Times New Roman" w:eastAsia="Times New Roman" w:hAnsi="Times New Roman"/>
                <w:sz w:val="12"/>
                <w:szCs w:val="12"/>
                <w:color w:val="auto"/>
              </w:rPr>
              <w:t>Increase (decrease) in other long term liabilities</w:t>
            </w:r>
          </w:p>
        </w:tc>
        <w:tc>
          <w:tcPr>
            <w:tcW w:w="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7</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(5)</w:t>
            </w:r>
          </w:p>
        </w:tc>
      </w:tr>
      <w:tr>
        <w:trPr>
          <w:trHeight w:val="124"/>
        </w:trPr>
        <w:tc>
          <w:tcPr>
            <w:tcW w:w="20" w:type="dxa"/>
            <w:vAlign w:val="bottom"/>
          </w:tcPr>
          <w:p>
            <w:pPr>
              <w:spacing w:after="0"/>
              <w:rPr>
                <w:sz w:val="10"/>
                <w:szCs w:val="10"/>
                <w:color w:val="auto"/>
              </w:rPr>
            </w:pPr>
          </w:p>
        </w:tc>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90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400</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394</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546</w:t>
            </w:r>
          </w:p>
        </w:tc>
      </w:tr>
      <w:tr>
        <w:trPr>
          <w:trHeight w:val="124"/>
        </w:trPr>
        <w:tc>
          <w:tcPr>
            <w:tcW w:w="20" w:type="dxa"/>
            <w:vAlign w:val="bottom"/>
          </w:tcPr>
          <w:p>
            <w:pPr>
              <w:spacing w:after="0"/>
              <w:rPr>
                <w:sz w:val="10"/>
                <w:szCs w:val="10"/>
                <w:color w:val="auto"/>
              </w:rPr>
            </w:pPr>
          </w:p>
        </w:tc>
        <w:tc>
          <w:tcPr>
            <w:tcW w:w="538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Purchase of property and equipment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(81)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(98)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(111)</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Repayment of loan due from related party</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1,635</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Issuance of loan to related party</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(336)</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Purchases of debt and equity investments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Maturities and sales of debt and equity investments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20" w:type="dxa"/>
            <w:vAlign w:val="bottom"/>
          </w:tcPr>
          <w:p>
            <w:pPr>
              <w:spacing w:after="0"/>
              <w:rPr>
                <w:sz w:val="11"/>
                <w:szCs w:val="11"/>
                <w:color w:val="auto"/>
              </w:rPr>
            </w:pPr>
          </w:p>
        </w:tc>
        <w:tc>
          <w:tcPr>
            <w:tcW w:w="5380" w:type="dxa"/>
            <w:vAlign w:val="bottom"/>
            <w:tcBorders>
              <w:bottom w:val="single" w:sz="8" w:color="CCEEFF"/>
            </w:tcBorders>
          </w:tcPr>
          <w:p>
            <w:pPr>
              <w:ind w:left="100"/>
              <w:spacing w:after="0" w:line="131" w:lineRule="exact"/>
              <w:rPr>
                <w:sz w:val="20"/>
                <w:szCs w:val="20"/>
                <w:color w:val="auto"/>
              </w:rPr>
            </w:pPr>
            <w:r>
              <w:rPr>
                <w:rFonts w:ascii="Times New Roman" w:cs="Times New Roman" w:eastAsia="Times New Roman" w:hAnsi="Times New Roman"/>
                <w:sz w:val="12"/>
                <w:szCs w:val="12"/>
                <w:color w:val="auto"/>
              </w:rPr>
              <w:t>Other</w:t>
            </w:r>
          </w:p>
        </w:tc>
        <w:tc>
          <w:tcPr>
            <w:tcW w:w="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w:t>
            </w:r>
          </w:p>
        </w:tc>
      </w:tr>
      <w:tr>
        <w:trPr>
          <w:trHeight w:val="124"/>
        </w:trPr>
        <w:tc>
          <w:tcPr>
            <w:tcW w:w="20" w:type="dxa"/>
            <w:vAlign w:val="bottom"/>
          </w:tcPr>
          <w:p>
            <w:pPr>
              <w:spacing w:after="0"/>
              <w:rPr>
                <w:sz w:val="10"/>
                <w:szCs w:val="10"/>
                <w:color w:val="auto"/>
              </w:rPr>
            </w:pPr>
          </w:p>
        </w:tc>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90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(120)</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(98)</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1,187</w:t>
            </w:r>
          </w:p>
        </w:tc>
      </w:tr>
      <w:tr>
        <w:trPr>
          <w:trHeight w:val="124"/>
        </w:trPr>
        <w:tc>
          <w:tcPr>
            <w:tcW w:w="20" w:type="dxa"/>
            <w:vAlign w:val="bottom"/>
          </w:tcPr>
          <w:p>
            <w:pPr>
              <w:spacing w:after="0"/>
              <w:rPr>
                <w:sz w:val="10"/>
                <w:szCs w:val="10"/>
                <w:color w:val="auto"/>
              </w:rPr>
            </w:pPr>
          </w:p>
        </w:tc>
        <w:tc>
          <w:tcPr>
            <w:tcW w:w="538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Net transfers from Parent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84</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Dividend paid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(337)</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Share-based compensation recharge</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(280)</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Proceeds from initial public offering, net of offering costs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1,034</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Equity transaction in connection with the legal purchase of Moovit entities</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(900)</w:t>
            </w:r>
          </w:p>
        </w:tc>
      </w:tr>
      <w:tr>
        <w:trPr>
          <w:trHeight w:val="131"/>
        </w:trPr>
        <w:tc>
          <w:tcPr>
            <w:tcW w:w="20" w:type="dxa"/>
            <w:vAlign w:val="bottom"/>
          </w:tcPr>
          <w:p>
            <w:pPr>
              <w:spacing w:after="0"/>
              <w:rPr>
                <w:sz w:val="11"/>
                <w:szCs w:val="11"/>
                <w:color w:val="auto"/>
              </w:rPr>
            </w:pPr>
          </w:p>
        </w:tc>
        <w:tc>
          <w:tcPr>
            <w:tcW w:w="5380" w:type="dxa"/>
            <w:vAlign w:val="bottom"/>
            <w:tcBorders>
              <w:bottom w:val="single" w:sz="8" w:color="CCEEFF"/>
            </w:tcBorders>
          </w:tcPr>
          <w:p>
            <w:pPr>
              <w:ind w:left="100"/>
              <w:spacing w:after="0" w:line="131" w:lineRule="exact"/>
              <w:rPr>
                <w:sz w:val="20"/>
                <w:szCs w:val="20"/>
                <w:color w:val="auto"/>
              </w:rPr>
            </w:pPr>
            <w:r>
              <w:rPr>
                <w:rFonts w:ascii="Times New Roman" w:cs="Times New Roman" w:eastAsia="Times New Roman" w:hAnsi="Times New Roman"/>
                <w:sz w:val="12"/>
                <w:szCs w:val="12"/>
                <w:color w:val="auto"/>
              </w:rPr>
              <w:t>Repayment of Dividend Note with related party</w:t>
            </w:r>
          </w:p>
        </w:tc>
        <w:tc>
          <w:tcPr>
            <w:tcW w:w="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(918)</w:t>
            </w:r>
          </w:p>
        </w:tc>
      </w:tr>
      <w:tr>
        <w:trPr>
          <w:trHeight w:val="124"/>
        </w:trPr>
        <w:tc>
          <w:tcPr>
            <w:tcW w:w="20" w:type="dxa"/>
            <w:vAlign w:val="bottom"/>
          </w:tcPr>
          <w:p>
            <w:pPr>
              <w:spacing w:after="0"/>
              <w:rPr>
                <w:sz w:val="10"/>
                <w:szCs w:val="10"/>
                <w:color w:val="auto"/>
              </w:rPr>
            </w:pPr>
          </w:p>
        </w:tc>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90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(66)</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(100)</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(1,317)</w:t>
            </w:r>
          </w:p>
        </w:tc>
      </w:tr>
      <w:tr>
        <w:trPr>
          <w:trHeight w:val="124"/>
        </w:trPr>
        <w:tc>
          <w:tcPr>
            <w:tcW w:w="20" w:type="dxa"/>
            <w:vAlign w:val="bottom"/>
          </w:tcPr>
          <w:p>
            <w:pPr>
              <w:spacing w:after="0"/>
              <w:rPr>
                <w:sz w:val="10"/>
                <w:szCs w:val="10"/>
                <w:color w:val="auto"/>
              </w:rPr>
            </w:pPr>
          </w:p>
        </w:tc>
        <w:tc>
          <w:tcPr>
            <w:tcW w:w="538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color w:val="auto"/>
              </w:rPr>
              <w:t>Effect of foreign exchange rate changes on cash and cash equivalents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Increase in cash, cash equivalents and restricted cash</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212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191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410</w:t>
            </w:r>
          </w:p>
        </w:tc>
      </w:tr>
      <w:tr>
        <w:trPr>
          <w:trHeight w:val="131"/>
        </w:trPr>
        <w:tc>
          <w:tcPr>
            <w:tcW w:w="20" w:type="dxa"/>
            <w:vAlign w:val="bottom"/>
          </w:tcPr>
          <w:p>
            <w:pPr>
              <w:spacing w:after="0"/>
              <w:rPr>
                <w:sz w:val="11"/>
                <w:szCs w:val="11"/>
                <w:color w:val="auto"/>
              </w:rPr>
            </w:pPr>
          </w:p>
        </w:tc>
        <w:tc>
          <w:tcPr>
            <w:tcW w:w="5380" w:type="dxa"/>
            <w:vAlign w:val="bottom"/>
            <w:tcBorders>
              <w:bottom w:val="single" w:sz="8" w:color="CCEEFF"/>
            </w:tcBorders>
          </w:tcPr>
          <w:p>
            <w:pPr>
              <w:ind w:left="100"/>
              <w:spacing w:after="0" w:line="131" w:lineRule="exact"/>
              <w:rPr>
                <w:sz w:val="20"/>
                <w:szCs w:val="20"/>
                <w:color w:val="auto"/>
              </w:rPr>
            </w:pPr>
            <w:r>
              <w:rPr>
                <w:rFonts w:ascii="Times New Roman" w:cs="Times New Roman" w:eastAsia="Times New Roman" w:hAnsi="Times New Roman"/>
                <w:sz w:val="12"/>
                <w:szCs w:val="12"/>
                <w:color w:val="auto"/>
              </w:rPr>
              <w:t>Balance of cash, cash equivalents and restricted cash, at beginning of year</w:t>
            </w:r>
          </w:p>
        </w:tc>
        <w:tc>
          <w:tcPr>
            <w:tcW w:w="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1,226</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1,035</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625</w:t>
            </w:r>
          </w:p>
        </w:tc>
      </w:tr>
      <w:tr>
        <w:trPr>
          <w:trHeight w:val="124"/>
        </w:trPr>
        <w:tc>
          <w:tcPr>
            <w:tcW w:w="20" w:type="dxa"/>
            <w:vAlign w:val="bottom"/>
          </w:tcPr>
          <w:p>
            <w:pPr>
              <w:spacing w:after="0"/>
              <w:rPr>
                <w:sz w:val="10"/>
                <w:szCs w:val="10"/>
                <w:color w:val="auto"/>
              </w:rPr>
            </w:pPr>
          </w:p>
        </w:tc>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of cash, cash equivalents and restricted cash, at end of year</w:t>
            </w:r>
          </w:p>
        </w:tc>
        <w:tc>
          <w:tcPr>
            <w:tcW w:w="90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4"/>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1,438</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4"/>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1,226</w:t>
            </w: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4"/>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1,035</w:t>
            </w:r>
          </w:p>
        </w:tc>
      </w:tr>
      <w:tr>
        <w:trPr>
          <w:trHeight w:val="124"/>
        </w:trPr>
        <w:tc>
          <w:tcPr>
            <w:tcW w:w="20" w:type="dxa"/>
            <w:vAlign w:val="bottom"/>
          </w:tcPr>
          <w:p>
            <w:pPr>
              <w:spacing w:after="0"/>
              <w:rPr>
                <w:sz w:val="10"/>
                <w:szCs w:val="10"/>
                <w:color w:val="auto"/>
              </w:rPr>
            </w:pPr>
          </w:p>
        </w:tc>
        <w:tc>
          <w:tcPr>
            <w:tcW w:w="5380" w:type="dxa"/>
            <w:vAlign w:val="bottom"/>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Supplementary non-cash investing and financing activities: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Non-cash purchase of property and equipment</w:t>
            </w:r>
          </w:p>
        </w:tc>
        <w:tc>
          <w:tcPr>
            <w:tcW w:w="1020" w:type="dxa"/>
            <w:vAlign w:val="bottom"/>
            <w:gridSpan w:val="2"/>
            <w:shd w:val="clear" w:color="auto" w:fill="CCEEFF"/>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9</w:t>
            </w:r>
          </w:p>
        </w:tc>
        <w:tc>
          <w:tcPr>
            <w:tcW w:w="300" w:type="dxa"/>
            <w:vAlign w:val="bottom"/>
            <w:gridSpan w:val="2"/>
            <w:shd w:val="clear" w:color="auto" w:fill="CCEEFF"/>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17</w:t>
            </w:r>
          </w:p>
        </w:tc>
        <w:tc>
          <w:tcPr>
            <w:tcW w:w="300" w:type="dxa"/>
            <w:vAlign w:val="bottom"/>
            <w:gridSpan w:val="2"/>
            <w:shd w:val="clear" w:color="auto" w:fill="CCEEFF"/>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13</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Dividend Note with related party</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3,500</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Dividend Note contribution from related party</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(2,600)</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Unpaid offering costs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w:t>
            </w: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Tax sharing agreement with Parent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34</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b w:val="1"/>
                <w:bCs w:val="1"/>
                <w:color w:val="auto"/>
              </w:rPr>
              <w:t>Supplemental cash flow information: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1"/>
        </w:trPr>
        <w:tc>
          <w:tcPr>
            <w:tcW w:w="20" w:type="dxa"/>
            <w:vAlign w:val="bottom"/>
          </w:tcPr>
          <w:p>
            <w:pPr>
              <w:spacing w:after="0"/>
              <w:rPr>
                <w:sz w:val="11"/>
                <w:szCs w:val="11"/>
                <w:color w:val="auto"/>
              </w:rPr>
            </w:pPr>
          </w:p>
        </w:tc>
        <w:tc>
          <w:tcPr>
            <w:tcW w:w="5380" w:type="dxa"/>
            <w:vAlign w:val="bottom"/>
            <w:shd w:val="clear" w:color="auto" w:fill="CCEEFF"/>
          </w:tcPr>
          <w:p>
            <w:pPr>
              <w:ind w:left="100"/>
              <w:spacing w:after="0" w:line="131" w:lineRule="exact"/>
              <w:rPr>
                <w:sz w:val="20"/>
                <w:szCs w:val="20"/>
                <w:color w:val="auto"/>
              </w:rPr>
            </w:pPr>
            <w:r>
              <w:rPr>
                <w:rFonts w:ascii="Times New Roman" w:cs="Times New Roman" w:eastAsia="Times New Roman" w:hAnsi="Times New Roman"/>
                <w:sz w:val="12"/>
                <w:szCs w:val="12"/>
                <w:color w:val="auto"/>
              </w:rPr>
              <w:t>Cash received (paid) for income taxes, net of refunds</w:t>
            </w:r>
          </w:p>
        </w:tc>
        <w:tc>
          <w:tcPr>
            <w:tcW w:w="1020" w:type="dxa"/>
            <w:vAlign w:val="bottom"/>
            <w:gridSpan w:val="2"/>
            <w:shd w:val="clear" w:color="auto" w:fill="CCEEFF"/>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(21)</w:t>
            </w:r>
          </w:p>
        </w:tc>
        <w:tc>
          <w:tcPr>
            <w:tcW w:w="300" w:type="dxa"/>
            <w:vAlign w:val="bottom"/>
            <w:gridSpan w:val="2"/>
            <w:shd w:val="clear" w:color="auto" w:fill="CCEEFF"/>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(64)</w:t>
            </w:r>
          </w:p>
        </w:tc>
        <w:tc>
          <w:tcPr>
            <w:tcW w:w="300" w:type="dxa"/>
            <w:vAlign w:val="bottom"/>
            <w:gridSpan w:val="2"/>
            <w:shd w:val="clear" w:color="auto" w:fill="CCEEFF"/>
          </w:tcPr>
          <w:p>
            <w:pPr>
              <w:jc w:val="right"/>
              <w:ind w:right="4"/>
              <w:spacing w:after="0" w:line="131"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(57)</w:t>
            </w:r>
          </w:p>
        </w:tc>
      </w:tr>
      <w:tr>
        <w:trPr>
          <w:trHeight w:val="131"/>
        </w:trPr>
        <w:tc>
          <w:tcPr>
            <w:tcW w:w="20" w:type="dxa"/>
            <w:vAlign w:val="bottom"/>
          </w:tcPr>
          <w:p>
            <w:pPr>
              <w:spacing w:after="0"/>
              <w:rPr>
                <w:sz w:val="11"/>
                <w:szCs w:val="11"/>
                <w:color w:val="auto"/>
              </w:rPr>
            </w:pPr>
          </w:p>
        </w:tc>
        <w:tc>
          <w:tcPr>
            <w:tcW w:w="538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color w:val="auto"/>
              </w:rPr>
              <w:t>Interest paid to related party</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w:t>
            </w:r>
          </w:p>
        </w:tc>
      </w:tr>
      <w:tr>
        <w:trPr>
          <w:trHeight w:val="144"/>
        </w:trPr>
        <w:tc>
          <w:tcPr>
            <w:tcW w:w="20" w:type="dxa"/>
            <w:vAlign w:val="bottom"/>
          </w:tcPr>
          <w:p>
            <w:pPr>
              <w:spacing w:after="0"/>
              <w:rPr>
                <w:sz w:val="12"/>
                <w:szCs w:val="12"/>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received from related party</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jc w:val="center"/>
        <w:ind w:right="8340"/>
        <w:spacing w:after="0"/>
        <w:rPr>
          <w:sz w:val="20"/>
          <w:szCs w:val="20"/>
          <w:color w:val="auto"/>
        </w:rPr>
      </w:pPr>
      <w:r>
        <w:rPr>
          <w:rFonts w:ascii="Times New Roman" w:cs="Times New Roman" w:eastAsia="Times New Roman" w:hAnsi="Times New Roman"/>
          <w:sz w:val="17"/>
          <w:szCs w:val="17"/>
          <w:b w:val="1"/>
          <w:bCs w:val="1"/>
          <w:color w:val="auto"/>
        </w:rPr>
        <w:t>NOTE 1 GENERAL</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2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 Before the completion of the Mobileye IPO and the reorganization in October 2022, the Company consisted of the “Mobileye Group”, which combined the operations of Cyclops Holdings Corporation (“Cyclops”), Mobileye B.V. and its subsidiaries, GG Acquisition Ltd. and Moovit App Global Ltd. and its subsidiaries (“Moovit”) and certain Intel employees mainly in research and development (the “Intel Aligned Groups”).</w:t>
      </w:r>
    </w:p>
    <w:p>
      <w:pPr>
        <w:spacing w:after="0" w:line="17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Intel directly or indirectly holds all of the Class B common stock of Mobileye, which as of December 28, 2024, represents approximately 87.7% of our outstanding common stock and 98.6% of the voting power of our common stock. Mobileye’s Class A common stock are traded on the Nasdaq Global Select Market since October 26, 2022 under the ticker symbol “MBLY”.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Secondary Offering</w:t>
      </w:r>
    </w:p>
    <w:p>
      <w:pPr>
        <w:spacing w:after="0" w:line="22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On June 7, 2023, the Company announced the pricing of a public secondary offering of 38,500,000 shares of its Class A common stock (which shares were received upon the conversion of 38,500,000 shares of Class B common stock into Class A common stock) by Intel at a public offering price of $42.00 per share, which closed on June 12, 2023 (the “Secondary Offering”). The Company did not receive any proceeds from this offering. The Company paid the costs associated with the registration of shares in connection with the Secondary Offering in the amount of $1 million, other than underwriting discounts, fees and commissions. These costs were expensed as incurred within general and administrative expenses. Upon the completion of the Secondary Offering, Intel continues to directly or indirectly hold all of the Class B common stock of Mobileye.</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Operations in Israel</w:t>
      </w:r>
    </w:p>
    <w:p>
      <w:pPr>
        <w:spacing w:after="0" w:line="228"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On October 7, 2023, Hamas launched a series of attacks on civilian and military targets in Southern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Further, on April 13, 2024 and on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or Hezbollah, Iran or other countries or militant groups in the region may escalate in the future into a greater regional conflict. To date our operations and financial results have not been materially affected, although as of January 31, 2025 approximately 3.7% of our employees have been called to reserve duty in the Israel Defense Forces. We expect that the current conflict in the Gaza Strip, Lebanon and the security escalation in Israel will not have a material impact on our business results in the short term. However, since this is an event beyond our control, its continuation or cessation may impact our expectations. We continue to monitor political and military developments closely and examine the consequences for our business, results of operations and financial condition.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Other events during the current reporting period</w:t>
      </w:r>
    </w:p>
    <w:p>
      <w:pPr>
        <w:spacing w:after="0" w:line="18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On March 18, 2024, the Company announced the winding down of the Aftermarket Solutions Unit that provides retrofitted advanced driver assistance technology. This decision was made following a thorough review of this unit’s business prospects and investment needs showing that since automakers and other vehicle manufacturers have steadily increased the rate at which integrated ADAS solutions are installed on new vehicles, the demand and future addressable market for retrofitted ADAS solutions has declined. As a result, this division has seen its revenues decline meaningfully, and in recent years has not positively contributed to Mobileye’s profitability. The plan for winding down of the Aftermarket Solutions Unit resulted in a reduction in workforce of approximately 100 employees worldwide. The termination costs are in the amount of approximately $4 million, which was recognized as an expense in the year ended December 28, 2024.</w:t>
      </w:r>
    </w:p>
    <w:p>
      <w:pPr>
        <w:spacing w:after="0" w:line="177" w:lineRule="exact"/>
        <w:rPr>
          <w:sz w:val="20"/>
          <w:szCs w:val="20"/>
          <w:color w:val="auto"/>
        </w:rPr>
      </w:pPr>
    </w:p>
    <w:p>
      <w:pPr>
        <w:jc w:val="both"/>
        <w:ind w:firstLine="314"/>
        <w:spacing w:after="0" w:line="242" w:lineRule="auto"/>
        <w:rPr>
          <w:sz w:val="20"/>
          <w:szCs w:val="20"/>
          <w:color w:val="auto"/>
        </w:rPr>
      </w:pPr>
      <w:r>
        <w:rPr>
          <w:rFonts w:ascii="Times New Roman" w:cs="Times New Roman" w:eastAsia="Times New Roman" w:hAnsi="Times New Roman"/>
          <w:sz w:val="17"/>
          <w:szCs w:val="17"/>
          <w:color w:val="auto"/>
        </w:rPr>
        <w:t>On September 9, 2024, the Company announced the winding down of the Lidar R&amp;D Unit by the end of 2024 and the cessation of internal development of next-generation frequency modulated continuous wave (FMCW) lidars for use in autonomous and highly automated driving systems. The decision was based on a variety of factors, including substantial progress on the Company’s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6-based computer vision perception, increased clarity on the performance of the Company’s internally developed imaging radar, and continued better-than-expected cost reductions in third-party time-of-flight lidar units. The plan for winding down of the Lidar R&amp;D Unit includes a reduction in workforce of approximately 90 employees worldwide. The affected employees are entitled to additional termination costs in the amount of approximately $4.6 million which was recognized as an R&amp;D expense in the year ended December 28,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SIGNIFICANT ACCOUNTING POLICIES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Company operates on a 52-week or 53-week fiscal year that ends on the last Saturday in December. Fiscal years 2024 and 2023 were a 52-week fiscal years. Fiscal year 2022 was a 53-week fiscal year.</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Prior to the Mobileye IPO</w:t>
      </w:r>
    </w:p>
    <w:p>
      <w:pPr>
        <w:spacing w:after="0" w:line="20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financial statements and accompanying notes that include periods ending or as of dates prior to the completion of the Mobileye IPO in October 2022,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consolidated financial statements on a historical cost basis, as included in the consolidated financial statements of Intel.</w:t>
      </w:r>
    </w:p>
    <w:p>
      <w:pPr>
        <w:spacing w:after="0" w:line="15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utilized the Intel Aligned Groups mainly in research and development activities. The associated costs of the Intel Aligned Groups are reflected on a specific attribution basis in the consolidated statements of operations and comprehensive income (loss). Intel Aligned Groups also participated in various Intel compensation and benefit plans. Portions of those plans’ costs were based on actual headcount and included in these consolidated financial statements. These costs are not necessarily indicative of costs that would have been incurred had the Company operated on a stand-alone basis.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statements of operations and comprehensive income (loss)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37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Following the Mobileye IPO</w:t>
      </w:r>
    </w:p>
    <w:p>
      <w:pPr>
        <w:spacing w:after="0" w:line="215"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Following the completion of the Mobileye IPO, the consolidated financial statements include the accounts of the Company and its wholly-owned subsidiaries.</w:t>
      </w:r>
    </w:p>
    <w:p>
      <w:pPr>
        <w:spacing w:after="0" w:line="13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 xml:space="preserve">Following the legal entity reorganization and the completion of the Mobileye IPO, Intel continues to control the Company and holds all of the Company’s Class B common stock. Refer to Note 9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and Note 6 </w:t>
      </w: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xml:space="preserve"> for further information.</w:t>
      </w:r>
    </w:p>
    <w:p>
      <w:pPr>
        <w:spacing w:after="0" w:line="12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United States generally accepted accounting principles (“U.S. GAAP”). All intercompany balances and transactions have been eliminated in consolidation.</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judgments and assumptions that affect the amounts and events reported and disclosed in the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42"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Functional currency</w:t>
      </w:r>
    </w:p>
    <w:p>
      <w:pPr>
        <w:spacing w:after="0" w:line="21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majority of the Company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4915" cy="16510"/>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consolidated statements of operations and comprehensive income (loss) as other financial income (expense), net.</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Debt Investments</w:t>
      </w:r>
    </w:p>
    <w:p>
      <w:pPr>
        <w:spacing w:after="0" w:line="21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Marketable debt securities consist of highly liquid U.S. government bonds with maturities of up to six months when purchased. These debt investments are classified as Available For Sale investments and measured at fair value with unrealized gains and losses, net of tax, recorded in accumulated other comprehensive income (loss). We consider all highly liquid debt investments that are readily convertible into cash and have an original maturity of three months or less at the time of purchase to be cash equivalents. Debt investments with original maturities of greater than three months and less than one year, are classified within other current assets.</w:t>
      </w:r>
    </w:p>
    <w:p>
      <w:pPr>
        <w:spacing w:after="0" w:line="15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Available for sale debt investments are subject to a periodic impairment review. For investments in an unrealized loss position, we determine whether a credit loss exists. We recognize an allowance for credit losses, up to the amount of the unrealized loss when appropriate, and write down the amortized cost basis of the investment if it is more likely than not we will be required or we intend to sell the investment before recovery of its amortized cost basis.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Equity Investments</w:t>
      </w:r>
    </w:p>
    <w:p>
      <w:pPr>
        <w:spacing w:after="0" w:line="21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Equity investments consist of investments in marketable and non-marketable equity securities. Investments in marketable equity securities are measured and recorded at fair value with changes in fair value, whether realized or unrealized, recorded in the statement of operations. Equity investments are classified within other current assets. Investments in non-marketable equity securities without a readily determinable fair value, are measured using the measurement alternative under ASC Topic 321, Investments - Equity Securities. This measurement alternative allows us to measure the equity investment at its cost minus impairment, if any, plus or minus changes resulting from observable price changes in orderly transactions for the identical or a similar investment of the same issuer.</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Cash equivalents consist of short term deposits and money market funds. The short 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Restricted bank deposits are cash amounts related to bank guarantees mainly in connection with lease agreements and import of vehicles. Such deposits are stated at cost including accrued interest, which approximates market values. These amounts are included in other current and long-term assets on the consolidated balance sheets.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reconciliation of the cash, cash equivalents and restricted cash for each period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58"/>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98"/>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69"/>
        </w:trPr>
        <w:tc>
          <w:tcPr>
            <w:tcW w:w="70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Short term deposits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Restricted cash (within other current and other long-term assets)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 presented in the consolidated statements of cash</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flows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1,438</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1,226</w:t>
            </w:r>
          </w:p>
        </w:tc>
        <w:tc>
          <w:tcPr>
            <w:tcW w:w="0" w:type="dxa"/>
            <w:vAlign w:val="bottom"/>
          </w:tcPr>
          <w:p>
            <w:pPr>
              <w:spacing w:after="0"/>
              <w:rPr>
                <w:sz w:val="1"/>
                <w:szCs w:val="1"/>
                <w:color w:val="auto"/>
              </w:rPr>
            </w:pPr>
          </w:p>
        </w:tc>
      </w:tr>
      <w:tr>
        <w:trPr>
          <w:trHeight w:val="838"/>
        </w:trPr>
        <w:tc>
          <w:tcPr>
            <w:tcW w:w="7040" w:type="dxa"/>
            <w:vAlign w:val="bottom"/>
            <w:gridSpan w:val="2"/>
          </w:tcPr>
          <w:p>
            <w:pPr>
              <w:jc w:val="right"/>
              <w:ind w:right="1853"/>
              <w:spacing w:after="0"/>
              <w:rPr>
                <w:sz w:val="20"/>
                <w:szCs w:val="20"/>
                <w:color w:val="auto"/>
              </w:rPr>
            </w:pPr>
            <w:r>
              <w:rPr>
                <w:rFonts w:ascii="Times New Roman" w:cs="Times New Roman" w:eastAsia="Times New Roman" w:hAnsi="Times New Roman"/>
                <w:sz w:val="17"/>
                <w:szCs w:val="17"/>
                <w:color w:val="auto"/>
              </w:rPr>
              <w:t>105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5"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Fair value measurement</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Level 1: Quoted prices (unadjusted) in active markets that are accessible at the measurement date for identical assets or liabilities. The fair value hierarchy gives the highest priority to Level 1 inputs.</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Level 2: Observable prices that are based on inputs not quoted on active markets but are corroborated by market data or active market data for similar, but not identical assets or liabilities.</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Level 3: Unobservable inputs are used when little or no market data is available. The Company 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to the extent possible and if applicable considers credit risk in its assessment of fair value.</w:t>
      </w:r>
    </w:p>
    <w:p>
      <w:pPr>
        <w:spacing w:after="0" w:line="147"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carrying value of short term deposits classified as cash equivalents approximates their fair value due to the short maturity of these items.</w:t>
      </w:r>
    </w:p>
    <w:p>
      <w:pPr>
        <w:spacing w:after="0" w:line="200" w:lineRule="exact"/>
        <w:rPr>
          <w:sz w:val="20"/>
          <w:szCs w:val="20"/>
          <w:color w:val="auto"/>
        </w:rPr>
      </w:pPr>
    </w:p>
    <w:p>
      <w:pPr>
        <w:spacing w:after="0" w:line="21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Company’s investment in money market funds are measured at fair value within Level 1 of the fair value hierarchy because they consist of financial assets for which quoted prices are available in an active market. Interest income related to money market funds for the years ended December 28, 2024, and December 30, 2023 amounted to $47 million and $46 million, respectively.</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Company’s investment in U.S. government bonds is measured at fair value within Level 1 of the fair value hierarchy because they consist of U.S. government bonds for which quoted prices are available in an active market.</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Company’s marketable equity investments are measured at fair value within Level 1 of the fair value hierarchy because they consist of investments in marketable equity securities for which quoted prices are available in an active market.</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Company’s derivative instruments designated as hedging instruments, are measured at fair value within Level 2 of the fair value hierarchy.</w:t>
      </w:r>
    </w:p>
    <w:p>
      <w:pPr>
        <w:spacing w:after="0" w:line="147"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carrying amounts of trade accounts receivable and accounts payable approximate fair value because of their generally short maturities.</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which considers the Company’s customer base and an assessment of selling price in relation to product cost. Once written-down, a new lower cost basis for that inventory is established.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Property and equipment are depreciated on a straight-line basis over their estimated useful lives.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useful lives per asset type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Computers, electronic equipment and software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w:t>
            </w:r>
          </w:p>
        </w:tc>
      </w:tr>
      <w:tr>
        <w:trPr>
          <w:trHeight w:val="210"/>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Vehicles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Buildings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10 - 25</w:t>
            </w:r>
          </w:p>
        </w:tc>
      </w:tr>
    </w:tbl>
    <w:p>
      <w:pPr>
        <w:spacing w:after="0" w:line="17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Leasehold improvements are amortized by the straight-line method over the shorter of the term of the lease and estimated useful life of the improvements.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Assets in construction are not depreciated until they are available for their intended use.</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2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In accordance with ASC 350, the Company initially assesses qualitative factors to determine whether the existence of events or circumstances indicate that it is more likely than not that the fair value of a reporting unit is less than its carrying amount. Qualitative factors include industry and market considerations, overall financial performance, and other relevant events and factors affecting the reporting unit. If the Company determines, based on this assessment, that it is more likely than not that the fair value of the reporting unit is less than its carrying amount, it performs a quantitative goodwill impairment test by comparing the reporting unit’s fair value with its carrying amount. An impairment loss is recognized for the amount by which the reporting unit’s carrying amount exceeds its fair value.</w:t>
      </w:r>
    </w:p>
    <w:p>
      <w:pPr>
        <w:spacing w:after="0" w:line="179"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Company’s quantitative impairment test may consider both the income approach and the market approach to estimate a reporting unit’s fair value. Significant estimates for the income approach include financial projections, terminal growth rate, and discount rate based on a reporting unit’s weighted average cost of capital. The estimated fair value using a market approach is based on a number of assumptions, including current market capitalization as corroboration of fair value.</w:t>
      </w:r>
    </w:p>
    <w:p>
      <w:pPr>
        <w:spacing w:after="0" w:line="1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Forecasts and estimates are based on assumptions that are consistent with the plans and estimates used to manage the business. Changes in these estimates could change the conclusion regarding an impairment of goodwill.</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 non-cash goodwill impairment loss of $2,695 million ($2,613 million, net of tax), was recognized for the Mobileye reporting unit in the third quarter of 2024, for further detail see Note 10 of the Notes to Consolidated Financial Statements.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Intangible assets, net</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amortizes acquisition-related intangible assets that are subject to amortization over their estimated useful life.</w:t>
      </w:r>
    </w:p>
    <w:p>
      <w:pPr>
        <w:spacing w:after="0" w:line="22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Company performs an annual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 The Company did not record any impairment of intangible assets for any of the periods presented.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Long-lived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The Company did not record any impairment of long-lived assets for any of the periods presented.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Research and development, net</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Research and development costs are expensed as incurred, and consist primarily of personnel, facilities, equipment, and supplies for research and development activities.</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Participation in expenses for research and development projects are recognized on the basis of the costs incurred and are netted against research and development expenses in the consolidated statements of operations and comprehensive income (loss). Research and development reimbursements of $91 million, $89 million, and $58 million were offset against research and development costs in the years ended December 28, 2024, December 30, 2023, and December 31, 2022, respectively.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Derivatives and hedging</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Intel’s hedging program</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Beginning in 2021, as part of Intel’s corporate hedging program, Intel is hedging forecasted cash flows denominated in Israeli Shekel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consolidated financial statements were recorded under accumulated other comprehensive income and reclassified into earnings in the same period or periods during which the hedged transaction affected the statement of operations.</w:t>
      </w:r>
    </w:p>
    <w:p>
      <w:pPr>
        <w:spacing w:after="0" w:line="1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During the fourth quarter of 2022, the Company de-designated its remaining cash flow hedges for forecasted operating expenses denominated in ILS and will no longer participate in the hedging services agreement with Intel.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affected earnings. Any subsequent changes in the fair value of the outstanding derivative instruments after the de-designation and termination of hedge accounting, were immediately reflected in operating expenses. As of December 30, 2023, there were no outstanding hedging instruments and all of the related accumulated other comprehensive income (loss) was reclassified into the statement of operations and comprehensive income (loss).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Mobileye’s hedging program</w:t>
      </w:r>
    </w:p>
    <w:p>
      <w:pPr>
        <w:spacing w:after="0" w:line="226"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the cash flows.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As of December 28, 2024, the Company expects to reclassify all of its unrealized gains and losses from accumulated other comprehensive income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notional amount and fair value of outstanding derivatives at the end of each period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jc w:val="right"/>
              <w:ind w:right="143"/>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jc w:val="center"/>
              <w:ind w:right="123"/>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0" w:type="dxa"/>
            <w:vAlign w:val="bottom"/>
          </w:tcPr>
          <w:p>
            <w:pPr>
              <w:spacing w:after="0"/>
              <w:rPr>
                <w:sz w:val="1"/>
                <w:szCs w:val="1"/>
                <w:color w:val="auto"/>
              </w:rPr>
            </w:pPr>
          </w:p>
        </w:tc>
      </w:tr>
      <w:tr>
        <w:trPr>
          <w:trHeight w:val="169"/>
        </w:trPr>
        <w:tc>
          <w:tcPr>
            <w:tcW w:w="512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Notional amount of foreign currency contracts</w:t>
            </w:r>
          </w:p>
        </w:tc>
        <w:tc>
          <w:tcPr>
            <w:tcW w:w="1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foreign currency contracts</w:t>
            </w:r>
          </w:p>
        </w:tc>
        <w:tc>
          <w:tcPr>
            <w:tcW w:w="20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 in accumulated other comprehensive income (loss) relating to gains (losses) on derivatives used for hedging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139"/>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99"/>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Amounts reclassified out of accumulated other comprehensive (income) loss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 (loss), net</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1580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80515" cy="8255"/>
                    </a:xfrm>
                    <a:prstGeom prst="rect">
                      <a:avLst/>
                    </a:prstGeom>
                    <a:noFill/>
                  </pic:spPr>
                </pic:pic>
              </a:graphicData>
            </a:graphic>
          </wp:anchor>
        </w:drawing>
      </w:r>
    </w:p>
    <w:p>
      <w:pPr>
        <w:spacing w:after="0" w:line="151" w:lineRule="exact"/>
        <w:rPr>
          <w:sz w:val="20"/>
          <w:szCs w:val="20"/>
          <w:color w:val="auto"/>
        </w:rPr>
      </w:pPr>
    </w:p>
    <w:p>
      <w:pPr>
        <w:ind w:firstLine="5"/>
        <w:spacing w:after="0" w:line="296" w:lineRule="auto"/>
        <w:tabs>
          <w:tab w:leader="none" w:pos="18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of gains (losses) reclassified from other comprehensive income into profit or loss are recorded in cost of revenue and operating expenses.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recognizes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‘ex-works’ shipping terms which specify that title and risks will pass to the customer upon delivery at the Company’s warehouse. Revenue for product sales to resellers and distributors is recognized at the time of delivery of products to the resellers and distributors.</w:t>
      </w:r>
    </w:p>
    <w:p>
      <w:pPr>
        <w:spacing w:after="0" w:line="1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Sales of the Company’s products regularly include warranties which provides the customer with assurance that the products delivered will perform in accordance with agreed-upon specifications. These standard warranties are assurance type warranties and do not offer any services in addition to the assurance that the product will continue working as specified. Therefore, the warranties are not considered separate performance obligations.</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Advertising expenses</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Advertising expenses are charged to sales and marketing on the consolidated statements of operations and comprehensive income (loss) as incurred. Advertising expenses for the years ended December 28, 2024, December 30, 2023, and December 31, 2022 amounted to $3 million, $4 million and $3 million, respectively.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22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Prior to the completion of the Mobileye IPO, the Company’s employees participated in Intel’s equity incentive plans and were granted options and restricted stock units (“RSUs”) on Intel’s common shares. In connection with the Mobileye IPO, the Company approved the Mobileye Global Inc. 2022 Equity Incentive Plan (the “2022 Plan”) which allows the compensation committee of the Company to make equity-based incentive awards to our employees, consultants and outside directors. Equity awards granted to employees are accounted for using the estimated grant date fair value. The Company estimates the fair value of employee stock options to purchase shares of Intel common stock with a service condition using an option pricing model at the date of grant and values RSUs based on the market value of the underlying share of Intel or Mobileye common stock (as applicable) at the date of grant. The Company recognizes share-based compensation expense for the value of its awards, which have graded vesting based on service conditions, using the straight-line method over the requisite service period of each of the awards, net of estimated forfeitures.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provision for income tax consists of income taxes in the various jurisdictions where the Company is subject to taxation, primarily the United States and Israel.</w:t>
      </w:r>
    </w:p>
    <w:p>
      <w:pPr>
        <w:spacing w:after="0" w:line="147"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consolidated financial statements. Under this method, deferred tax assets and liabilities, resulting from temporary differences between the financial reporting and tax bases of assets 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7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During the years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consolidated financial statements has been calculated using the separate return method, as if the Company had filed its own tax returns.</w:t>
      </w:r>
    </w:p>
    <w:p>
      <w:pPr>
        <w:spacing w:after="0" w:line="168"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The Company has entered into a Tax Sharing Agreement with its Parent that establishes the amount of cash payable for the Company’s share of the tax liability owed on consolidated tax return filings with its Parent. Any differences between taxes currently payable to the Company’s Parent under the Tax Sharing Agreement and the current tax provision computed on a separate return basis, is reflected as adjustments to additional paid-in capital in the consolidated statement of changes in equity and financing activities within the consolidated statement of cash flows. For additional information regarding the Tax Sharing Agreement, see Note 9 of the Notes to Consolidated Financial Statements.</w:t>
      </w:r>
    </w:p>
    <w:p>
      <w:pPr>
        <w:spacing w:after="0" w:line="38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Company presents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For further detail regarding income tax, refer to Note 8 </w:t>
      </w:r>
      <w:r>
        <w:rPr>
          <w:rFonts w:ascii="Times New Roman" w:cs="Times New Roman" w:eastAsia="Times New Roman" w:hAnsi="Times New Roman"/>
          <w:sz w:val="17"/>
          <w:szCs w:val="17"/>
          <w:i w:val="1"/>
          <w:iCs w:val="1"/>
          <w:color w:val="auto"/>
        </w:rPr>
        <w:t>Income Taxes.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Provision for warranties</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provides warranties for its products, which vary with respect to each contract and in accordance with the nature of each specific product. The warranty terms vary from one to three years, with the majority of the Company’s products being subject to a warranty period of one year.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7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Provision for warranties is included in other current liabilities on the consolidated balance sheets. Provision for warranties as of December 28, 2024 and December 30, 2023, as well as warranty expenses for the each of the years presented were not material.</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Loss contingencies</w:t>
      </w:r>
    </w:p>
    <w:p>
      <w:pPr>
        <w:spacing w:after="0" w:line="22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72"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Management believes that there are no current matters that would have a material effect on the Company’s consolidated balance sheets, statement of operations or cash flows. Legal fees are expensed as incurred.</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26" w:lineRule="exact"/>
        <w:rPr>
          <w:sz w:val="20"/>
          <w:szCs w:val="20"/>
          <w:color w:val="auto"/>
        </w:rPr>
      </w:pPr>
    </w:p>
    <w:p>
      <w:pPr>
        <w:jc w:val="both"/>
        <w:ind w:right="20" w:firstLine="314"/>
        <w:spacing w:after="0" w:line="296" w:lineRule="auto"/>
        <w:rPr>
          <w:sz w:val="20"/>
          <w:szCs w:val="20"/>
          <w:color w:val="auto"/>
        </w:rPr>
      </w:pPr>
      <w:r>
        <w:rPr>
          <w:rFonts w:ascii="Times New Roman" w:cs="Times New Roman" w:eastAsia="Times New Roman" w:hAnsi="Times New Roman"/>
          <w:sz w:val="17"/>
          <w:szCs w:val="17"/>
          <w:color w:val="auto"/>
        </w:rPr>
        <w:t>The Company accounts for leases in accordance with ASC 842, Leases, which requires lessees to recognize leases on the consolidated balance sheets and disclose key information about leasing arrangements.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Leases primarily consist of real estate property and vehicles and are classified as operating leases with fixed payment terms. Certain operating leases provide for annual increases to lease payments based on an index or a rate. The Company determines if an arrangement is a lease, or contains a lease, at inception and records the leases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consolidated balance sheet. Lease expenses for the operating leases are recognized on a straight-line basis over the lease term and are included in operating expenses in the consolidated statements of operations and comprehensive income (loss). Options to extend or terminate the lease are taken into account when it is reasonably certain at the commencement date that such options will be exercised by the Company.</w:t>
      </w:r>
    </w:p>
    <w:p>
      <w:pPr>
        <w:spacing w:after="0" w:line="175"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Company elected to apply the short-term lease exemption for lease with a non-cancelable period of twelve months or less. Additionally, 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are initially measured using the index or rate at the commencement date.</w:t>
      </w:r>
    </w:p>
    <w:p>
      <w:pPr>
        <w:spacing w:after="0" w:line="38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interest rate used to determine the present value of the future lease payments is the Company’s incremental borrowing rate because the interest rate implicit in most of its leases is not readily determinable.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Earnings (loss) per share</w:t>
      </w:r>
    </w:p>
    <w:p>
      <w:pPr>
        <w:spacing w:after="0" w:line="22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 xml:space="preserve">Basic earnings (loss) per share is computed by dividing net income (loss) for the period by the weighted-average number of common shares outstanding during the period. Undistributed earnings (loss) are allocated proportionally to Class A and Class B stockholders as both classes are entitled to share equally, on a per share basis, in dividends and other distributions. Diluted earnings (loss) per share is computed by dividing net income (loss) by the weighted-average number of common shares outstanding during the period, while giving effect to all potentially dilutive common shares to the extent they are dilutive. Potentially dilutive common shares result from the assumed vesting of RSUs under the 2022 Plan, using the “treasury stock” method. RSUs are not included in the computation of diluted earnings (loss) per share if the effect of their inclusion would have been anti-dilutive. Refer to Note 7 </w:t>
      </w:r>
      <w:r>
        <w:rPr>
          <w:rFonts w:ascii="Times New Roman" w:cs="Times New Roman" w:eastAsia="Times New Roman" w:hAnsi="Times New Roman"/>
          <w:sz w:val="17"/>
          <w:szCs w:val="17"/>
          <w:i w:val="1"/>
          <w:iCs w:val="1"/>
          <w:color w:val="auto"/>
        </w:rPr>
        <w:t>Earnings (Loss) per Share</w:t>
      </w:r>
      <w:r>
        <w:rPr>
          <w:rFonts w:ascii="Times New Roman" w:cs="Times New Roman" w:eastAsia="Times New Roman" w:hAnsi="Times New Roman"/>
          <w:sz w:val="17"/>
          <w:szCs w:val="17"/>
          <w:color w:val="auto"/>
        </w:rPr>
        <w:t xml:space="preserve"> as well as Note 6 </w:t>
      </w: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xml:space="preserve"> for further discussion on awards.</w:t>
      </w: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a concentration of credit risk consist primarily of cash and cash equivalents, which include: short-term deposits, money market funds, U.S. government bonds, derivative financial instruments, and also trade accounts receivable.</w:t>
      </w:r>
    </w:p>
    <w:p>
      <w:pPr>
        <w:spacing w:after="0" w:line="164"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investors money market funds and are readily redeemable to cash and the U.S. government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w:t>
      </w:r>
    </w:p>
    <w:p>
      <w:pPr>
        <w:spacing w:after="0" w:line="172"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consolidated statement of operations and comprehensive income. As of December 28, 2024 and December 30, 2023, the credit loss allowance for trade accounts receivable was not material. For each of the years presented, the charge-offs and recoveries in relation to the credit losses were not material.</w:t>
      </w: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Customer concentration risk</w:t>
      </w:r>
    </w:p>
    <w:p>
      <w:pPr>
        <w:spacing w:after="0" w:line="22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w:t>
      </w:r>
      <w:r>
        <w:rPr>
          <w:rFonts w:ascii="Times New Roman" w:cs="Times New Roman" w:eastAsia="Times New Roman" w:hAnsi="Times New Roman"/>
          <w:sz w:val="17"/>
          <w:szCs w:val="17"/>
          <w:i w:val="1"/>
          <w:iCs w:val="1"/>
          <w:color w:val="auto"/>
        </w:rPr>
        <w:t>Segment Information</w:t>
      </w:r>
      <w:r>
        <w:rPr>
          <w:rFonts w:ascii="Times New Roman" w:cs="Times New Roman" w:eastAsia="Times New Roman" w:hAnsi="Times New Roman"/>
          <w:sz w:val="17"/>
          <w:szCs w:val="17"/>
          <w:color w:val="auto"/>
        </w:rPr>
        <w:t xml:space="preserve"> related to customers that accounted for more than 10% of the Company’s total revenue and more than 10% of the total accounts receivable balance for each of the years presented in these consolidated financial statements.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Dependence on a single supplier or limited suppliers risk</w:t>
      </w:r>
    </w:p>
    <w:p>
      <w:pPr>
        <w:spacing w:after="0" w:line="218" w:lineRule="exact"/>
        <w:rPr>
          <w:sz w:val="20"/>
          <w:szCs w:val="20"/>
          <w:color w:val="auto"/>
        </w:rPr>
      </w:pPr>
    </w:p>
    <w:p>
      <w:pPr>
        <w:jc w:val="both"/>
        <w:ind w:firstLine="314"/>
        <w:spacing w:after="0" w:line="207" w:lineRule="auto"/>
        <w:rPr>
          <w:sz w:val="20"/>
          <w:szCs w:val="20"/>
          <w:color w:val="auto"/>
        </w:rPr>
      </w:pPr>
      <w:r>
        <w:rPr>
          <w:rFonts w:ascii="Times New Roman" w:cs="Times New Roman" w:eastAsia="Times New Roman" w:hAnsi="Times New Roman"/>
          <w:sz w:val="17"/>
          <w:szCs w:val="17"/>
          <w:color w:val="auto"/>
        </w:rPr>
        <w:t>The Company purchases all its System on Chip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 See below regarding a shortage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that the Company experienced during 2021 and 2022 and may experience in the future, including in ECUs for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other components for our products.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Supply chain risk</w:t>
      </w:r>
    </w:p>
    <w:p>
      <w:pPr>
        <w:spacing w:after="0" w:line="226" w:lineRule="exact"/>
        <w:rPr>
          <w:sz w:val="20"/>
          <w:szCs w:val="20"/>
          <w:color w:val="auto"/>
        </w:rPr>
      </w:pPr>
    </w:p>
    <w:p>
      <w:pPr>
        <w:jc w:val="both"/>
        <w:ind w:firstLine="314"/>
        <w:spacing w:after="0" w:line="207" w:lineRule="auto"/>
        <w:rPr>
          <w:sz w:val="20"/>
          <w:szCs w:val="20"/>
          <w:color w:val="auto"/>
        </w:rPr>
      </w:pPr>
      <w:r>
        <w:rPr>
          <w:rFonts w:ascii="Times New Roman" w:cs="Times New Roman" w:eastAsia="Times New Roman" w:hAnsi="Times New Roman"/>
          <w:sz w:val="17"/>
          <w:szCs w:val="17"/>
          <w:color w:val="auto"/>
        </w:rPr>
        <w:t>During the fiscal years 2021 and 2022, the semiconductor industry experienced widespread shortages of substrates and other components and available foundry manufacturing capacity. During 2021 and 2022,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causing a significant reduction in the Company’s inventory levels. Starting in late 2022 and early 2023, such supply disruptions, raw material shortages and manufacturing limitations abated and during 2023, we successfully increased levels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or ECUs (including for Mobileye SuperVision</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Mobileye Chauffeur</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7"/>
          <w:szCs w:val="17"/>
          <w:color w:val="auto"/>
        </w:rPr>
        <w:t>, and Mobileye Drive</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7"/>
          <w:szCs w:val="17"/>
          <w:color w:val="auto"/>
        </w:rPr>
        <w:t>) on hand. As a result, we are substantially reliant on timely shipments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Since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is the core of our ADAS and autonomous driving solutions, continued, acute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to meet our production needs would impair our ability to meet our customers’ requirements in a timely manner, and would affect our business, results of operations, and financial condition potentially in an adverse manner.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Accounting pronouncements adopted in the period</w:t>
      </w:r>
    </w:p>
    <w:p>
      <w:pPr>
        <w:spacing w:after="0" w:line="226" w:lineRule="exact"/>
        <w:rPr>
          <w:sz w:val="20"/>
          <w:szCs w:val="20"/>
          <w:color w:val="auto"/>
        </w:rPr>
      </w:pPr>
    </w:p>
    <w:p>
      <w:pPr>
        <w:jc w:val="both"/>
        <w:ind w:firstLine="314"/>
        <w:spacing w:after="0" w:line="271"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The ASU improves reportable segments disclosure requirements, primarily through enhanced disclosures about significant segment expenses. The ASU is effective for fiscal years beginning after December 15, 2023, and interim periods within fiscal years beginning after December 15, 2024. Early adoption is permitted. This ASU did not have a material impact on the Company’s consolidated financial statements.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Accounting Pronouncements effective in future periods</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w:t>
      </w:r>
    </w:p>
    <w:p>
      <w:pPr>
        <w:spacing w:after="0" w:line="1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 (Subtopic 220-40): Disaggregation of Income Statement Expense and ASU 2025-01, Income Statement - Reporting Comprehensive Income - Expense Disaggregation Disclosures (Subtopic 220-40): Clarifying the Effective Date</w:t>
      </w:r>
      <w:r>
        <w:rPr>
          <w:rFonts w:ascii="Times New Roman" w:cs="Times New Roman" w:eastAsia="Times New Roman" w:hAnsi="Times New Roman"/>
          <w:sz w:val="17"/>
          <w:szCs w:val="17"/>
          <w:color w:val="auto"/>
        </w:rPr>
        <w:t>. The ASU improves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general and administrative, and research and development). The ASU is effective for annual reporting periods beginning after December 15, 2026, and interim periods within annual reporting periods beginning after December 15, 2027. Early adoption is permitted. The Company is evaluating the potential impact of this guidance on its consolidated financial statement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OTHER FINANCIAL STATEMENT DETAILS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9"/>
                <w:szCs w:val="9"/>
                <w:color w:val="auto"/>
              </w:rPr>
            </w:pPr>
          </w:p>
        </w:tc>
        <w:tc>
          <w:tcPr>
            <w:tcW w:w="1000" w:type="dxa"/>
            <w:vAlign w:val="bottom"/>
          </w:tcPr>
          <w:p>
            <w:pPr>
              <w:jc w:val="right"/>
              <w:ind w:right="79"/>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right"/>
              <w:ind w:right="119"/>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0" w:type="dxa"/>
            <w:vAlign w:val="bottom"/>
          </w:tcPr>
          <w:p>
            <w:pPr>
              <w:spacing w:after="0"/>
              <w:rPr>
                <w:sz w:val="1"/>
                <w:szCs w:val="1"/>
                <w:color w:val="auto"/>
              </w:rPr>
            </w:pPr>
          </w:p>
        </w:tc>
      </w:tr>
      <w:tr>
        <w:trPr>
          <w:trHeight w:val="169"/>
        </w:trPr>
        <w:tc>
          <w:tcPr>
            <w:tcW w:w="73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0"/>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Work in process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415</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Inventory write-downs and write-offs totaled $3 million, $2 million and $0 million for the years ended December 28, 2024, December 30, 2023, and December 31, 2022,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jc w:val="right"/>
              <w:ind w:right="57"/>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0" w:type="dxa"/>
            <w:vAlign w:val="bottom"/>
          </w:tcPr>
          <w:p>
            <w:pPr>
              <w:spacing w:after="0"/>
              <w:rPr>
                <w:sz w:val="1"/>
                <w:szCs w:val="1"/>
                <w:color w:val="auto"/>
              </w:rPr>
            </w:pPr>
          </w:p>
        </w:tc>
      </w:tr>
      <w:tr>
        <w:trPr>
          <w:trHeight w:val="169"/>
        </w:trPr>
        <w:tc>
          <w:tcPr>
            <w:tcW w:w="536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Computers, electronic equipment and software</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Vehicles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Buildings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Leasehold improvements</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property and equipment, gross</w:t>
            </w:r>
          </w:p>
        </w:tc>
        <w:tc>
          <w:tcPr>
            <w:tcW w:w="1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586</w:t>
            </w:r>
          </w:p>
        </w:tc>
        <w:tc>
          <w:tcPr>
            <w:tcW w:w="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3"/>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property and equipment, net</w:t>
            </w:r>
          </w:p>
        </w:tc>
        <w:tc>
          <w:tcPr>
            <w:tcW w:w="19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458</w:t>
            </w:r>
          </w:p>
        </w:tc>
        <w:tc>
          <w:tcPr>
            <w:tcW w:w="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Depreciation expenses totaled $62 million, $39 million, and $23 million for the years ended December 28, 2024, December 30, 2023, and December 31, 2022, respectively. During 2024 and 2023, the Company derecognized the cost and accumulated depreciation of fully depreciated assets in the amount of $30 million and $23 million,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Substantially all of the Company’s property and equipment were located in Israel as of December 28, 2024 and December 30, 2023.</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Royalty bearing agreements</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28, 2024, December 30, 2023, and December 31, 2022, the Company recorded expenses of approximately $7 million, $9 million, and $8 million, respectively. These expenses were classified as a component of cost of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EMPLOYEE BENEFITS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 Israel</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Severance</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Israeli labor laws generally require severance payments upon dismissal of an employee or upon termination of employment in certain other circumstances. The following plans relate to the Company’s employees in Israel.</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consolidated balance sheets as a long-term employee benefit. Severance pay liabilities as of December 28, 2024 and December 30, 2023 were $62 million and $56 million, respectively.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Company’s liability for all of its Israeli employees is covered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$52 million and $45 million as of December 28, 2024 and December 30, 2023, respectively.</w:t>
      </w:r>
    </w:p>
    <w:p>
      <w:pPr>
        <w:spacing w:after="0" w:line="1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majority of the Company’s liability for severance pay is covered by the provisions of Section 14 of the Israeli Severance Pay Law (“Section 14”). Under Section 14, employees are entitled to monthly deposits, at 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consolidated balance sheets.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Non-Israeli Defined Contribution Plans</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each of the years presented under such plans were not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LEASES</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Company’s operating leases consist of offices and vehicles and the lease term varies between 3-8 years. Some of the Company’s leases include options to extend the lease term for periods of up to five years each. For purposes of calculating lease liabilities, lease terms include options to extend or terminate the lease when it is reasonably certain that the Company will exercise such options.</w:t>
      </w:r>
    </w:p>
    <w:p>
      <w:pPr>
        <w:spacing w:after="0" w:line="164"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Lease expenses for operating lease payments are recognized on a straight-line basis over the lease term. Certain operating leases provide for annual increases to lease payments based on an index. The Company calculates the present value of future lease payments based on the index at the lease commencement date. Differences between the estimated lease liability and actual payments are expensed as incurred and are not material for all periods presented. The lease agreements generally do not contain any residual value guarantees or restrictive covenants.</w:t>
      </w:r>
    </w:p>
    <w:p>
      <w:pPr>
        <w:spacing w:after="0" w:line="38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Operating lease expense for the years ended December 28, 2024, December 30, 2023, and December 31, 2022 were $16 million, $19 million, and $13 million, respectively. The Company does not have any finance leases.</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balances for the operating leases, which are presented on the consolidated balance sheets in other long-term assets, other current liabilities and long-term liabilities,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20" w:type="dxa"/>
            <w:vAlign w:val="bottom"/>
          </w:tcPr>
          <w:p>
            <w:pPr>
              <w:spacing w:after="0"/>
              <w:rPr>
                <w:sz w:val="9"/>
                <w:szCs w:val="9"/>
                <w:color w:val="auto"/>
              </w:rPr>
            </w:pPr>
          </w:p>
        </w:tc>
        <w:tc>
          <w:tcPr>
            <w:tcW w:w="110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jc w:val="right"/>
              <w:ind w:right="199"/>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0" w:type="dxa"/>
            <w:vAlign w:val="bottom"/>
          </w:tcPr>
          <w:p>
            <w:pPr>
              <w:spacing w:after="0"/>
              <w:rPr>
                <w:sz w:val="1"/>
                <w:szCs w:val="1"/>
                <w:color w:val="auto"/>
              </w:rPr>
            </w:pPr>
          </w:p>
        </w:tc>
      </w:tr>
      <w:tr>
        <w:trPr>
          <w:trHeight w:val="169"/>
        </w:trPr>
        <w:tc>
          <w:tcPr>
            <w:tcW w:w="4760" w:type="dxa"/>
            <w:vAlign w:val="bottom"/>
            <w:gridSpan w:val="2"/>
            <w:vMerge w:val="continue"/>
          </w:tcPr>
          <w:p>
            <w:pPr>
              <w:spacing w:after="0"/>
              <w:rPr>
                <w:sz w:val="14"/>
                <w:szCs w:val="14"/>
                <w:color w:val="auto"/>
              </w:rPr>
            </w:pPr>
          </w:p>
        </w:tc>
        <w:tc>
          <w:tcPr>
            <w:tcW w:w="3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lease right-of-use assets</w:t>
            </w:r>
          </w:p>
        </w:tc>
        <w:tc>
          <w:tcPr>
            <w:tcW w:w="2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2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lease liabilities</w:t>
            </w:r>
          </w:p>
        </w:tc>
        <w:tc>
          <w:tcPr>
            <w:tcW w:w="22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As of December 28, 2024 and December 30, 2023, the weighted average remaining lease term was 4.31 and 4.67 years, respectively, and the weighted average discount rate was 4.94% and 4.67%, respectively.</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Supplemental information related to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43"/>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ind w:right="33"/>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54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recognized in exchange for lease obligations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54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Maturities of operating lease liabilities were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3"/>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0" w:type="dxa"/>
            <w:vAlign w:val="bottom"/>
          </w:tcPr>
          <w:p>
            <w:pPr>
              <w:spacing w:after="0"/>
              <w:rPr>
                <w:sz w:val="1"/>
                <w:szCs w:val="1"/>
                <w:color w:val="auto"/>
              </w:rPr>
            </w:pPr>
          </w:p>
        </w:tc>
      </w:tr>
      <w:tr>
        <w:trPr>
          <w:trHeight w:val="169"/>
        </w:trPr>
        <w:tc>
          <w:tcPr>
            <w:tcW w:w="5460" w:type="dxa"/>
            <w:vAlign w:val="bottom"/>
            <w:tcBorders>
              <w:bottom w:val="single" w:sz="8" w:color="CCEEFF"/>
            </w:tcBorders>
            <w:gridSpan w:val="2"/>
            <w:vMerge w:val="continue"/>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2028</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 and thereafter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operating lease payments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0" w:type="dxa"/>
            <w:vAlign w:val="bottom"/>
          </w:tcPr>
          <w:p>
            <w:pPr>
              <w:spacing w:after="0"/>
              <w:rPr>
                <w:sz w:val="1"/>
                <w:szCs w:val="1"/>
                <w:color w:val="auto"/>
              </w:rPr>
            </w:pPr>
          </w:p>
        </w:tc>
      </w:tr>
      <w:tr>
        <w:trPr>
          <w:trHeight w:val="21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Imputed interest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3"/>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Present value of lease liabilities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During 2017, the Company obtained the right to use land in Jerusalem from the Israeli government for the construction of a new research and development and innovation center that now hosts the Company’s headquarters (the new Jerusalem Campus). This land lease was fully prepaid and no lease liability was recorded. This operating lease right of use asset is carried at cost and amortized using the straight-line method. This operating lease right of use asset, net of amortization, was $11 million and $12 million as of December 28, 2024 and December 30, 2023, respectively, and is included in other long-term assets on the consolidated balance sheets.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EQUITY</w:t>
      </w:r>
    </w:p>
    <w:p>
      <w:pPr>
        <w:spacing w:after="0" w:line="224" w:lineRule="exact"/>
        <w:rPr>
          <w:sz w:val="20"/>
          <w:szCs w:val="20"/>
          <w:color w:val="auto"/>
        </w:rPr>
      </w:pPr>
    </w:p>
    <w:p>
      <w:pPr>
        <w:ind w:left="640" w:hanging="320"/>
        <w:spacing w:after="0"/>
        <w:tabs>
          <w:tab w:leader="none" w:pos="64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Stock and Voting Rights</w:t>
      </w:r>
    </w:p>
    <w:p>
      <w:pPr>
        <w:spacing w:after="0" w:line="22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have two classes of authorized common stock: Class A common stock, which is listed on Nasdaq under the symbol “MBLY”, and Class B common stock which is not listed or traded on any stock exchange and is held by Intel. Both classes of common stock have a par value of $0.01 per share.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continues to directly, or indirectly, hold all of the Class B common stock of Mobileye, which represents approximately 87.7% of our outstanding common stock and 98.6% of the voting power of our common stock as of December 28, 2024.</w:t>
      </w:r>
    </w:p>
    <w:p>
      <w:pPr>
        <w:spacing w:after="0" w:line="175" w:lineRule="exact"/>
        <w:rPr>
          <w:sz w:val="20"/>
          <w:szCs w:val="20"/>
          <w:color w:val="auto"/>
        </w:rPr>
      </w:pPr>
    </w:p>
    <w:p>
      <w:pPr>
        <w:ind w:left="640" w:hanging="320"/>
        <w:spacing w:after="0"/>
        <w:tabs>
          <w:tab w:leader="none" w:pos="64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Dividends</w:t>
      </w:r>
    </w:p>
    <w:p>
      <w:pPr>
        <w:spacing w:after="0" w:line="226"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On May 12, 2022, Mobileye Group declared and paid a dividend in an aggregate amount of $336 million to Intel, net of $14 million of cash paid to tax authorities to settle related tax obligations.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October 2022, the Company made a capital distribution in cash to Intel in the amount of $1.1 million.</w:t>
      </w:r>
    </w:p>
    <w:p>
      <w:pPr>
        <w:spacing w:after="0" w:line="222" w:lineRule="exact"/>
        <w:rPr>
          <w:sz w:val="20"/>
          <w:szCs w:val="20"/>
          <w:color w:val="auto"/>
        </w:rPr>
      </w:pPr>
    </w:p>
    <w:p>
      <w:pPr>
        <w:ind w:left="640" w:hanging="320"/>
        <w:spacing w:after="0"/>
        <w:tabs>
          <w:tab w:leader="none" w:pos="64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plans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Mobileye Plan</w:t>
      </w:r>
    </w:p>
    <w:p>
      <w:pPr>
        <w:spacing w:after="0" w:line="22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In connection with the Mobileye IPO, the Company approved the Mobileye Global Inc. 2022 Equity Incentive Plan (the “2022 Plan”). Equity awards under the 2022 Plan are granted for Class A shares and vest upon the satisfaction of a service-based vesting condition, mostly over a service periods of three years. The RSUs granted during 2024, 2023 and 2022 also include 0.5 million, 0.4 million and 2.1 million RSUs granted to the Company’s Chief Executive Officer, in a total value of $14 million, $14 million and $44 million, respectively, which will vest over a service period of up to five years.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With respect to Israeli employees, the 2022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2022 Plan, with the exception of the benefit component, if any, on the grant date.</w:t>
      </w: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RSU activity for the years ended December 28, 2024, December 30, 2023 and December 31, 2022 for RSUs granted to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employees under the 2022 Plan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fair value per share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540" w:type="dxa"/>
            <w:vAlign w:val="bottom"/>
            <w:tcBorders>
              <w:bottom w:val="single" w:sz="8" w:color="CCEEFF"/>
            </w:tcBorders>
          </w:tcPr>
          <w:p>
            <w:pPr>
              <w:spacing w:after="0"/>
              <w:rPr>
                <w:sz w:val="11"/>
                <w:szCs w:val="11"/>
                <w:color w:val="auto"/>
              </w:rPr>
            </w:pPr>
          </w:p>
        </w:tc>
        <w:tc>
          <w:tcPr>
            <w:tcW w:w="1520" w:type="dxa"/>
            <w:vAlign w:val="bottom"/>
            <w:tcBorders>
              <w:top w:val="single" w:sz="8" w:color="auto"/>
              <w:bottom w:val="single" w:sz="8" w:color="auto"/>
            </w:tcBorders>
          </w:tcPr>
          <w:p>
            <w:pPr>
              <w:jc w:val="right"/>
              <w:ind w:right="295"/>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jc w:val="center"/>
              <w:ind w:right="16"/>
              <w:spacing w:after="0" w:line="137"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jc w:val="right"/>
              <w:ind w:right="3693"/>
              <w:spacing w:after="0"/>
              <w:rPr>
                <w:sz w:val="20"/>
                <w:szCs w:val="20"/>
                <w:color w:val="auto"/>
              </w:rPr>
            </w:pPr>
            <w:r>
              <w:rPr>
                <w:rFonts w:ascii="Times New Roman" w:cs="Times New Roman" w:eastAsia="Times New Roman" w:hAnsi="Times New Roman"/>
                <w:sz w:val="17"/>
                <w:szCs w:val="17"/>
                <w:b w:val="1"/>
                <w:bCs w:val="1"/>
                <w:color w:val="auto"/>
              </w:rPr>
              <w:t>Outstanding as of December 25,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43"/>
        </w:trPr>
        <w:tc>
          <w:tcPr>
            <w:tcW w:w="6560" w:type="dxa"/>
            <w:vAlign w:val="bottom"/>
            <w:gridSpan w:val="2"/>
          </w:tcPr>
          <w:p>
            <w:pPr>
              <w:jc w:val="right"/>
              <w:ind w:right="3693"/>
              <w:spacing w:after="0"/>
              <w:rPr>
                <w:sz w:val="20"/>
                <w:szCs w:val="20"/>
                <w:color w:val="auto"/>
              </w:rPr>
            </w:pPr>
            <w:r>
              <w:rPr>
                <w:rFonts w:ascii="Times New Roman" w:cs="Times New Roman" w:eastAsia="Times New Roman" w:hAnsi="Times New Roman"/>
                <w:sz w:val="17"/>
                <w:szCs w:val="17"/>
                <w:b w:val="1"/>
                <w:bCs w:val="1"/>
                <w:color w:val="auto"/>
              </w:rPr>
              <w:t>Outstanding as of December 31,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12,564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Borders>
              <w:top w:val="single" w:sz="8" w:color="CCEEFF"/>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6,782</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ind w:left="1340"/>
              <w:spacing w:after="0" w:line="189" w:lineRule="exact"/>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43"/>
        </w:trPr>
        <w:tc>
          <w:tcPr>
            <w:tcW w:w="6560" w:type="dxa"/>
            <w:vAlign w:val="bottom"/>
            <w:gridSpan w:val="2"/>
          </w:tcPr>
          <w:p>
            <w:pPr>
              <w:jc w:val="right"/>
              <w:ind w:right="3693"/>
              <w:spacing w:after="0"/>
              <w:rPr>
                <w:sz w:val="20"/>
                <w:szCs w:val="20"/>
                <w:color w:val="auto"/>
              </w:rPr>
            </w:pPr>
            <w:r>
              <w:rPr>
                <w:rFonts w:ascii="Times New Roman" w:cs="Times New Roman" w:eastAsia="Times New Roman" w:hAnsi="Times New Roman"/>
                <w:sz w:val="17"/>
                <w:szCs w:val="17"/>
                <w:b w:val="1"/>
                <w:bCs w:val="1"/>
                <w:color w:val="auto"/>
              </w:rPr>
              <w:t>Outstanding as of December 30,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14,778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Borders>
              <w:top w:val="single" w:sz="8" w:color="CCEEFF"/>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13,542</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ind w:left="1340"/>
              <w:spacing w:after="0" w:line="189"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3"/>
        </w:trPr>
        <w:tc>
          <w:tcPr>
            <w:tcW w:w="6560" w:type="dxa"/>
            <w:vAlign w:val="bottom"/>
            <w:gridSpan w:val="2"/>
          </w:tcPr>
          <w:p>
            <w:pPr>
              <w:jc w:val="right"/>
              <w:ind w:right="3693"/>
              <w:spacing w:after="0"/>
              <w:rPr>
                <w:sz w:val="20"/>
                <w:szCs w:val="20"/>
                <w:color w:val="auto"/>
              </w:rPr>
            </w:pPr>
            <w:r>
              <w:rPr>
                <w:rFonts w:ascii="Times New Roman" w:cs="Times New Roman" w:eastAsia="Times New Roman" w:hAnsi="Times New Roman"/>
                <w:sz w:val="17"/>
                <w:szCs w:val="17"/>
                <w:b w:val="1"/>
                <w:bCs w:val="1"/>
                <w:color w:val="auto"/>
              </w:rPr>
              <w:t>Outstanding as of December 28,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21,453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As of December 28, 2024, the unrecognized compensation cost related to all unvested RSUs granted under the Company’s 2022 Plan, was $405 million, which is expected to be recognized as expense over a weighted-average period of 2.07 years.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Intel Plan</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Prior to the Mobileye IPO, since 2017, employees of the Company had been incentivized and rewarded through the grant of Intel equity awards under the Intel Corporation 2006 Equity Incentive Plan (the “2006 Plan”).</w:t>
      </w:r>
    </w:p>
    <w:p>
      <w:pPr>
        <w:spacing w:after="0" w:line="14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2006 Plan provides for the grant of equity awards covering Intel common stock to eligible employees of the Company and contain only a service condition. The equity awards granted generally vest over the course of three years from the grant date.</w:t>
      </w:r>
    </w:p>
    <w:p>
      <w:pPr>
        <w:spacing w:after="0" w:line="147"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2006 Plan, with the exception of the benefit component, if any, on the grant date.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Outstanding and exercisable options for Intel’s common stock under Intel’s 2006 Plan as of December 28, 2024 were as follows: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Borders>
              <w:bottom w:val="single" w:sz="8" w:color="auto"/>
            </w:tcBorders>
            <w:gridSpan w:val="5"/>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13"/>
        </w:trPr>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8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ind w:right="25"/>
              <w:spacing w:after="0" w:line="113"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9"/>
                <w:szCs w:val="9"/>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right="25"/>
              <w:spacing w:after="0" w:line="113"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4"/>
        </w:trPr>
        <w:tc>
          <w:tcPr>
            <w:tcW w:w="3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Exercise price</w:t>
            </w:r>
          </w:p>
        </w:tc>
        <w:tc>
          <w:tcPr>
            <w:tcW w:w="1140" w:type="dxa"/>
            <w:vAlign w:val="bottom"/>
            <w:gridSpan w:val="2"/>
            <w:vMerge w:val="continue"/>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65"/>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9"/>
        </w:trPr>
        <w:tc>
          <w:tcPr>
            <w:tcW w:w="3940" w:type="dxa"/>
            <w:vAlign w:val="bottom"/>
            <w:gridSpan w:val="2"/>
            <w:vMerge w:val="continue"/>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 life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0" w:type="dxa"/>
            <w:vAlign w:val="bottom"/>
          </w:tcPr>
          <w:p>
            <w:pPr>
              <w:spacing w:after="0"/>
              <w:rPr>
                <w:sz w:val="1"/>
                <w:szCs w:val="1"/>
                <w:color w:val="auto"/>
              </w:rPr>
            </w:pPr>
          </w:p>
        </w:tc>
      </w:tr>
      <w:tr>
        <w:trPr>
          <w:trHeight w:val="137"/>
        </w:trPr>
        <w:tc>
          <w:tcPr>
            <w:tcW w:w="3760" w:type="dxa"/>
            <w:vAlign w:val="bottom"/>
            <w:tcBorders>
              <w:top w:val="single" w:sz="8" w:color="auto"/>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8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 years</w:t>
            </w:r>
          </w:p>
        </w:tc>
        <w:tc>
          <w:tcPr>
            <w:tcW w:w="1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center"/>
              <w:ind w:right="45"/>
              <w:spacing w:after="0" w:line="137"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8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center"/>
              <w:ind w:right="25"/>
              <w:spacing w:after="0" w:line="137" w:lineRule="exact"/>
              <w:rPr>
                <w:sz w:val="20"/>
                <w:szCs w:val="20"/>
                <w:color w:val="auto"/>
              </w:rPr>
            </w:pPr>
            <w:r>
              <w:rPr>
                <w:rFonts w:ascii="Times New Roman" w:cs="Times New Roman" w:eastAsia="Times New Roman" w:hAnsi="Times New Roman"/>
                <w:sz w:val="14"/>
                <w:szCs w:val="14"/>
                <w:b w:val="1"/>
                <w:bCs w:val="1"/>
                <w:color w:val="auto"/>
                <w:w w:val="97"/>
              </w:rPr>
              <w:t>U.S. dollars</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$ 4.0 - 21.6</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8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3"/>
        </w:trPr>
        <w:tc>
          <w:tcPr>
            <w:tcW w:w="3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1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option activity for the years ended December 28, 2024, December 30, 2023, and December 31, 2022 for options granted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employees for Intel’s common stock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8"/>
              </w:rPr>
              <w:t>Aggregated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97"/>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value(1)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2120" w:type="dxa"/>
            <w:vAlign w:val="bottom"/>
            <w:tcBorders>
              <w:bottom w:val="single" w:sz="8" w:color="CCEEFF"/>
            </w:tcBorders>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Borders>
              <w:bottom w:val="single" w:sz="8" w:color="CCEEFF"/>
            </w:tcBorders>
          </w:tcPr>
          <w:p>
            <w:pPr>
              <w:spacing w:after="0"/>
              <w:rPr>
                <w:sz w:val="11"/>
                <w:szCs w:val="11"/>
                <w:color w:val="auto"/>
              </w:rPr>
            </w:pPr>
          </w:p>
        </w:tc>
        <w:tc>
          <w:tcPr>
            <w:tcW w:w="1100" w:type="dxa"/>
            <w:vAlign w:val="bottom"/>
            <w:tcBorders>
              <w:top w:val="single" w:sz="8" w:color="auto"/>
              <w:bottom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 years</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center"/>
              <w:ind w:right="58"/>
              <w:spacing w:after="0" w:line="137"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40" w:type="dxa"/>
            <w:vAlign w:val="bottom"/>
            <w:tcBorders>
              <w:top w:val="single" w:sz="8" w:color="auto"/>
              <w:bottom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Options outstanding as of December 25,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3,578</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Options outstanding as of December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2,270</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Options outstanding as of December 30,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135</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Options outstanding as of December 28,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Options exercisable as of December 28,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firstLine="320"/>
        <w:spacing w:after="0" w:line="270" w:lineRule="auto"/>
        <w:tabs>
          <w:tab w:leader="none" w:pos="62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intrinsic value is calculated as the difference between the exercise price of the underlying awards and the closing stock price of Intel’s common stock. On December 28, 2024, December 30, 2023, and December 31, 2022, the Intel share prices were $20.30, $50.25, and $26.43, respectively. This represents the potential pre-tax amount receivable by the option holders had all option holders exercised their options as of such date.</w:t>
      </w:r>
    </w:p>
    <w:p>
      <w:pPr>
        <w:spacing w:after="0" w:line="16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options expected to vest as of December 28, 2024 were 3 thousand options with an average weighted exercise price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$21.6.</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RSUs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RSU activity for the years ended December 28, 2024, December 30, 2023, and December 31, 2022 for RSUs granted to Company’s employees for Intel’s common stock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date fair value per share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center"/>
              <w:ind w:right="56"/>
              <w:spacing w:after="0" w:line="137"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as of December 25,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as of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5,692</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Outstanding as of December 30, 2023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2,711</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as of December 28,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359</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Unrecognized expenses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As of December 28, 2024, the unrecognized compensation cost related to stock options and RSUs granted under the Intel 2006 Plan was $7 million, which will be recognized over a weighted average period of 0.47 years.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expense summary (for both Mobileye and Intel Plans)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Expenses recognized</w:t>
      </w:r>
    </w:p>
    <w:p>
      <w:pPr>
        <w:spacing w:after="0" w:line="22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Share-based compensation expenses included in the consolidated statements of operations and comprehensive income (loss) were as follows: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38"/>
              <w:spacing w:after="0" w:line="126"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9"/>
              <w:spacing w:after="0" w:line="126"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38"/>
              <w:spacing w:after="0" w:line="126"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9"/>
        </w:trPr>
        <w:tc>
          <w:tcPr>
            <w:tcW w:w="440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net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share-based compensation</w:t>
            </w:r>
          </w:p>
        </w:tc>
        <w:tc>
          <w:tcPr>
            <w:tcW w:w="2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EARNINGS (LOSS) PER SHARE</w:t>
      </w:r>
    </w:p>
    <w:p>
      <w:pPr>
        <w:spacing w:after="0" w:line="22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Before the Mobileye IPO, Intel held directly or indirectly 100 shares of common stock of Mobileye, with a par value of $0.01 per share, that were issued and outstanding.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had 750,000,000 Class B shares, all held by Intel. Per ASC 260-10-55-12, this share amount is being retroactively utilized for the calculation of basic and diluted earnings (loss) per share (“EPS”) for periods prior to the Mobileye IPO.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connection with the Mobileye IPO, we issued 41,000,000 shares of our Class A common stock to the public at a public offering price of $21.00 per share and an additional 4,761,905 Class A shares at a private placement. The Mobileye IPO closed on October 28, 2022. On November 1, 2022, we closed the sale of an additional 6,150,000 shares pursuant to the exercise of the underwriters’ over-allotment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spacing w:after="0" w:line="172"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June 12, 2023, we completed the Secondary Offering, pursuant to which 38,500,000 shares of Class B common stock held by Intel were converted into an equal number of shares of Class A common stock. Accordingly, as of December 28, 2024, we have 711,500,000 Class B shares, all held by Intel, and 100,226,477 Class A shares, both of which are utilized for the calculation of basic and diluted EPS. The outstanding Class A shares also include shares issued upon vesting of outstanding RSUs, see note 6.</w:t>
      </w:r>
    </w:p>
    <w:p>
      <w:pPr>
        <w:spacing w:after="0" w:line="168"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For the years ended December 28, 2024, December 30, 2023 and December 31, 2022, the computation of diluted earnings (loss) per share attributable to common stockholders does not include 18.1 million, 5.9 million and 0.8 million potential common shares, respectively, related to restricted stock units granted under the 2022 Plan to the Company’s employees, as the effect of their inclusion would have been anti-dilutive.</w:t>
      </w:r>
    </w:p>
    <w:p>
      <w:pPr>
        <w:spacing w:after="0" w:line="3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calculation of basic and diluted earnings (loss) per share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41"/>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right="42"/>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jc w:val="right"/>
              <w:ind w:right="21"/>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514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5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Weighted average common shares - basic and diluted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(loss) per share: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 and diluted</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INCOME TAXES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Income (Loss) before income taxes included in the consolidated statements of operations and comprehensive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41"/>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jc w:val="right"/>
              <w:ind w:right="21"/>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468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before taxes:</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Non-U.S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income (loss) before income taxes</w:t>
            </w:r>
          </w:p>
        </w:tc>
        <w:tc>
          <w:tcPr>
            <w:tcW w:w="17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(3,163)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Benefit (provision) for income taxes included in the consolidated statements of operations and comprehensive income (loss)</w:t>
      </w:r>
    </w:p>
    <w:p>
      <w:pPr>
        <w:spacing w:after="0" w:line="19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Benefit (provision) for income taxes for the years ended December 28, 2024, December 30, 2023, and December 31, 2022 was comprised of the following: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4915" cy="16510"/>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right"/>
              <w:ind w:right="117"/>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59"/>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ind w:right="117"/>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474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income taxes:</w:t>
            </w:r>
          </w:p>
        </w:tc>
        <w:tc>
          <w:tcPr>
            <w:tcW w:w="1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Non-U.S</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current provision for income taxes</w:t>
            </w:r>
          </w:p>
        </w:tc>
        <w:tc>
          <w:tcPr>
            <w:tcW w:w="1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Non-U.S.</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deferred benefit (provision) for income taxes</w:t>
            </w: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benefit (provision) for income taxes</w:t>
            </w: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Effective income tax rate reconciliation</w:t>
      </w:r>
    </w:p>
    <w:p>
      <w:pPr>
        <w:spacing w:after="0" w:line="18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difference between the tax provision at the statutory federal income tax rate and the benefit (provision) for income taxes as a percentage of loss before income taxes (effective tax rate) for each year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340" w:type="dxa"/>
            <w:vAlign w:val="bottom"/>
            <w:gridSpan w:val="2"/>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32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140" w:type="dxa"/>
            <w:vAlign w:val="bottom"/>
          </w:tcPr>
          <w:p>
            <w:pPr>
              <w:jc w:val="right"/>
              <w:ind w:right="76"/>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246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 (reduction) in rate resulting from:</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rate differential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Technology incentives – current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(568.7)</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Technology incentives – deferred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branch taxation of foreign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uncertain tax position,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 related adjustments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Non-deductible expenses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Withholding taxes, net of credit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Effective tax rate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268.6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firstLine="5"/>
        <w:spacing w:after="0" w:line="296" w:lineRule="auto"/>
        <w:tabs>
          <w:tab w:leader="none" w:pos="18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tax impacts of the goodwill impairment is reflected in the U.S. branch taxation of foreign operations line item while the goodwill impairment line item reflects the Israeli tax impact.</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In the fiscal years ended 2024, 2023 and 2022, certain Israeli operations are taxable in the U.S. as branch activities due to restructuring activities prior to Mobileye IPO. As a result, these operations are taxed both in the U.S. and locally in Israel. For U.S. tax purposes, due to cumulative losses, deferred tax assets have not been benefited which results in a residual tax provision associated with a deferred tax liability recorded for goodwill. Such deferred tax liability was reduced in 2024 due to goodwill impairment recorded for the Mobileye reporting unit, resulting in a tax benefit recorded in 2024.</w:t>
      </w:r>
    </w:p>
    <w:p>
      <w:pPr>
        <w:spacing w:after="0" w:line="1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decrease in the effective tax rate for the year ended December 28, 2024, as compared to the year ended December 30, 2023, is mainly due to the deferred tax effects of goodwill impairment to the Mobileye reporting unit, as well as loss before income taxes compared to profit before income taxes in prior year, and an increase in unbenefited U.S. deferred tax assets subject to a valuation allowance.</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 Israel, the Company benefits from a reduced tax rate under the Special Preferred Technological Enterprise status under the Law for the Encouragement of Capital Investments, 1959, or the Investment Law.</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 10 billion.</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Deferred income taxes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increase in unbenefited U.S. deferred tax assets subject to a valuation allowance.</w:t>
      </w:r>
    </w:p>
    <w:p>
      <w:pPr>
        <w:spacing w:after="0" w:line="14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Due to the fact that certain Israeli operations were taxable in the U.S. as branch activities, the Company recognized in the years ended December 28, 2024 and December 30, 2023 the tax effects of temporary differences between the carrying amount of assets and liabilities for financial reporting purposes and the amounts used for U.S. income tax purposes which resulted in a net deferred tax liability after evaluation of deferred tax assets for realizability.</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Significant components of the Company’s deferred tax assets and deferred tax liabilities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7"/>
              </w:rPr>
              <w:t>December 30,</w:t>
            </w:r>
          </w:p>
        </w:tc>
        <w:tc>
          <w:tcPr>
            <w:tcW w:w="0" w:type="dxa"/>
            <w:vAlign w:val="bottom"/>
          </w:tcPr>
          <w:p>
            <w:pPr>
              <w:spacing w:after="0"/>
              <w:rPr>
                <w:sz w:val="1"/>
                <w:szCs w:val="1"/>
                <w:color w:val="auto"/>
              </w:rPr>
            </w:pPr>
          </w:p>
        </w:tc>
      </w:tr>
      <w:tr>
        <w:trPr>
          <w:trHeight w:val="169"/>
        </w:trPr>
        <w:tc>
          <w:tcPr>
            <w:tcW w:w="56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8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Provisions for employee benefits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losses carryforward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tax credit and deferrals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deferred tax assets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deferred tax liabilities</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deferred tax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auto"/>
              </w:rPr>
              <w:t>Changes in valuation allowance for deferred tax assets were as follows: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53"/>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right"/>
              <w:ind w:right="116"/>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56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 at beginning of year</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533</w:t>
            </w:r>
          </w:p>
        </w:tc>
        <w:tc>
          <w:tcPr>
            <w:tcW w:w="60" w:type="dxa"/>
            <w:vAlign w:val="bottom"/>
            <w:tcBorders>
              <w:top w:val="single" w:sz="8" w:color="auto"/>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Valuation allowance at end of year</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579</w:t>
            </w:r>
          </w:p>
        </w:tc>
        <w:tc>
          <w:tcPr>
            <w:tcW w:w="60" w:type="dxa"/>
            <w:vAlign w:val="bottom"/>
            <w:tcBorders>
              <w:bottom w:val="single" w:sz="8" w:color="auto"/>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433"/>
              <w:spacing w:after="0"/>
              <w:rPr>
                <w:sz w:val="20"/>
                <w:szCs w:val="20"/>
                <w:color w:val="auto"/>
              </w:rPr>
            </w:pPr>
            <w:r>
              <w:rPr>
                <w:rFonts w:ascii="Times New Roman" w:cs="Times New Roman" w:eastAsia="Times New Roman" w:hAnsi="Times New Roman"/>
                <w:sz w:val="17"/>
                <w:szCs w:val="17"/>
                <w:color w:val="auto"/>
              </w:rPr>
              <w:t>123</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5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5"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For purposes of these financial statements, the income tax expense and deferred tax balances have been prepared as if the Company filed income tax returns on the separate return method. As of December 28, 2024, the Company has U.S. net operating loss carryforwards of $144 million, subject to separate return limitation year rules, which were generated before the Company joined its Parent’s consolidated income tax return on July 17, 2021. The Company also has $316 million of separate return method net operating loss carryforwards that were generated after joining its Parent’s consolidated income tax filing group which have been utilized by its Parent. These net operating losses generated by the Company that have been utilized as part of the Parent consolidated income tax return filings but have not been utilized by the Company under the separate return method approach, have been reflected in these consolidated financial statements because the Company will recognize a benefit for the separate return method net operating losses when determined to be realizable.</w:t>
      </w:r>
    </w:p>
    <w:p>
      <w:pPr>
        <w:spacing w:after="0" w:line="17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Company has a non-U.S. net operating loss carryforward of $213 million as of December 28, 2024. This net operating loss carryforward amount relates primarily to operations in Israel and has an indefinite carry-forward period.</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consolidated balance sheets dates presented.</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Uncertain tax positions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related to uncertain tax positions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9"/>
                <w:szCs w:val="9"/>
                <w:color w:val="auto"/>
              </w:rPr>
            </w:pPr>
          </w:p>
        </w:tc>
        <w:tc>
          <w:tcPr>
            <w:tcW w:w="122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40" w:type="dxa"/>
            <w:vAlign w:val="bottom"/>
          </w:tcPr>
          <w:p>
            <w:pPr>
              <w:spacing w:after="0"/>
              <w:rPr>
                <w:sz w:val="9"/>
                <w:szCs w:val="9"/>
                <w:color w:val="auto"/>
              </w:rPr>
            </w:pPr>
          </w:p>
        </w:tc>
        <w:tc>
          <w:tcPr>
            <w:tcW w:w="1220" w:type="dxa"/>
            <w:vAlign w:val="bottom"/>
            <w:gridSpan w:val="2"/>
          </w:tcPr>
          <w:p>
            <w:pPr>
              <w:jc w:val="center"/>
              <w:ind w:right="3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40" w:type="dxa"/>
            <w:vAlign w:val="bottom"/>
          </w:tcPr>
          <w:p>
            <w:pPr>
              <w:spacing w:after="0"/>
              <w:rPr>
                <w:sz w:val="9"/>
                <w:szCs w:val="9"/>
                <w:color w:val="auto"/>
              </w:rPr>
            </w:pPr>
          </w:p>
        </w:tc>
        <w:tc>
          <w:tcPr>
            <w:tcW w:w="1040" w:type="dxa"/>
            <w:vAlign w:val="bottom"/>
          </w:tcPr>
          <w:p>
            <w:pPr>
              <w:jc w:val="right"/>
              <w:ind w:right="99"/>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0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the beginning of the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Changes in balances related to tax positions taken during current period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Settlements with taxing authorities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Lapse of statute of limitations</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the end of the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If the remaining balance of unrecognized tax benefits were recognized in a future period, it would result in a tax benefit of $13 million as of December 28, 2024. The balance of uncertain tax positions, which also includes accrued penalties and interest, is included in other long-term liabilities on the consolidated balance sheets. There are no material changes anticipated in the uncertain tax positions in the next twelve months.</w:t>
      </w:r>
    </w:p>
    <w:p>
      <w:pPr>
        <w:spacing w:after="0" w:line="37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Company files income tax returns in the U.S., Israel, and in other certain foreign jurisdictions. The Company is no longer subject to U.S. and Israeli tax examinations for years prior to 2021 and 2020,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RELATED PARTY TRANSACTIONS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entered into a series of related party arrangements with Intel. The arrangements were as follows:</w:t>
      </w:r>
    </w:p>
    <w:p>
      <w:pPr>
        <w:spacing w:after="0" w:line="222" w:lineRule="exact"/>
        <w:rPr>
          <w:sz w:val="20"/>
          <w:szCs w:val="20"/>
          <w:color w:val="auto"/>
        </w:rPr>
      </w:pPr>
    </w:p>
    <w:p>
      <w:pPr>
        <w:ind w:left="640" w:hanging="320"/>
        <w:spacing w:after="0"/>
        <w:tabs>
          <w:tab w:leader="none" w:pos="64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 Compensation Recharge Agreement</w:t>
      </w:r>
    </w:p>
    <w:p>
      <w:pPr>
        <w:spacing w:after="0" w:line="22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(and to parent net investment prior to the Mobileye IPO) in the consolidated statement of changes in equity were $0 million, $100 million and $118 million for the years ended December 28, 2024, December 30, 2023 and December 31, 2022, respectively. As for the inclusion of the Company’s employees in Intel’s equity incentive plan, see Note 6.</w:t>
      </w:r>
    </w:p>
    <w:p>
      <w:pPr>
        <w:spacing w:after="0" w:line="170" w:lineRule="exact"/>
        <w:rPr>
          <w:sz w:val="20"/>
          <w:szCs w:val="20"/>
          <w:color w:val="auto"/>
        </w:rPr>
      </w:pPr>
    </w:p>
    <w:p>
      <w:pPr>
        <w:ind w:left="640" w:hanging="320"/>
        <w:spacing w:after="0"/>
        <w:tabs>
          <w:tab w:leader="none" w:pos="64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Hedging services</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 xml:space="preserve">Intel centrally hedges its exposure to changes in foreign exchange rates. At the beginning of 2021, the Company entered into a hedging services agreement with Intel, pursuant to which the Company was entitled to a certain allocation of the gains and obligated to a certain allocation of the losses arising from the execution of the hedging contracts. In October 2022, we de-designated our outstanding hedge instruments and ceased participation in the hedging services agreement with Intel. As of October 25, 2022, the Company is no longer a party to this agreement. For further information, see Note 2, </w:t>
      </w:r>
      <w:r>
        <w:rPr>
          <w:rFonts w:ascii="Times New Roman" w:cs="Times New Roman" w:eastAsia="Times New Roman" w:hAnsi="Times New Roman"/>
          <w:sz w:val="17"/>
          <w:szCs w:val="17"/>
          <w:i w:val="1"/>
          <w:iCs w:val="1"/>
          <w:color w:val="auto"/>
        </w:rPr>
        <w:t>Significant Accounting Policies</w:t>
      </w:r>
      <w:r>
        <w:rPr>
          <w:rFonts w:ascii="Times New Roman" w:cs="Times New Roman" w:eastAsia="Times New Roman" w:hAnsi="Times New Roman"/>
          <w:sz w:val="17"/>
          <w:szCs w:val="17"/>
          <w:color w:val="auto"/>
        </w:rPr>
        <w:t xml:space="preserve"> related to Derivatives and hedging.</w:t>
      </w:r>
    </w:p>
    <w:p>
      <w:pPr>
        <w:spacing w:after="0" w:line="168" w:lineRule="exact"/>
        <w:rPr>
          <w:sz w:val="20"/>
          <w:szCs w:val="20"/>
          <w:color w:val="auto"/>
        </w:rPr>
      </w:pPr>
    </w:p>
    <w:p>
      <w:pPr>
        <w:ind w:left="640" w:hanging="320"/>
        <w:spacing w:after="0"/>
        <w:tabs>
          <w:tab w:leader="none" w:pos="64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agreements</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Under lease agreements with Intel, the Company leases office space in Intel’s buildings. The costs are included in the consolidated statements of operations and comprehensive income (loss) primarily on a specific and direct attribution basis, as described in Note 2. The leasing costs for the years ended December 28, 2024, December 30, 2023 and December 31, 2022 were $3 million, $4 million and $3 million, respectively.</w:t>
      </w:r>
    </w:p>
    <w:p>
      <w:pPr>
        <w:spacing w:after="0" w:line="166" w:lineRule="exact"/>
        <w:rPr>
          <w:sz w:val="20"/>
          <w:szCs w:val="20"/>
          <w:color w:val="auto"/>
        </w:rPr>
      </w:pPr>
    </w:p>
    <w:p>
      <w:pPr>
        <w:ind w:left="640" w:hanging="320"/>
        <w:spacing w:after="0"/>
        <w:tabs>
          <w:tab w:leader="none" w:pos="64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services to a related party</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Company reimbursed its Chief Executive Officer for reasonable travel related expenses incurred while conducting business on behalf of the Company as well as paid for certain security related costs. For the years ended December 28, 2024, December 30, 2023, and December 31, 2022, travel related reimbursements and security related costs were $2.0 million, $1.8 million and $1.1 million, respectively.</w:t>
      </w:r>
    </w:p>
    <w:p>
      <w:pPr>
        <w:spacing w:after="0" w:line="162" w:lineRule="exact"/>
        <w:rPr>
          <w:sz w:val="20"/>
          <w:szCs w:val="20"/>
          <w:color w:val="auto"/>
        </w:rPr>
      </w:pPr>
    </w:p>
    <w:p>
      <w:pPr>
        <w:ind w:left="640" w:hanging="320"/>
        <w:spacing w:after="0"/>
        <w:tabs>
          <w:tab w:leader="none" w:pos="64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Reorganization and the Mobileye IPO</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 connection with the Mobileye IPO, which was completed in October 2022, we have consummated the following transactions and agreements.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Equity transaction in connection with the legal purchase of Moovit entities</w:t>
      </w:r>
    </w:p>
    <w:p>
      <w:pPr>
        <w:spacing w:after="0" w:line="24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On May 31, 2022, we entered into an agreement with Intel pursuant to which we legally purchased from Intel 100% of the issued and outstanding equity interests of the Moovit entities for an aggregate amount of $900 million that was paid in December 2022 to Intel using cash that we concurrently received from Intel’s payment of such amount it owed us under the Bilateral Loan Arrangements. Moovit’s operations were already reflected as part of the Mobileye Group as further detailed in Note 1 and, therefore the transaction was treated within equity.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Dividend Note</w:t>
      </w:r>
    </w:p>
    <w:p>
      <w:pPr>
        <w:spacing w:after="0" w:line="241"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On April 21, 2022, Intel and Mobileye Group signed a loan agreement whereby Mobileye Group issued a promissory note to Intel in an aggregate principal amount of $3.5 billion (the “Dividend Note”). The Dividend Note was scheduled to mature on April 21, 2025 and accrued interest at a rate equal to 1.26% per annum, such interest to accrue quarterly. Prior to June 30, 2024, such interest would be paid by being automatically added to the outstanding principal amount of the loan and would thereafter be payable quarterly in cash in arrears and shall also be payable upon any prepayment, whether in whole or in part, to the extent accrued on the amount being prepaid and upon maturity. Under the Dividend Note, Mobileye Group had the right, at its option, on any business day, to prepay the loan, including principal and any accrued interest thereon, in whole or in part without premium or penalty. In November 2022, the Company used approximately $0.9 billion out of the net proceeds from the Mobileye IPO to repay a portion of the indebtedness under the Dividend Note and Intel has contributed to the Company the remaining portion of the Dividend Note (plus related accrued interest) in the amount of $2.6 billion such that no amounts under the Dividend Note remain owed by us to Intel as of December 31, 2022. Interest expense recognized by the Company totaled $24 million for the year ended December 31, 2022.</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Contribution and Subscription Agreement</w:t>
      </w:r>
    </w:p>
    <w:p>
      <w:pPr>
        <w:spacing w:after="0" w:line="24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In connection with the Mobileye IPO, we entered into the Contribution and Subscription Agreement with Intel, pursuant to which Intel transferred to Mobileye Global Inc., collectively as a contribution on existing capital in exchange for 749,999,900 shares of our Class B common stock: (i) 100% of the equity interests of Cyclops Holdings Corporation, such that Cyclops Holdings Corporation became a direct, wholly owned subsidiary of Mobileye Global Inc.; and (ii) the Dividend Note with respect to any principal and accrued interest thereon in excess of the principal amount that we repaid out of the net proceeds that we received from the Mobileye IPO and the Concurrent Private Placement. After the completion of the Mobileye IPO and the Concurrent Private Placement, no amounts under the Dividend Note remain owed by us to Intel. The actual amount of the Dividend Note which was repaid was based upon the amount of net proceeds from the Mobileye IPO that were available after we retained the required $1.0 billion of cash, cash equivalents, or marketable securities that Intel agreed to ensure that we had immediately after completion of the IPO under the Master Transaction Agreement.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Intercompany Agreements</w:t>
      </w:r>
    </w:p>
    <w:p>
      <w:pPr>
        <w:spacing w:after="0" w:line="24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In connection with the Mobileye IPO, the Company entered into certain intercompany agreements (collectively, the “Intercompany Agreements”), including a Master Transaction Agreement, an Administrative Services Agreement, an Employee Matters Agreement, a Technology and Services Agreement, a LiDAR Product Collaboration Agreement, and a Tax Sharing Agreement, in each case with Intel and certain of its subsidiaries, to outline a framework for the Company’s ongoing relationship with Intel, whereby, among other matters, Intel will continue to provide certain administrative and operational services, including the supply and license of certain technologies, whereby the Company will supply Intel with certain technologies, and whereby Intel’s and the Company’s respective rights, responsibilities and obligations with respect to all tax matters will be governed (including tax liabilities, tax attributes, tax returns and tax audits). The Intercompany Agreements became effective as of the completion of the Mobileye IPO. See below for further detail.</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Administrative Services Agreement</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4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initial term of the Administrative Services Agreement expires two years from the completion of the Mobileye IPO and extends automatically for successive three-month terms unless one of the parties elects not to renew.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7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costs incurred under this agreement for the years ended December 28, 2024, December 30, 2023 and December 31, 2022 were $3 million, $4 million and $3 million,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Technology and Services Agreement</w:t>
      </w:r>
    </w:p>
    <w:p>
      <w:pPr>
        <w:spacing w:after="0" w:line="22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which the LiDAR Product Collaboration Agreement previously covered. Pursuant to the Technology and Services Agreement, the Company and Intel will agree to statements of work with additional terms for Technology Projects.</w:t>
      </w:r>
    </w:p>
    <w:p>
      <w:pPr>
        <w:spacing w:after="0" w:line="17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Technology and Services Agreement has a term of two years, and automatically renews for one-year renewal periods, unless the agreement is terminated for a party’s material breach, a party’s bankruptcy or insolvency, or advance notice of non-renewal is given. The amount incurred under this agreement for the years ended December 28, 2024, December 30, 2023 and December 31, 2022 were $4 million, $5 million and $0.4, respectively.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LiDAR Product Collaboration Agreement</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LiDAR Product Collaboration Agreement provided the terms that applied to the Company’s collaboration with Intel for the development and manufacture of a Lidar sensor system for ADAS and AV in automobiles (“LiDAR Project”). On some of the LiDAR programs, joint funding would have applied between Intel and Mobileye until the end of 2027 whereby Mobileye would have borne its own Lidar sensor system development costs up to the first $40 million per year and Intel would have borne up to $20 million per year of Mobileye’s Lidar sensor system development costs that were greater than $40 million per year.</w:t>
      </w:r>
    </w:p>
    <w:p>
      <w:pPr>
        <w:spacing w:after="0" w:line="1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LiDAR Product Collaboration Agreement further provided that Intel would manufacture certain components for the Company to market and sell as part of a FMCW (frequency-modulated continuous wave) Lidar sensor system solely for external environment sensing for ADAS and AV in automobiles.</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price for the components Intel would have manufactured for the Company would have been based on a cost-plus model. In addition, the agreement included a profit-sharing model under which Mobileye would pay Intel a share of the gross profit for each Lidar sensor system or components thereof, based on Intel technology, sold by Mobileye.</w:t>
      </w:r>
    </w:p>
    <w:p>
      <w:pPr>
        <w:spacing w:after="0" w:line="16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September 9, 2024, Mobileye announced the cessation of further internal development of FMCW lidar and the wind down of the Lidar R&amp;D Unit. In connection with Mobileye’s decision, Mobileye and Intel terminated the LiDAR Product Collaboration Agreement as of October 2, 2024.</w:t>
      </w:r>
    </w:p>
    <w:p>
      <w:pPr>
        <w:spacing w:after="0" w:line="16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There were no amounts received or receivable from Intel under this agreement for the years ended December 28, 2024 and December 30, 2023.</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Tax Sharing Agreement</w:t>
      </w:r>
    </w:p>
    <w:p>
      <w:pPr>
        <w:spacing w:after="0" w:line="226"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 On August 14, 2024, Mobileye and Intel entered into an Amended and Restated Tax Sharing Agreement, which incorporated certain clarifying amendments into the original Tax Sharing Agreement. As of December 28, 2024 and December 30, 2023, the related party payable to Intel, pursuant to the Tax Sharing Agreement, was $3 million and $37 million, respectively. The decrease was due to finalizing 2023 amounts upon filing of the US consolidated tax return with Intel.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640" w:hanging="320"/>
        <w:spacing w:after="0"/>
        <w:tabs>
          <w:tab w:leader="none" w:pos="64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 sublicense</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 June 2024, Intel and its affiliates, including Mobileye, were granted a sublicense to certain patents relating to network-on-chip and other technologies (the “Sublicense”). In connection with Mobileye’s use of the Sublicense, Intel and Mobileye agreed that Mobileye would pay to Intel $0.3 million as Mobileye’s allocation of the consideration paid by Intel for the Sublicense.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GOODWILL</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carrying amount of goodwill by segment as of December 28, 2024 and December 30,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Pr>
          <w:p>
            <w:pPr>
              <w:spacing w:after="0"/>
              <w:rPr>
                <w:sz w:val="14"/>
                <w:szCs w:val="14"/>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30, 2023</w:t>
            </w: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10,784</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10,895</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Impairment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(2,695)</w:t>
            </w: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28, 2024</w:t>
            </w: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8,089</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8,200</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During the third quarter of 2024, the Company performed an interim quantitative goodwill impairment analysis for the “Mobileye” reporting unit, due to a recent decline (from August) in the price of the Company’s Class A common stock, and corresponding market capitalization, as well as macroeconomic and industry factors. The quantitative assessment was performed by measuring the reporting unit’s fair value (which substantially constitutes the entire value of the Company) using the income approach, based on the expected present value of estimated future cash flows.</w:t>
      </w:r>
    </w:p>
    <w:p>
      <w:pPr>
        <w:spacing w:after="0" w:line="1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fair value measurement is categorized as Level 3 within the fair value hierarchy due to the use of unobservable inputs such as financial projections, terminal growth rate, and discount rate. The results of the impairment analysis indicated that the carrying value of the Mobileye reporting unit was in excess of its fair value. Therefore, the Company has recorded a non-cash impairment loss of $2,695 million ($2,613 million, net of tax), under “goodwill impairment” in the Consolidated Statements of Operations.</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During the fourth quarter of 2024, we completed our annual impairment assessment. Based on the assessment, the fair value of the “Mobileye” reporting unit exceeds its book value. We also performed a detailed quantitative analysis for the “Other” reporting unit which showed that no impairment was required. Fair value was estimated using the expected present value of future cash flows and is categorized as Level 3 within the fair value hierarchy due to the use of unobservable inputs.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did not record any impairment of goodwill in 2023 and 2022.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IDENTIFIED INTANGIBLE ASSETS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w w:val="98"/>
              </w:rPr>
              <w:t>December 28, 2024</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w w:val="98"/>
              </w:rPr>
              <w:t>December 30, 2023</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2"/>
                <w:szCs w:val="12"/>
                <w:color w:val="auto"/>
              </w:rPr>
            </w:pPr>
          </w:p>
        </w:tc>
        <w:tc>
          <w:tcPr>
            <w:tcW w:w="500" w:type="dxa"/>
            <w:vAlign w:val="bottom"/>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500" w:type="dxa"/>
            <w:vAlign w:val="bottom"/>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00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4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5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$ 1,321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Customer relationships &amp; brands</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4,491</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$ 1,609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4,491</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Amortization expenses recorded for developed technology and customer relationships and brands were recorded in cost of revenue and sales and marketing, respectively, in the consolidated statements of operations and comprehensive income (loss) for each year presented.</w:t>
      </w:r>
    </w:p>
    <w:p>
      <w:pPr>
        <w:spacing w:after="0" w:line="14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presents the amortization expenses recorded for these identified intangible assets and their weighted average useful lives: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13"/>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00" w:type="dxa"/>
            <w:vAlign w:val="bottom"/>
          </w:tcPr>
          <w:p>
            <w:pPr>
              <w:spacing w:after="0"/>
              <w:rPr>
                <w:sz w:val="9"/>
                <w:szCs w:val="9"/>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Pr>
          <w:p>
            <w:pPr>
              <w:spacing w:after="0"/>
              <w:rPr>
                <w:sz w:val="9"/>
                <w:szCs w:val="9"/>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60" w:type="dxa"/>
            <w:vAlign w:val="bottom"/>
          </w:tcPr>
          <w:p>
            <w:pPr>
              <w:spacing w:after="0"/>
              <w:rPr>
                <w:sz w:val="9"/>
                <w:szCs w:val="9"/>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Developed technology</w:t>
            </w:r>
          </w:p>
        </w:tc>
        <w:tc>
          <w:tcPr>
            <w:tcW w:w="1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Customer relationships &amp; brands</w:t>
            </w:r>
          </w:p>
        </w:tc>
        <w:tc>
          <w:tcPr>
            <w:tcW w:w="1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340" w:type="dxa"/>
            <w:vAlign w:val="bottom"/>
            <w:tcBorders>
              <w:bottom w:val="single" w:sz="8" w:color="CCEEFF"/>
            </w:tcBorders>
            <w:gridSpan w:val="2"/>
          </w:tcPr>
          <w:p>
            <w:pPr>
              <w:jc w:val="center"/>
              <w:ind w:left="73"/>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 amortization expenses</w:t>
            </w:r>
          </w:p>
        </w:tc>
        <w:tc>
          <w:tcPr>
            <w:tcW w:w="1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expects future amortization expenses for the next five years and thereafter to be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90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140" w:type="dxa"/>
            <w:vAlign w:val="bottom"/>
          </w:tcPr>
          <w:p>
            <w:pPr>
              <w:spacing w:after="0"/>
              <w:rPr>
                <w:sz w:val="14"/>
                <w:szCs w:val="14"/>
                <w:color w:val="auto"/>
              </w:rPr>
            </w:pP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20" w:type="dxa"/>
            <w:vAlign w:val="bottom"/>
          </w:tcPr>
          <w:p>
            <w:pPr>
              <w:spacing w:after="0"/>
              <w:rPr>
                <w:sz w:val="17"/>
                <w:szCs w:val="17"/>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Future amortization expenses</w:t>
            </w: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$ 1,609</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SEGMENT INFORMATION</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Segment performance is the operating income (loss) reported excluding the amortization of acquisition-related intangible assets and impairment of goodwill. The CODM uses segment performance to allocate resources (including employees and financial resources) to segments in the annual budget and forecasting process and also uses that measure to assess the segment performance. The measure of assets has not been disclosed for each segment as it is not regularly provided to the CODM.</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The accounting policies of the individual segments are the same as those described in the </w:t>
      </w:r>
      <w:r>
        <w:rPr>
          <w:rFonts w:ascii="Times New Roman" w:cs="Times New Roman" w:eastAsia="Times New Roman" w:hAnsi="Times New Roman"/>
          <w:sz w:val="17"/>
          <w:szCs w:val="17"/>
          <w:i w:val="1"/>
          <w:iCs w:val="1"/>
          <w:color w:val="auto"/>
        </w:rPr>
        <w:t>Significant Accounting Policies</w:t>
      </w:r>
      <w:r>
        <w:rPr>
          <w:rFonts w:ascii="Times New Roman" w:cs="Times New Roman" w:eastAsia="Times New Roman" w:hAnsi="Times New Roman"/>
          <w:sz w:val="17"/>
          <w:szCs w:val="17"/>
          <w:color w:val="auto"/>
        </w:rPr>
        <w:t xml:space="preserve"> in Note 2.</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segment results for each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8"/>
              </w:rPr>
              <w:t>Year ended December 28, 2024</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76"/>
              <w:spacing w:after="0" w:line="144" w:lineRule="exact"/>
              <w:rPr>
                <w:sz w:val="20"/>
                <w:szCs w:val="20"/>
                <w:color w:val="auto"/>
              </w:rPr>
            </w:pPr>
            <w:r>
              <w:rPr>
                <w:rFonts w:ascii="Times New Roman" w:cs="Times New Roman" w:eastAsia="Times New Roman" w:hAnsi="Times New Roman"/>
                <w:sz w:val="14"/>
                <w:szCs w:val="14"/>
                <w:b w:val="1"/>
                <w:bCs w:val="1"/>
                <w:color w:val="auto"/>
                <w:w w:val="98"/>
              </w:rPr>
              <w:t>allocated to</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segments profit</w:t>
            </w:r>
          </w:p>
        </w:tc>
        <w:tc>
          <w:tcPr>
            <w:tcW w:w="18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or loss</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net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performance</w:t>
            </w:r>
          </w:p>
        </w:tc>
        <w:tc>
          <w:tcPr>
            <w:tcW w:w="1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(3,139)</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(3,225)</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Other financial income (expense), net</w:t>
            </w: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20" w:type="dxa"/>
            <w:vAlign w:val="bottom"/>
            <w:gridSpan w:val="2"/>
            <w:vMerge w:val="continue"/>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(loss) before taxes on income</w:t>
            </w: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(3,163)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Depreciation of property and equipment</w:t>
            </w:r>
          </w:p>
        </w:tc>
        <w:tc>
          <w:tcPr>
            <w:tcW w:w="19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00" w:type="dxa"/>
            <w:vAlign w:val="bottom"/>
            <w:vMerge w:val="restart"/>
          </w:tcPr>
          <w:p>
            <w:pPr>
              <w:jc w:val="right"/>
              <w:ind w:right="533"/>
              <w:spacing w:after="0"/>
              <w:rPr>
                <w:sz w:val="20"/>
                <w:szCs w:val="20"/>
                <w:color w:val="auto"/>
              </w:rPr>
            </w:pPr>
            <w:r>
              <w:rPr>
                <w:rFonts w:ascii="Times New Roman" w:cs="Times New Roman" w:eastAsia="Times New Roman" w:hAnsi="Times New Roman"/>
                <w:sz w:val="17"/>
                <w:szCs w:val="17"/>
                <w:color w:val="auto"/>
              </w:rPr>
              <w:t>129</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5"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30, 2023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allocated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80" w:type="dxa"/>
            <w:vAlign w:val="bottom"/>
          </w:tcPr>
          <w:p>
            <w:pPr>
              <w:spacing w:after="0"/>
              <w:rPr>
                <w:sz w:val="12"/>
                <w:szCs w:val="12"/>
                <w:color w:val="auto"/>
              </w:rPr>
            </w:pPr>
          </w:p>
        </w:tc>
        <w:tc>
          <w:tcPr>
            <w:tcW w:w="9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3"/>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segments profit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410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or loss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net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1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performance</w:t>
            </w: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477</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(36)</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(474)</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Interest income (expense) with related party, net</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financial income (expense), net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43"/>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 (loss) before taxes on income</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Share-based compensation</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780" w:type="dxa"/>
            <w:vAlign w:val="bottom"/>
            <w:tcBorders>
              <w:top w:val="single" w:sz="8" w:color="CCEEFF"/>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233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auto"/>
            </w:tcBorders>
            <w:shd w:val="clear" w:color="auto" w:fill="CCEEFF"/>
          </w:tcPr>
          <w:p>
            <w:pPr>
              <w:spacing w:after="0"/>
              <w:rPr>
                <w:sz w:val="16"/>
                <w:szCs w:val="16"/>
                <w:color w:val="auto"/>
              </w:rPr>
            </w:pPr>
          </w:p>
        </w:tc>
        <w:tc>
          <w:tcPr>
            <w:tcW w:w="300" w:type="dxa"/>
            <w:vAlign w:val="bottom"/>
            <w:tcBorders>
              <w:top w:val="single" w:sz="8" w:color="CCEEFF"/>
              <w:bottom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840" w:type="dxa"/>
            <w:vAlign w:val="bottom"/>
            <w:tcBorders>
              <w:top w:val="single" w:sz="8" w:color="CCEEFF"/>
              <w:bottom w:val="single" w:sz="8" w:color="auto"/>
            </w:tcBorders>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252</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allocated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80" w:type="dxa"/>
            <w:vAlign w:val="bottom"/>
          </w:tcPr>
          <w:p>
            <w:pPr>
              <w:spacing w:after="0"/>
              <w:rPr>
                <w:sz w:val="12"/>
                <w:szCs w:val="12"/>
                <w:color w:val="auto"/>
              </w:rPr>
            </w:pPr>
          </w:p>
        </w:tc>
        <w:tc>
          <w:tcPr>
            <w:tcW w:w="9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3"/>
          </w:tcPr>
          <w:p>
            <w:pPr>
              <w:jc w:val="center"/>
              <w:ind w:right="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segments profit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69"/>
        </w:trPr>
        <w:tc>
          <w:tcPr>
            <w:tcW w:w="410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or loss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net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Goodwill impairment</w:t>
            </w:r>
          </w:p>
        </w:tc>
        <w:tc>
          <w:tcPr>
            <w:tcW w:w="1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Segment performance</w:t>
            </w: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555</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(44)</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(548)</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Interest income (expense) with related party, net</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financial income (expense), net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3"/>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 (loss) before taxes on income</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Borders>
              <w:top w:val="single" w:sz="8" w:color="CCEEFF"/>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Share-based compensation</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spacing w:after="0"/>
              <w:rPr>
                <w:sz w:val="16"/>
                <w:szCs w:val="16"/>
                <w:color w:val="auto"/>
              </w:rPr>
            </w:pPr>
          </w:p>
        </w:tc>
        <w:tc>
          <w:tcPr>
            <w:tcW w:w="780" w:type="dxa"/>
            <w:vAlign w:val="bottom"/>
            <w:tcBorders>
              <w:top w:val="single" w:sz="8" w:color="CCEEFF"/>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158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auto"/>
            </w:tcBorders>
            <w:shd w:val="clear" w:color="auto" w:fill="CCEEFF"/>
          </w:tcPr>
          <w:p>
            <w:pPr>
              <w:spacing w:after="0"/>
              <w:rPr>
                <w:sz w:val="16"/>
                <w:szCs w:val="16"/>
                <w:color w:val="auto"/>
              </w:rPr>
            </w:pPr>
          </w:p>
        </w:tc>
        <w:tc>
          <w:tcPr>
            <w:tcW w:w="300" w:type="dxa"/>
            <w:vAlign w:val="bottom"/>
            <w:tcBorders>
              <w:top w:val="single" w:sz="8" w:color="CCEEFF"/>
              <w:bottom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840" w:type="dxa"/>
            <w:vAlign w:val="bottom"/>
            <w:tcBorders>
              <w:top w:val="single" w:sz="8" w:color="CCEEFF"/>
              <w:bottom w:val="single" w:sz="8" w:color="auto"/>
            </w:tcBorders>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66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Total revenues based on the country that the product was shipped to were as follows: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4"/>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60" w:type="dxa"/>
            <w:vAlign w:val="bottom"/>
          </w:tcPr>
          <w:p>
            <w:pPr>
              <w:spacing w:after="0"/>
              <w:rPr>
                <w:sz w:val="9"/>
                <w:szCs w:val="9"/>
                <w:color w:val="auto"/>
              </w:rPr>
            </w:pPr>
          </w:p>
        </w:tc>
        <w:tc>
          <w:tcPr>
            <w:tcW w:w="1020" w:type="dxa"/>
            <w:vAlign w:val="bottom"/>
            <w:gridSpan w:val="3"/>
          </w:tcPr>
          <w:p>
            <w:pPr>
              <w:jc w:val="right"/>
              <w:ind w:right="13"/>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410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w:t>
            </w: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USA</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South Korea</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Kingdom</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Poland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Hungary</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Czech Republic</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Portugal</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Rest of World</w:t>
            </w:r>
          </w:p>
        </w:tc>
        <w:tc>
          <w:tcPr>
            <w:tcW w:w="1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1,654</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2,079</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20" w:type="dxa"/>
            <w:vAlign w:val="bottom"/>
            <w:vMerge w:val="restart"/>
          </w:tcPr>
          <w:p>
            <w:pPr>
              <w:jc w:val="right"/>
              <w:ind w:right="533"/>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5"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8" w:lineRule="exact"/>
        <w:rPr>
          <w:sz w:val="20"/>
          <w:szCs w:val="20"/>
          <w:color w:val="auto"/>
        </w:rPr>
      </w:pPr>
    </w:p>
    <w:p>
      <w:pPr>
        <w:jc w:val="both"/>
        <w:ind w:firstLine="314"/>
        <w:spacing w:after="0" w:line="197" w:lineRule="auto"/>
        <w:rPr>
          <w:sz w:val="20"/>
          <w:szCs w:val="20"/>
          <w:color w:val="auto"/>
        </w:rPr>
      </w:pPr>
      <w:r>
        <w:rPr>
          <w:rFonts w:ascii="Times New Roman" w:cs="Times New Roman" w:eastAsia="Times New Roman" w:hAnsi="Times New Roman"/>
          <w:sz w:val="17"/>
          <w:szCs w:val="17"/>
          <w:color w:val="auto"/>
        </w:rPr>
        <w:t>We generate the majority of our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SoCs to OEMs primarily through sales to Tier 1 automotive suppliers.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SoC sales represented approximately 86%, 89%, and 89% of our revenue for each of the years ended December 28, 2024, December 30, 2023 and December 31, 2022, respectively.</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Major Customers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Revenue from major customers that amount to 10% or more of total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3"/>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6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16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9"/>
                <w:szCs w:val="9"/>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Percent of total revenues</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A</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38 %</w:t>
            </w:r>
          </w:p>
        </w:tc>
      </w:tr>
      <w:tr>
        <w:trPr>
          <w:trHeight w:val="210"/>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B</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20 %</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24 %</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18 %</w:t>
            </w:r>
          </w:p>
        </w:tc>
      </w:tr>
      <w:tr>
        <w:trPr>
          <w:trHeight w:val="210"/>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C</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15 %</w:t>
            </w:r>
          </w:p>
        </w:tc>
      </w:tr>
      <w:tr>
        <w:trPr>
          <w:trHeight w:val="210"/>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than 10%</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Accounts receivable balances of major customers that amount to 10% or more of total accounts receivable balance: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13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6"/>
        </w:trPr>
        <w:tc>
          <w:tcPr>
            <w:tcW w:w="7420" w:type="dxa"/>
            <w:vAlign w:val="bottom"/>
          </w:tcPr>
          <w:p>
            <w:pPr>
              <w:spacing w:after="0"/>
              <w:rPr>
                <w:sz w:val="10"/>
                <w:szCs w:val="10"/>
                <w:color w:val="auto"/>
              </w:rPr>
            </w:pPr>
          </w:p>
        </w:tc>
        <w:tc>
          <w:tcPr>
            <w:tcW w:w="1380" w:type="dxa"/>
            <w:vAlign w:val="bottom"/>
            <w:gridSpan w:val="3"/>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9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7"/>
              </w:rPr>
              <w:t>December 30,</w:t>
            </w:r>
          </w:p>
        </w:tc>
        <w:tc>
          <w:tcPr>
            <w:tcW w:w="160" w:type="dxa"/>
            <w:vAlign w:val="bottom"/>
          </w:tcPr>
          <w:p>
            <w:pPr>
              <w:spacing w:after="0"/>
              <w:rPr>
                <w:sz w:val="10"/>
                <w:szCs w:val="10"/>
                <w:color w:val="auto"/>
              </w:rPr>
            </w:pPr>
          </w:p>
        </w:tc>
      </w:tr>
      <w:tr>
        <w:trPr>
          <w:trHeight w:val="169"/>
        </w:trPr>
        <w:tc>
          <w:tcPr>
            <w:tcW w:w="74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Percent of total accounts receivables balance</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Customer A</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35 %</w:t>
            </w: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44 %</w:t>
            </w: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B</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23 %</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10 %</w:t>
            </w:r>
          </w:p>
        </w:tc>
      </w:tr>
      <w:tr>
        <w:trPr>
          <w:trHeight w:val="228"/>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Customer C</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INVESTMENTS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Debt Investments</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(expense), net. Money market funds, measured at fair value, consist of institutional investors money market funds and are readily redeemable to cash.</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summarize the Company’s marketable debt securities: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1"/>
                <w:szCs w:val="1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0" w:type="dxa"/>
            <w:vAlign w:val="bottom"/>
          </w:tcPr>
          <w:p>
            <w:pPr>
              <w:spacing w:after="0"/>
              <w:rPr>
                <w:sz w:val="11"/>
                <w:szCs w:val="11"/>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0" w:type="dxa"/>
            <w:vAlign w:val="bottom"/>
          </w:tcPr>
          <w:p>
            <w:pPr>
              <w:spacing w:after="0"/>
              <w:rPr>
                <w:sz w:val="11"/>
                <w:szCs w:val="11"/>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5"/>
          </w:tcPr>
          <w:p>
            <w:pPr>
              <w:jc w:val="right"/>
              <w:ind w:right="424"/>
              <w:spacing w:after="0" w:line="137"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0" w:type="dxa"/>
            <w:vAlign w:val="bottom"/>
          </w:tcPr>
          <w:p>
            <w:pPr>
              <w:spacing w:after="0"/>
              <w:rPr>
                <w:sz w:val="11"/>
                <w:szCs w:val="11"/>
                <w:color w:val="auto"/>
              </w:rPr>
            </w:pPr>
          </w:p>
        </w:tc>
        <w:tc>
          <w:tcPr>
            <w:tcW w:w="12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Other current assets</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U.S. government bonds</w:t>
            </w:r>
          </w:p>
        </w:tc>
        <w:tc>
          <w:tcPr>
            <w:tcW w:w="360" w:type="dxa"/>
            <w:vAlign w:val="bottom"/>
            <w:tcBorders>
              <w:top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0"/>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0" w:type="dxa"/>
            <w:vAlign w:val="bottom"/>
            <w:tcBorders>
              <w:top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984</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951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ind w:right="42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0" w:type="dxa"/>
            <w:vAlign w:val="bottom"/>
          </w:tcPr>
          <w:p>
            <w:pPr>
              <w:spacing w:after="0"/>
              <w:rPr>
                <w:sz w:val="1"/>
                <w:szCs w:val="1"/>
                <w:color w:val="auto"/>
              </w:rPr>
            </w:pPr>
          </w:p>
        </w:tc>
      </w:tr>
      <w:tr>
        <w:trPr>
          <w:trHeight w:val="36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1"/>
                <w:szCs w:val="1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0" w:type="dxa"/>
            <w:vAlign w:val="bottom"/>
          </w:tcPr>
          <w:p>
            <w:pPr>
              <w:spacing w:after="0"/>
              <w:rPr>
                <w:sz w:val="11"/>
                <w:szCs w:val="11"/>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0" w:type="dxa"/>
            <w:vAlign w:val="bottom"/>
          </w:tcPr>
          <w:p>
            <w:pPr>
              <w:spacing w:after="0"/>
              <w:rPr>
                <w:sz w:val="11"/>
                <w:szCs w:val="11"/>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5"/>
          </w:tcPr>
          <w:p>
            <w:pPr>
              <w:jc w:val="right"/>
              <w:ind w:right="424"/>
              <w:spacing w:after="0" w:line="137"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0" w:type="dxa"/>
            <w:vAlign w:val="bottom"/>
          </w:tcPr>
          <w:p>
            <w:pPr>
              <w:spacing w:after="0"/>
              <w:rPr>
                <w:sz w:val="11"/>
                <w:szCs w:val="11"/>
                <w:color w:val="auto"/>
              </w:rPr>
            </w:pPr>
          </w:p>
        </w:tc>
        <w:tc>
          <w:tcPr>
            <w:tcW w:w="12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Other current assets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 w:type="dxa"/>
            <w:vAlign w:val="bottom"/>
          </w:tcPr>
          <w:p>
            <w:pPr>
              <w:spacing w:after="0"/>
              <w:rPr>
                <w:sz w:val="19"/>
                <w:szCs w:val="19"/>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ind w:right="4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Equity Investments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Marketable equity securities</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second quarter of 2024, we purchased marketable equity investments in the amount of $10 million,which were classified within other current assets and measured at fair value. During the fourth quarter of 2024, we sold all of the marketable equity investments. Realized gains recorded in other financial income (expense), net for the year ended December 28, 2024 amounted to $3 million.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Non-marketable equity securities</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2024, the Company entered into a series of investment agreements with a privately held company, pursuant to which the Company agreed to purchase up to $25 million of Preferred Stock. In October 2024, the Company purchased $10 million of Preferred Stock in the privately held company. The Company’s obligation to purchase additional Preferred Stock at subsequent closings is subject to the terms of the applicable Preferred Stock investment agreements.</w:t>
      </w:r>
    </w:p>
    <w:p>
      <w:pPr>
        <w:spacing w:after="0" w:line="16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investment does not provide the Company the ability to control or have significant influence over the operations of the privately held company. We have accounted for the investment using the measurement alternative because the securities are not publicly traded and do not have a readily determinable fair value. Under the measurement alternative, the equity investment is initially recorded at its cost, but the carrying value may be adjusted through earnings upon an impairment or when there is an observable price change involving the same or a similar investment with the same issuer. As of December 28, 2024, we recorded $10 million for our investment as other long-term assets. There was no impairment or other change to the value of the investment as of December 28,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CONTINGENCIES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U.S. Class Action</w:t>
      </w:r>
    </w:p>
    <w:p>
      <w:pPr>
        <w:spacing w:after="0" w:line="22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the consolidation of the action with a substantively identical case, Le v. Mobileye Global Inc., et al., 1:24-CV-01390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putative purchasers of Mobileye Class A common stock offered in Mobileye’s June 5, 2023 secondary public offering. Mobileye and the individual defendants filed a motion to dismiss the second amended complaint on December 20, 2024. We intend to defend the matter vigorously. No provision was recorded in the financial statements as of December 28, 2024.</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U.S. Derivative Action</w:t>
      </w:r>
    </w:p>
    <w:p>
      <w:pPr>
        <w:spacing w:after="0" w:line="22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MOBILEYE GLOBAL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December 28,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SUBSEQUENT EVENTS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Share-based compensation</w:t>
      </w:r>
    </w:p>
    <w:p>
      <w:pPr>
        <w:spacing w:after="0" w:line="22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 January 2025, the Company’s Chief Executive Officer approved, pursuant to the authority delegated by the compensation committee, the issuance of restricted stock units to be issued under our 2022 Equity Incentive Plan. The total aggregate fair value of RSUs granted was $7.5 million, which constituted 476 thousand RSUs, which will vest over a service period of three years.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Disclosure Controls and Procedures</w:t>
      </w:r>
    </w:p>
    <w:p>
      <w:pPr>
        <w:spacing w:after="0" w:line="22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2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that occurred during the quarter ended December 28, 2024 that have materially affected, or are reasonably likely to materially affect, our internal control over financial reporting.</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the Effectiveness of Controls</w:t>
      </w:r>
    </w:p>
    <w:p>
      <w:pPr>
        <w:spacing w:after="0" w:line="22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disclosure controls and procedures and internal control over financial reporting are designed to provide reasonable assurance of achieving their objectives as specified above. Because of its inherent limitations, disclosure controls and procedures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conceived and operated, can provide only reasonable, not absolute, assurance that the objectives of the control system will be attained. Further, no evaluation of controls can provide absolute assurance that misstatements due to error or fraud will not occur or that all control issues and instances of fraud, if any, within the Company have been detected.</w:t>
      </w: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22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6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Management assessed our internal control over financial reporting as of December 28, 2024.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Based on this assessment, management has concluded that our internal control over financial reporting was effective as of December 28, 2024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1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28, 2024 has been audited by Kesselman &amp; Kesselman, Certified Public Accountants (Isr.), a member firm of PricewaterhouseCoopers International Limited, an independent registered public accounting firm, as stated in their report which appears herein.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During the three months ended December 28, 2024, none of our directors or executive officers adopted or terminated any contract, instruction or written plan for the purchase or sale of Mobileye securities that was intended to satisfy the affirmative defense conditions of Rule 10b5-1(c) or any “non-Rule 10b5-1” trading arrangement. Further, during the three months ended December 28, 2024, the Company did not adopt or terminate any contract, instruction or written plan for the purchase or sale of Mobileye securities that was intended to satisfy the affirmative defense conditions of Rule 10b5-1(c) or any “non-Rule 10b5-1 ”trading arrangement.”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47"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19.1 to our Annual Report on Form 10-K.</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The following documents are filed as a part of this report:</w:t>
      </w:r>
    </w:p>
    <w:p>
      <w:pPr>
        <w:spacing w:after="0" w:line="224" w:lineRule="exact"/>
        <w:rPr>
          <w:sz w:val="20"/>
          <w:szCs w:val="20"/>
          <w:color w:val="auto"/>
        </w:rPr>
      </w:pPr>
    </w:p>
    <w:p>
      <w:pPr>
        <w:ind w:left="560" w:hanging="240"/>
        <w:spacing w:after="0"/>
        <w:tabs>
          <w:tab w:leader="none" w:pos="5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 See Part II, Item 8. “Financial Statements and Supplementary Data” of this report.</w:t>
      </w:r>
    </w:p>
    <w:p>
      <w:pPr>
        <w:spacing w:after="0" w:line="223" w:lineRule="exact"/>
        <w:rPr>
          <w:rFonts w:ascii="Times New Roman" w:cs="Times New Roman" w:eastAsia="Times New Roman" w:hAnsi="Times New Roman"/>
          <w:sz w:val="17"/>
          <w:szCs w:val="17"/>
          <w:color w:val="auto"/>
        </w:rPr>
      </w:pPr>
    </w:p>
    <w:p>
      <w:pPr>
        <w:ind w:firstLine="320"/>
        <w:spacing w:after="0" w:line="296" w:lineRule="auto"/>
        <w:tabs>
          <w:tab w:leader="none" w:pos="59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 All financial statement schedules are omitted because they are not applicable or the required information is shown in the financial statements or the notes thereto.</w:t>
      </w:r>
    </w:p>
    <w:p>
      <w:pPr>
        <w:spacing w:after="0" w:line="146" w:lineRule="exact"/>
        <w:rPr>
          <w:rFonts w:ascii="Times New Roman" w:cs="Times New Roman" w:eastAsia="Times New Roman" w:hAnsi="Times New Roman"/>
          <w:sz w:val="17"/>
          <w:szCs w:val="17"/>
          <w:color w:val="auto"/>
        </w:rPr>
      </w:pPr>
    </w:p>
    <w:p>
      <w:pPr>
        <w:ind w:firstLine="320"/>
        <w:spacing w:after="0" w:line="296" w:lineRule="auto"/>
        <w:tabs>
          <w:tab w:leader="none" w:pos="57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 The following is a list of exhibits filed or furnished as part of this report or incorporated by reference herein to exhibits previously filed with the Securities and Exchange Commission.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20" w:type="dxa"/>
            <w:vAlign w:val="bottom"/>
            <w:gridSpan w:val="3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gridSpan w:val="3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Pr>
          <w:p>
            <w:pPr>
              <w:jc w:val="right"/>
              <w:ind w:right="624"/>
              <w:spacing w:after="0" w:line="163" w:lineRule="exact"/>
              <w:rPr>
                <w:sz w:val="20"/>
                <w:szCs w:val="20"/>
                <w:color w:val="auto"/>
              </w:rPr>
            </w:pPr>
            <w:r>
              <w:rPr>
                <w:rFonts w:ascii="Times New Roman" w:cs="Times New Roman" w:eastAsia="Times New Roman" w:hAnsi="Times New Roman"/>
                <w:sz w:val="17"/>
                <w:szCs w:val="17"/>
                <w:color w:val="auto"/>
                <w:w w:val="84"/>
              </w:rPr>
              <w:t>3.1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100" w:type="dxa"/>
            <w:vAlign w:val="bottom"/>
            <w:tcBorders>
              <w:bottom w:val="single" w:sz="8" w:color="0000EE"/>
            </w:tcBorders>
            <w:gridSpan w:val="22"/>
          </w:tcPr>
          <w:p>
            <w:pPr>
              <w:spacing w:after="0" w:line="163"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Amended and Restated Certificate of Incorporation of the Registrant (incorporated by reference to Exhibit 3.1 to the</w:t>
              </w:r>
            </w:hyperlink>
          </w:p>
        </w:tc>
        <w:tc>
          <w:tcPr>
            <w:tcW w:w="64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Company’s Form 8-K filed on October 28, 2022)</w:t>
              </w:r>
            </w:hyperlink>
          </w:p>
        </w:tc>
        <w:tc>
          <w:tcPr>
            <w:tcW w:w="5320" w:type="dxa"/>
            <w:vAlign w:val="bottom"/>
            <w:gridSpan w:val="3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3.2</w:t>
            </w:r>
          </w:p>
        </w:tc>
        <w:tc>
          <w:tcPr>
            <w:tcW w:w="240" w:type="dxa"/>
            <w:vAlign w:val="bottom"/>
          </w:tcPr>
          <w:p>
            <w:pPr>
              <w:spacing w:after="0"/>
              <w:rPr>
                <w:sz w:val="16"/>
                <w:szCs w:val="16"/>
                <w:color w:val="auto"/>
              </w:rPr>
            </w:pPr>
          </w:p>
        </w:tc>
        <w:tc>
          <w:tcPr>
            <w:tcW w:w="8680" w:type="dxa"/>
            <w:vAlign w:val="bottom"/>
            <w:tcBorders>
              <w:bottom w:val="single" w:sz="8" w:color="0000EE"/>
            </w:tcBorders>
            <w:gridSpan w:val="36"/>
          </w:tcPr>
          <w:p>
            <w:pPr>
              <w:spacing w:after="0" w:line="189" w:lineRule="exact"/>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Amended and Restated Bylaws of the Registrant (incorporated by reference to Exhibit 3.2 to the Company’s Form 8-K filed</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on October 28, 2022)</w:t>
              </w:r>
            </w:hyperlink>
          </w:p>
        </w:tc>
        <w:tc>
          <w:tcPr>
            <w:tcW w:w="7260" w:type="dxa"/>
            <w:vAlign w:val="bottom"/>
            <w:gridSpan w:val="3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4.1</w:t>
            </w:r>
          </w:p>
        </w:tc>
        <w:tc>
          <w:tcPr>
            <w:tcW w:w="240" w:type="dxa"/>
            <w:vAlign w:val="bottom"/>
          </w:tcPr>
          <w:p>
            <w:pPr>
              <w:spacing w:after="0"/>
              <w:rPr>
                <w:sz w:val="16"/>
                <w:szCs w:val="16"/>
                <w:color w:val="auto"/>
              </w:rPr>
            </w:pPr>
          </w:p>
        </w:tc>
        <w:tc>
          <w:tcPr>
            <w:tcW w:w="7940" w:type="dxa"/>
            <w:vAlign w:val="bottom"/>
            <w:tcBorders>
              <w:bottom w:val="single" w:sz="8" w:color="0000EE"/>
            </w:tcBorders>
            <w:gridSpan w:val="21"/>
          </w:tcPr>
          <w:p>
            <w:pPr>
              <w:spacing w:after="0" w:line="189"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Description of Securities Registered Pursuant to Section 12 of the Securities Exchange Act of 1934, As Amended</w:t>
              </w:r>
            </w:hyperlink>
          </w:p>
        </w:tc>
        <w:tc>
          <w:tcPr>
            <w:tcW w:w="82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60" w:type="dxa"/>
            <w:vAlign w:val="bottom"/>
            <w:tcBorders>
              <w:bottom w:val="single" w:sz="8" w:color="0000EE"/>
            </w:tcBorders>
            <w:gridSpan w:val="14"/>
          </w:tcPr>
          <w:p>
            <w:pPr>
              <w:spacing w:after="0" w:line="189" w:lineRule="exact"/>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(incorporated by reference to Exhibit 4.1 to the Company’s Form 10-K filed on March 9, 2023)</w:t>
              </w:r>
            </w:hyperlink>
          </w:p>
        </w:tc>
        <w:tc>
          <w:tcPr>
            <w:tcW w:w="210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w:t>
            </w:r>
          </w:p>
        </w:tc>
        <w:tc>
          <w:tcPr>
            <w:tcW w:w="240" w:type="dxa"/>
            <w:vAlign w:val="bottom"/>
          </w:tcPr>
          <w:p>
            <w:pPr>
              <w:spacing w:after="0"/>
              <w:rPr>
                <w:sz w:val="16"/>
                <w:szCs w:val="16"/>
                <w:color w:val="auto"/>
              </w:rPr>
            </w:pPr>
          </w:p>
        </w:tc>
        <w:tc>
          <w:tcPr>
            <w:tcW w:w="8700" w:type="dxa"/>
            <w:vAlign w:val="bottom"/>
            <w:tcBorders>
              <w:bottom w:val="single" w:sz="8" w:color="0000EE"/>
            </w:tcBorders>
            <w:gridSpan w:val="37"/>
          </w:tcPr>
          <w:p>
            <w:pPr>
              <w:spacing w:after="0" w:line="189"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Form of Director and Officer Indemnification Agreement (incorporated by reference to Exhibit 10.1 to Amendment No. 1 to</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the Company’s registration statement on Form S-1 filed on October 18, 2022)</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10.2</w:t>
            </w:r>
          </w:p>
        </w:tc>
        <w:tc>
          <w:tcPr>
            <w:tcW w:w="240" w:type="dxa"/>
            <w:vAlign w:val="bottom"/>
          </w:tcPr>
          <w:p>
            <w:pPr>
              <w:spacing w:after="0"/>
              <w:rPr>
                <w:sz w:val="16"/>
                <w:szCs w:val="16"/>
                <w:color w:val="auto"/>
              </w:rPr>
            </w:pPr>
          </w:p>
        </w:tc>
        <w:tc>
          <w:tcPr>
            <w:tcW w:w="8680" w:type="dxa"/>
            <w:vAlign w:val="bottom"/>
            <w:tcBorders>
              <w:bottom w:val="single" w:sz="8" w:color="0000EE"/>
            </w:tcBorders>
            <w:gridSpan w:val="36"/>
          </w:tcPr>
          <w:p>
            <w:pPr>
              <w:spacing w:after="0" w:line="189"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Master Transaction Agreement between the Registrant and Intel Corporation, dated as of October 25, 2022 (incorporated by</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reference to Exhibit 10.2 to the Company’s Form 10-K filed on March 9, 2023)</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10.3</w:t>
            </w:r>
          </w:p>
        </w:tc>
        <w:tc>
          <w:tcPr>
            <w:tcW w:w="240" w:type="dxa"/>
            <w:vAlign w:val="bottom"/>
          </w:tcPr>
          <w:p>
            <w:pPr>
              <w:spacing w:after="0"/>
              <w:rPr>
                <w:sz w:val="16"/>
                <w:szCs w:val="16"/>
                <w:color w:val="auto"/>
              </w:rPr>
            </w:pPr>
          </w:p>
        </w:tc>
        <w:tc>
          <w:tcPr>
            <w:tcW w:w="7800" w:type="dxa"/>
            <w:vAlign w:val="bottom"/>
            <w:tcBorders>
              <w:bottom w:val="single" w:sz="8" w:color="0000EE"/>
            </w:tcBorders>
            <w:gridSpan w:val="18"/>
          </w:tcPr>
          <w:p>
            <w:pPr>
              <w:spacing w:after="0" w:line="189"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Administrative Services Agreement between the Registrant and Intel Corporation, dated as of October 25, 2022</w:t>
              </w:r>
            </w:hyperlink>
          </w:p>
        </w:tc>
        <w:tc>
          <w:tcPr>
            <w:tcW w:w="96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(incorporated by reference to Exhibit 10.3 to the Company’s Form 10-K filed on March 9, 2023)</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10.4</w:t>
            </w:r>
          </w:p>
        </w:tc>
        <w:tc>
          <w:tcPr>
            <w:tcW w:w="240" w:type="dxa"/>
            <w:vAlign w:val="bottom"/>
          </w:tcPr>
          <w:p>
            <w:pPr>
              <w:spacing w:after="0"/>
              <w:rPr>
                <w:sz w:val="16"/>
                <w:szCs w:val="16"/>
                <w:color w:val="auto"/>
              </w:rPr>
            </w:pPr>
          </w:p>
        </w:tc>
        <w:tc>
          <w:tcPr>
            <w:tcW w:w="8600" w:type="dxa"/>
            <w:vAlign w:val="bottom"/>
            <w:tcBorders>
              <w:bottom w:val="single" w:sz="8" w:color="0000EE"/>
            </w:tcBorders>
            <w:gridSpan w:val="33"/>
          </w:tcPr>
          <w:p>
            <w:pPr>
              <w:spacing w:after="0" w:line="189"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Employee Matters Agreement between the Registrant and Intel Corporation, dated as of October 25, 2022 (incorporated by</w:t>
              </w:r>
            </w:hyperlink>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reference to Exhibit 10.4 to the Company’s Form 10-K filed on March 9, 2023)</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10.5</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Technology and Services Agreement between the Registrant and Intel Corporation, dated as of October 25, 2022</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60" w:type="dxa"/>
            <w:vAlign w:val="bottom"/>
            <w:tcBorders>
              <w:top w:val="single" w:sz="8" w:color="0000EE"/>
            </w:tcBorders>
            <w:gridSpan w:val="19"/>
          </w:tcPr>
          <w:p>
            <w:pPr>
              <w:spacing w:after="0" w:line="189" w:lineRule="exact"/>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(incorporated by reference to Exhibit 10.5 to the Company’s Form 10-K filed on March 9, 2023)</w:t>
              </w:r>
            </w:hyperlink>
          </w:p>
        </w:tc>
        <w:tc>
          <w:tcPr>
            <w:tcW w:w="90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10.7</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Amended and Restated Tax Sharing Agreement between the Registrant and Intel Corporation, dated as of August 14, 2024</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Borders>
              <w:top w:val="single" w:sz="8" w:color="0000EE"/>
              <w:bottom w:val="single" w:sz="8" w:color="0000EE"/>
            </w:tcBorders>
            <w:gridSpan w:val="16"/>
          </w:tcPr>
          <w:p>
            <w:pPr>
              <w:spacing w:after="0" w:line="189" w:lineRule="exact"/>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(incorporated by reference to Exhibit 10.7 to the Company’s Form 10-Q filed on October 31, 2024)</w:t>
              </w:r>
            </w:hyperlink>
          </w:p>
        </w:tc>
        <w:tc>
          <w:tcPr>
            <w:tcW w:w="1620" w:type="dxa"/>
            <w:vAlign w:val="bottom"/>
            <w:tcBorders>
              <w:top w:val="single" w:sz="8" w:color="0000EE"/>
            </w:tcBorders>
            <w:gridSpan w:val="16"/>
          </w:tcPr>
          <w:p>
            <w:pPr>
              <w:spacing w:after="0"/>
              <w:rPr>
                <w:sz w:val="16"/>
                <w:szCs w:val="16"/>
                <w:color w:val="auto"/>
              </w:rPr>
            </w:pPr>
          </w:p>
        </w:tc>
        <w:tc>
          <w:tcPr>
            <w:tcW w:w="2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10.8</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Contribution and Subscription Agreement among the Registrant, Cyclops Holding Corporation and Intel Overseas Funding</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0" w:type="dxa"/>
            <w:vAlign w:val="bottom"/>
            <w:tcBorders>
              <w:top w:val="single" w:sz="8" w:color="0000EE"/>
            </w:tcBorders>
            <w:gridSpan w:val="33"/>
          </w:tcPr>
          <w:p>
            <w:pPr>
              <w:spacing w:after="0" w:line="189" w:lineRule="exact"/>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Corporation, dated as of October 25, 2022</w:t>
              </w:r>
            </w:hyperlink>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10.9†</w:t>
            </w:r>
          </w:p>
        </w:tc>
        <w:tc>
          <w:tcPr>
            <w:tcW w:w="240" w:type="dxa"/>
            <w:vAlign w:val="bottom"/>
          </w:tcPr>
          <w:p>
            <w:pPr>
              <w:spacing w:after="0"/>
              <w:rPr>
                <w:sz w:val="16"/>
                <w:szCs w:val="16"/>
                <w:color w:val="auto"/>
              </w:rPr>
            </w:pPr>
          </w:p>
        </w:tc>
        <w:tc>
          <w:tcPr>
            <w:tcW w:w="8400" w:type="dxa"/>
            <w:vAlign w:val="bottom"/>
            <w:tcBorders>
              <w:bottom w:val="single" w:sz="8" w:color="0000EE"/>
            </w:tcBorders>
            <w:gridSpan w:val="28"/>
          </w:tcPr>
          <w:p>
            <w:pPr>
              <w:spacing w:after="0" w:line="189"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Mobileye Global Inc. 2022 Equity Incentive Plan (incorporated by reference to Exhibit 10.9 to Amendment No. 1 to the</w:t>
              </w:r>
            </w:hyperlink>
          </w:p>
        </w:tc>
        <w:tc>
          <w:tcPr>
            <w:tcW w:w="3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180" w:type="dxa"/>
            <w:vAlign w:val="bottom"/>
            <w:tcBorders>
              <w:bottom w:val="single" w:sz="8" w:color="0000EE"/>
            </w:tcBorders>
            <w:gridSpan w:val="10"/>
          </w:tcPr>
          <w:p>
            <w:pPr>
              <w:spacing w:after="0" w:line="189" w:lineRule="exact"/>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Company’s registration statement on Form S-1 filed on October 18, 2022)</w:t>
              </w:r>
            </w:hyperlink>
          </w:p>
        </w:tc>
        <w:tc>
          <w:tcPr>
            <w:tcW w:w="358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10.10*†</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sz w:val="20"/>
                <w:szCs w:val="20"/>
                <w:color w:val="auto"/>
              </w:rPr>
            </w:pPr>
            <w:r>
              <w:rPr>
                <w:rFonts w:ascii="Times New Roman" w:cs="Times New Roman" w:eastAsia="Times New Roman" w:hAnsi="Times New Roman"/>
                <w:sz w:val="17"/>
                <w:szCs w:val="17"/>
                <w:color w:val="0000EE"/>
              </w:rPr>
              <w:t>Form of Restricted Stock Unit Agreement (as amended on May 16, 2024)</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10.11†</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Form of Option Agreement (incorporated by reference to Exhibit 10.11 to Amendment No. 1 to the Company’s registration</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tcBorders>
              <w:top w:val="single" w:sz="8" w:color="0000EE"/>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statement on Form S-1 filed on October 18, 2022)</w:t>
              </w:r>
            </w:hyperlink>
          </w:p>
        </w:tc>
        <w:tc>
          <w:tcPr>
            <w:tcW w:w="5100" w:type="dxa"/>
            <w:vAlign w:val="bottom"/>
            <w:tcBorders>
              <w:top w:val="single" w:sz="8" w:color="0000EE"/>
            </w:tcBorders>
            <w:gridSpan w:val="28"/>
          </w:tcPr>
          <w:p>
            <w:pPr>
              <w:spacing w:after="0"/>
              <w:rPr>
                <w:sz w:val="16"/>
                <w:szCs w:val="16"/>
                <w:color w:val="auto"/>
              </w:rPr>
            </w:pPr>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10.12†</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Employment Agreement between the Registrant and Amnon Shashua, dated July 24, 2014 (incorporated by reference to</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80" w:type="dxa"/>
            <w:vAlign w:val="bottom"/>
            <w:tcBorders>
              <w:top w:val="single" w:sz="8" w:color="0000EE"/>
            </w:tcBorders>
            <w:gridSpan w:val="27"/>
          </w:tcPr>
          <w:p>
            <w:pPr>
              <w:spacing w:after="0" w:line="189"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Exhibit 10.12 to Amendment No. 1 to the Company’s registration statement on Form S-1 filed on October 18, 2022)</w:t>
              </w:r>
            </w:hyperlink>
          </w:p>
        </w:tc>
        <w:tc>
          <w:tcPr>
            <w:tcW w:w="3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10.13†</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Employment Letter Agreement between Amnon Shashua and Intel, dated June 1, 2022 (incorporated by reference to Exhibit</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80" w:type="dxa"/>
            <w:vAlign w:val="bottom"/>
            <w:tcBorders>
              <w:top w:val="single" w:sz="8" w:color="0000EE"/>
            </w:tcBorders>
            <w:gridSpan w:val="36"/>
          </w:tcPr>
          <w:p>
            <w:pPr>
              <w:spacing w:after="0" w:line="189"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13</w:t>
              </w:r>
              <w:r>
                <w:rPr>
                  <w:rFonts w:ascii="Times New Roman" w:cs="Times New Roman" w:eastAsia="Times New Roman" w:hAnsi="Times New Roman"/>
                  <w:sz w:val="17"/>
                  <w:szCs w:val="17"/>
                  <w:color w:val="0000EE"/>
                </w:rPr>
                <w:t xml:space="preserve"> to Amendment No. 1 to the Company’s registration statement on Form S-1 filed on October 18, 2022)</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10.14*†</w:t>
            </w:r>
          </w:p>
        </w:tc>
        <w:tc>
          <w:tcPr>
            <w:tcW w:w="240" w:type="dxa"/>
            <w:vAlign w:val="bottom"/>
          </w:tcPr>
          <w:p>
            <w:pPr>
              <w:spacing w:after="0"/>
              <w:rPr>
                <w:sz w:val="16"/>
                <w:szCs w:val="16"/>
                <w:color w:val="auto"/>
              </w:rPr>
            </w:pPr>
          </w:p>
        </w:tc>
        <w:tc>
          <w:tcPr>
            <w:tcW w:w="6380" w:type="dxa"/>
            <w:vAlign w:val="bottom"/>
            <w:tcBorders>
              <w:top w:val="single" w:sz="8" w:color="0000EE"/>
              <w:bottom w:val="single" w:sz="8" w:color="0000EE"/>
            </w:tcBorders>
            <w:gridSpan w:val="13"/>
          </w:tcPr>
          <w:p>
            <w:pPr>
              <w:spacing w:after="0" w:line="189" w:lineRule="exact"/>
              <w:rPr>
                <w:sz w:val="20"/>
                <w:szCs w:val="20"/>
                <w:color w:val="auto"/>
              </w:rPr>
            </w:pPr>
            <w:r>
              <w:rPr>
                <w:rFonts w:ascii="Times New Roman" w:cs="Times New Roman" w:eastAsia="Times New Roman" w:hAnsi="Times New Roman"/>
                <w:sz w:val="17"/>
                <w:szCs w:val="17"/>
                <w:color w:val="0000EE"/>
              </w:rPr>
              <w:t>Employment Agreement between the Registrant and Boaz Ouriel, dated as of April 1, 2022</w:t>
            </w:r>
          </w:p>
        </w:tc>
        <w:tc>
          <w:tcPr>
            <w:tcW w:w="1180" w:type="dxa"/>
            <w:vAlign w:val="bottom"/>
            <w:tcBorders>
              <w:top w:val="single" w:sz="8" w:color="0000EE"/>
            </w:tcBorders>
            <w:gridSpan w:val="4"/>
          </w:tcPr>
          <w:p>
            <w:pPr>
              <w:spacing w:after="0"/>
              <w:rPr>
                <w:sz w:val="16"/>
                <w:szCs w:val="16"/>
                <w:color w:val="auto"/>
              </w:rPr>
            </w:pPr>
          </w:p>
        </w:tc>
        <w:tc>
          <w:tcPr>
            <w:tcW w:w="120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10.15†</w:t>
            </w:r>
          </w:p>
        </w:tc>
        <w:tc>
          <w:tcPr>
            <w:tcW w:w="240" w:type="dxa"/>
            <w:vAlign w:val="bottom"/>
          </w:tcPr>
          <w:p>
            <w:pPr>
              <w:spacing w:after="0"/>
              <w:rPr>
                <w:sz w:val="16"/>
                <w:szCs w:val="16"/>
                <w:color w:val="auto"/>
              </w:rPr>
            </w:pPr>
          </w:p>
        </w:tc>
        <w:tc>
          <w:tcPr>
            <w:tcW w:w="8400" w:type="dxa"/>
            <w:vAlign w:val="bottom"/>
            <w:tcBorders>
              <w:bottom w:val="single" w:sz="8" w:color="0000EE"/>
            </w:tcBorders>
            <w:gridSpan w:val="28"/>
          </w:tcPr>
          <w:p>
            <w:pPr>
              <w:spacing w:after="0" w:line="189"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Employment Agreement between the Registrant and Gavriel Hayon, dated August 1, 1999 (incorporated by reference to</w:t>
              </w:r>
            </w:hyperlink>
          </w:p>
        </w:tc>
        <w:tc>
          <w:tcPr>
            <w:tcW w:w="3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Exhibit 10.16 to Amendment No. 1 to the Company’s registration statement on Form S-1 filed on October 18, 2022)</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60" w:type="dxa"/>
            <w:vAlign w:val="bottom"/>
            <w:gridSpan w:val="1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10.16†</w:t>
            </w:r>
          </w:p>
        </w:tc>
        <w:tc>
          <w:tcPr>
            <w:tcW w:w="240" w:type="dxa"/>
            <w:vAlign w:val="bottom"/>
          </w:tcPr>
          <w:p>
            <w:pPr>
              <w:spacing w:after="0"/>
              <w:rPr>
                <w:sz w:val="16"/>
                <w:szCs w:val="16"/>
                <w:color w:val="auto"/>
              </w:rPr>
            </w:pPr>
          </w:p>
        </w:tc>
        <w:tc>
          <w:tcPr>
            <w:tcW w:w="8640" w:type="dxa"/>
            <w:vAlign w:val="bottom"/>
            <w:tcBorders>
              <w:bottom w:val="single" w:sz="8" w:color="0000EE"/>
            </w:tcBorders>
            <w:gridSpan w:val="34"/>
          </w:tcPr>
          <w:p>
            <w:pPr>
              <w:spacing w:after="0" w:line="189"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Employment Agreement between the Registrant and Shai Shalev-Shwartz, dated August 2, 2010 (incorporated by reference</w:t>
              </w:r>
            </w:hyperlink>
          </w:p>
        </w:tc>
        <w:tc>
          <w:tcPr>
            <w:tcW w:w="1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00" w:type="dxa"/>
            <w:vAlign w:val="bottom"/>
            <w:tcBorders>
              <w:bottom w:val="single" w:sz="8" w:color="0000EE"/>
            </w:tcBorders>
            <w:gridSpan w:val="26"/>
          </w:tcPr>
          <w:p>
            <w:pPr>
              <w:spacing w:after="0" w:line="189"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to Exhibit 10.17 to Amendment No. 1 to the Company’s registration statement on Form S-1 filed on October 18, 2022)</w:t>
              </w:r>
            </w:hyperlink>
          </w:p>
        </w:tc>
        <w:tc>
          <w:tcPr>
            <w:tcW w:w="46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10.17†</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Employment Agreement between the Registrant and Nimrod Nehushtan, dated May 2, 2017 (incorporated by reference to</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60" w:type="dxa"/>
            <w:vAlign w:val="bottom"/>
            <w:tcBorders>
              <w:top w:val="single" w:sz="8" w:color="0000EE"/>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Exhibit 10.18 to the Company’s Form 10-K filed on March 9, 2023)</w:t>
              </w:r>
            </w:hyperlink>
          </w:p>
        </w:tc>
        <w:tc>
          <w:tcPr>
            <w:tcW w:w="3740" w:type="dxa"/>
            <w:vAlign w:val="bottom"/>
            <w:tcBorders>
              <w:top w:val="single" w:sz="8" w:color="0000EE"/>
            </w:tcBorders>
            <w:gridSpan w:val="23"/>
          </w:tcPr>
          <w:p>
            <w:pPr>
              <w:spacing w:after="0"/>
              <w:rPr>
                <w:sz w:val="16"/>
                <w:szCs w:val="16"/>
                <w:color w:val="auto"/>
              </w:rPr>
            </w:pPr>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10.18</w:t>
            </w:r>
          </w:p>
        </w:tc>
        <w:tc>
          <w:tcPr>
            <w:tcW w:w="240" w:type="dxa"/>
            <w:vAlign w:val="bottom"/>
          </w:tcPr>
          <w:p>
            <w:pPr>
              <w:spacing w:after="0"/>
              <w:rPr>
                <w:sz w:val="16"/>
                <w:szCs w:val="16"/>
                <w:color w:val="auto"/>
              </w:rPr>
            </w:pPr>
          </w:p>
        </w:tc>
        <w:tc>
          <w:tcPr>
            <w:tcW w:w="8480" w:type="dxa"/>
            <w:vAlign w:val="bottom"/>
            <w:tcBorders>
              <w:bottom w:val="single" w:sz="8" w:color="0000EE"/>
            </w:tcBorders>
            <w:gridSpan w:val="30"/>
          </w:tcPr>
          <w:p>
            <w:pPr>
              <w:spacing w:after="0" w:line="18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Stock Compensation Recharge Agreement, dated August 8, 2017, between Mobileye B.V. and its subsidiaries, on the one</w:t>
              </w:r>
            </w:hyperlink>
          </w:p>
        </w:tc>
        <w:tc>
          <w:tcPr>
            <w:tcW w:w="2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hand, and Intel, on the other hand (incorporated by reference to Exhibit 10.18 to Amendment No. 1 to the Company’s</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40" w:type="dxa"/>
            <w:vAlign w:val="bottom"/>
            <w:tcBorders>
              <w:top w:val="single" w:sz="8" w:color="0000EE"/>
              <w:bottom w:val="single" w:sz="8" w:color="0000EE"/>
            </w:tcBorders>
            <w:gridSpan w:val="7"/>
          </w:tcPr>
          <w:p>
            <w:pPr>
              <w:spacing w:after="0" w:line="189"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registration statement on Form S-1 filed on October 18, 2022)</w:t>
              </w:r>
            </w:hyperlink>
          </w:p>
        </w:tc>
        <w:tc>
          <w:tcPr>
            <w:tcW w:w="3860" w:type="dxa"/>
            <w:vAlign w:val="bottom"/>
            <w:tcBorders>
              <w:top w:val="single" w:sz="8" w:color="0000EE"/>
            </w:tcBorders>
            <w:gridSpan w:val="18"/>
          </w:tcPr>
          <w:p>
            <w:pPr>
              <w:spacing w:after="0"/>
              <w:rPr>
                <w:sz w:val="16"/>
                <w:szCs w:val="16"/>
                <w:color w:val="auto"/>
              </w:rPr>
            </w:pPr>
          </w:p>
        </w:tc>
        <w:tc>
          <w:tcPr>
            <w:tcW w:w="56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10.19</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Loan Agreement, dated April 21, 2022, between Cyclops Holdings Corporation and Intel Overseas Funding Corporation.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4180" w:type="dxa"/>
            <w:vAlign w:val="bottom"/>
            <w:gridSpan w:val="1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(incorporated by reference to Exhibit 10.19 to Amendment No. 19 to the Company’s registration statement on Form S-1 filed</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on October 18, 2022)</w:t>
              </w:r>
            </w:hyperlink>
          </w:p>
        </w:tc>
        <w:tc>
          <w:tcPr>
            <w:tcW w:w="7240" w:type="dxa"/>
            <w:vAlign w:val="bottom"/>
            <w:tcBorders>
              <w:top w:val="single" w:sz="8" w:color="0000EE"/>
            </w:tcBorders>
            <w:gridSpan w:val="3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10.20</w:t>
            </w:r>
          </w:p>
        </w:tc>
        <w:tc>
          <w:tcPr>
            <w:tcW w:w="240" w:type="dxa"/>
            <w:vAlign w:val="bottom"/>
          </w:tcPr>
          <w:p>
            <w:pPr>
              <w:spacing w:after="0"/>
              <w:rPr>
                <w:sz w:val="16"/>
                <w:szCs w:val="16"/>
                <w:color w:val="auto"/>
              </w:rPr>
            </w:pPr>
          </w:p>
        </w:tc>
        <w:tc>
          <w:tcPr>
            <w:tcW w:w="8460" w:type="dxa"/>
            <w:vAlign w:val="bottom"/>
            <w:tcBorders>
              <w:bottom w:val="single" w:sz="8" w:color="0000EE"/>
            </w:tcBorders>
            <w:gridSpan w:val="29"/>
          </w:tcPr>
          <w:p>
            <w:pPr>
              <w:spacing w:after="0" w:line="18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Memorandum of Understanding, dated October 17, 2006, between STMicroelectronics N.V. and Mobileye Technologies</w:t>
              </w:r>
            </w:hyperlink>
          </w:p>
        </w:tc>
        <w:tc>
          <w:tcPr>
            <w:tcW w:w="30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160" w:type="dxa"/>
            <w:vAlign w:val="bottom"/>
            <w:tcBorders>
              <w:bottom w:val="single" w:sz="8" w:color="0000EE"/>
            </w:tcBorders>
            <w:gridSpan w:val="24"/>
          </w:tcPr>
          <w:p>
            <w:pPr>
              <w:spacing w:after="0" w:line="18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Limited, as amended (incorporated by reference to Exhibit 10.20 to Amendment No. 1 to the Company’s registration</w:t>
              </w:r>
            </w:hyperlink>
          </w:p>
        </w:tc>
        <w:tc>
          <w:tcPr>
            <w:tcW w:w="6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tcBorders>
              <w:bottom w:val="single" w:sz="8" w:color="0000EE"/>
            </w:tcBorders>
            <w:gridSpan w:val="5"/>
          </w:tcPr>
          <w:p>
            <w:pPr>
              <w:spacing w:after="0" w:line="189" w:lineRule="exact"/>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statement on Form S-1 filed on October 18, 2022)</w:t>
              </w:r>
            </w:hyperlink>
          </w:p>
        </w:tc>
        <w:tc>
          <w:tcPr>
            <w:tcW w:w="5260" w:type="dxa"/>
            <w:vAlign w:val="bottom"/>
            <w:gridSpan w:val="3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10.21</w:t>
            </w: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Agreement between Intel Corporation and Intel Subsidiaries, dated August 8, 2017, between Mobileye B.V. and its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4180" w:type="dxa"/>
            <w:vAlign w:val="bottom"/>
            <w:gridSpan w:val="1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39"/>
          </w:tcPr>
          <w:p>
            <w:pPr>
              <w:spacing w:after="0" w:line="189"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subsidiaries, on the one hand, and Intel, on the other hand, which we refer to herein as the Cross-License Agreement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4180" w:type="dxa"/>
            <w:vAlign w:val="bottom"/>
            <w:gridSpan w:val="1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60" w:type="dxa"/>
            <w:vAlign w:val="bottom"/>
            <w:tcBorders>
              <w:bottom w:val="single" w:sz="8" w:color="0000EE"/>
            </w:tcBorders>
            <w:gridSpan w:val="35"/>
          </w:tcPr>
          <w:p>
            <w:pPr>
              <w:spacing w:after="0" w:line="189"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(incorporated by reference to Exhibit 10.21 to Amendment No. 1 to the Company’s registration statement on Form S-1 filed</w:t>
              </w:r>
            </w:hyperlink>
          </w:p>
        </w:tc>
        <w:tc>
          <w:tcPr>
            <w:tcW w:w="1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on October 18, 2022)</w:t>
              </w:r>
            </w:hyperlink>
          </w:p>
        </w:tc>
        <w:tc>
          <w:tcPr>
            <w:tcW w:w="7260" w:type="dxa"/>
            <w:vAlign w:val="bottom"/>
            <w:gridSpan w:val="3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10.22</w:t>
            </w:r>
          </w:p>
        </w:tc>
        <w:tc>
          <w:tcPr>
            <w:tcW w:w="240" w:type="dxa"/>
            <w:vAlign w:val="bottom"/>
          </w:tcPr>
          <w:p>
            <w:pPr>
              <w:spacing w:after="0"/>
              <w:rPr>
                <w:sz w:val="16"/>
                <w:szCs w:val="16"/>
                <w:color w:val="auto"/>
              </w:rPr>
            </w:pPr>
          </w:p>
        </w:tc>
        <w:tc>
          <w:tcPr>
            <w:tcW w:w="7920" w:type="dxa"/>
            <w:vAlign w:val="bottom"/>
            <w:tcBorders>
              <w:bottom w:val="single" w:sz="8" w:color="0000EE"/>
            </w:tcBorders>
            <w:gridSpan w:val="20"/>
          </w:tcPr>
          <w:p>
            <w:pPr>
              <w:spacing w:after="0" w:line="189"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Share &amp; Note Sale and Purchase Agreement, dated May 31, 2022, between Intel Finance B.V. and Mobileye B.V.</w:t>
              </w:r>
            </w:hyperlink>
          </w:p>
        </w:tc>
        <w:tc>
          <w:tcPr>
            <w:tcW w:w="84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60" w:type="dxa"/>
            <w:vAlign w:val="bottom"/>
            <w:tcBorders>
              <w:bottom w:val="single" w:sz="8" w:color="0000EE"/>
            </w:tcBorders>
            <w:gridSpan w:val="35"/>
          </w:tcPr>
          <w:p>
            <w:pPr>
              <w:spacing w:after="0" w:line="189"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(incorporated by reference to Exhibit 10.22 to Amendment No. 1 to the Company’s registration statement on Form S-1 filed</w:t>
              </w:r>
            </w:hyperlink>
          </w:p>
        </w:tc>
        <w:tc>
          <w:tcPr>
            <w:tcW w:w="1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on October 18, 2022)</w:t>
              </w:r>
            </w:hyperlink>
          </w:p>
        </w:tc>
        <w:tc>
          <w:tcPr>
            <w:tcW w:w="7260" w:type="dxa"/>
            <w:vAlign w:val="bottom"/>
            <w:gridSpan w:val="3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19.1*</w:t>
            </w:r>
          </w:p>
        </w:tc>
        <w:tc>
          <w:tcPr>
            <w:tcW w:w="240" w:type="dxa"/>
            <w:vAlign w:val="bottom"/>
          </w:tcPr>
          <w:p>
            <w:pPr>
              <w:spacing w:after="0"/>
              <w:rPr>
                <w:sz w:val="16"/>
                <w:szCs w:val="16"/>
                <w:color w:val="auto"/>
              </w:rPr>
            </w:pPr>
          </w:p>
        </w:tc>
        <w:tc>
          <w:tcPr>
            <w:tcW w:w="3740" w:type="dxa"/>
            <w:vAlign w:val="bottom"/>
            <w:tcBorders>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Securities Trading Policy adopted on March 16, 2023</w:t>
            </w:r>
          </w:p>
        </w:tc>
        <w:tc>
          <w:tcPr>
            <w:tcW w:w="5020" w:type="dxa"/>
            <w:vAlign w:val="bottom"/>
            <w:gridSpan w:val="33"/>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80" w:type="dxa"/>
            <w:vAlign w:val="bottom"/>
            <w:gridSpan w:val="8"/>
          </w:tcPr>
          <w:p>
            <w:pPr>
              <w:jc w:val="right"/>
              <w:ind w:right="330"/>
              <w:spacing w:after="0"/>
              <w:rPr>
                <w:sz w:val="20"/>
                <w:szCs w:val="20"/>
                <w:color w:val="auto"/>
              </w:rPr>
            </w:pPr>
            <w:r>
              <w:rPr>
                <w:rFonts w:ascii="Times New Roman" w:cs="Times New Roman" w:eastAsia="Times New Roman" w:hAnsi="Times New Roman"/>
                <w:sz w:val="17"/>
                <w:szCs w:val="17"/>
                <w:color w:val="auto"/>
              </w:rPr>
              <w:t>138</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5"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920"/>
          </w:cols>
          <w:pgMar w:left="980" w:top="645" w:right="9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List of Subsidiaries of the Registrant</w:t>
      </w:r>
    </w:p>
    <w:p>
      <w:pPr>
        <w:spacing w:after="0" w:line="32" w:lineRule="exact"/>
        <w:rPr>
          <w:sz w:val="20"/>
          <w:szCs w:val="20"/>
          <w:color w:val="auto"/>
        </w:rPr>
      </w:pPr>
    </w:p>
    <w:p>
      <w:pPr>
        <w:ind w:right="620"/>
        <w:spacing w:after="0" w:line="257" w:lineRule="auto"/>
        <w:rPr>
          <w:sz w:val="20"/>
          <w:szCs w:val="20"/>
          <w:color w:val="auto"/>
        </w:rPr>
      </w:pPr>
      <w:r>
        <w:rPr>
          <w:rFonts w:ascii="Times New Roman" w:cs="Times New Roman" w:eastAsia="Times New Roman" w:hAnsi="Times New Roman"/>
          <w:sz w:val="17"/>
          <w:szCs w:val="17"/>
          <w:u w:val="single" w:color="auto"/>
          <w:color w:val="0000EE"/>
        </w:rPr>
        <w:t>Consent of Kesselman &amp; Kesselman, Certified Public Accountants (Isr.), a member firm of PricewaterhouseCoopers International Limited, an independent registered public accounting firm.</w:t>
      </w:r>
    </w:p>
    <w:p>
      <w:pPr>
        <w:spacing w:after="0"/>
        <w:rPr>
          <w:sz w:val="20"/>
          <w:szCs w:val="20"/>
          <w:color w:val="auto"/>
        </w:rPr>
      </w:pPr>
      <w:r>
        <w:rPr>
          <w:rFonts w:ascii="Times New Roman" w:cs="Times New Roman" w:eastAsia="Times New Roman" w:hAnsi="Times New Roman"/>
          <w:sz w:val="17"/>
          <w:szCs w:val="17"/>
          <w:u w:val="single" w:color="auto"/>
          <w:color w:val="0000EE"/>
        </w:rPr>
        <w:t>Certification of Chief Executive Officer pursuant to Section 302 of the Sarbanes-Oxley Act of 2002.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Certification of Chief Executive Officer pursuant to Section 906 of the Sarbanes-Oxley Act of 2002.</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Certification of Chief Financial Officer pursuant to Section 906 of the Sarbanes-Oxley Act of 2002.</w:t>
      </w:r>
    </w:p>
    <w:p>
      <w:pPr>
        <w:spacing w:after="0" w:line="53" w:lineRule="exact"/>
        <w:rPr>
          <w:sz w:val="20"/>
          <w:szCs w:val="20"/>
          <w:color w:val="auto"/>
        </w:rPr>
      </w:pPr>
    </w:p>
    <w:p>
      <w:pPr>
        <w:ind w:right="700"/>
        <w:spacing w:after="0" w:line="268" w:lineRule="auto"/>
        <w:rPr>
          <w:rFonts w:ascii="Times New Roman" w:cs="Times New Roman" w:eastAsia="Times New Roman" w:hAnsi="Times New Roman"/>
          <w:sz w:val="17"/>
          <w:szCs w:val="17"/>
          <w:u w:val="single" w:color="auto"/>
          <w:color w:val="0000EE"/>
        </w:rPr>
      </w:pPr>
      <w:hyperlink r:id="rId187">
        <w:r>
          <w:rPr>
            <w:rFonts w:ascii="Times New Roman" w:cs="Times New Roman" w:eastAsia="Times New Roman" w:hAnsi="Times New Roman"/>
            <w:sz w:val="17"/>
            <w:szCs w:val="17"/>
            <w:u w:val="single" w:color="auto"/>
            <w:color w:val="0000EE"/>
          </w:rPr>
          <w:t>Policy Relating to Recovery of Erroneously Awarded Compensation (incorporated by reference to Exhibit 97 to the</w:t>
        </w:r>
      </w:hyperlink>
      <w:r>
        <w:rPr>
          <w:rFonts w:ascii="Times New Roman" w:cs="Times New Roman" w:eastAsia="Times New Roman" w:hAnsi="Times New Roman"/>
          <w:sz w:val="17"/>
          <w:szCs w:val="17"/>
          <w:u w:val="single" w:color="auto"/>
          <w:color w:val="0000EE"/>
        </w:rPr>
        <w:t xml:space="preserve"> </w:t>
      </w:r>
      <w:hyperlink r:id="rId187">
        <w:r>
          <w:rPr>
            <w:rFonts w:ascii="Times New Roman" w:cs="Times New Roman" w:eastAsia="Times New Roman" w:hAnsi="Times New Roman"/>
            <w:sz w:val="17"/>
            <w:szCs w:val="17"/>
            <w:u w:val="single" w:color="auto"/>
            <w:color w:val="0000EE"/>
          </w:rPr>
          <w:t>Company’s Form 10-K filed on February 23, 2024)</w:t>
        </w:r>
      </w:hyperlink>
    </w:p>
    <w:p>
      <w:pPr>
        <w:spacing w:after="0" w:line="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The following financial statements from Mobileye Global Inc.’s Annual Report on Form 10-K for the year ended December 28, 2024, filed with the Securities and Exchange Commission on February 13, 2025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117475</wp:posOffset>
            </wp:positionV>
            <wp:extent cx="158051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1580515" cy="1651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440" w:space="720"/>
            <w:col w:w="8760"/>
          </w:cols>
          <w:pgMar w:left="980" w:top="645" w:right="999" w:bottom="1440" w:gutter="0" w:footer="0" w:header="0"/>
          <w:type w:val="continuous"/>
        </w:sectPr>
      </w:pPr>
    </w:p>
    <w:p>
      <w:pPr>
        <w:spacing w:after="0" w:line="102" w:lineRule="exact"/>
        <w:rPr>
          <w:sz w:val="20"/>
          <w:szCs w:val="20"/>
          <w:color w:val="auto"/>
        </w:rPr>
      </w:pPr>
    </w:p>
    <w:p>
      <w:pPr>
        <w:ind w:left="320" w:hanging="315"/>
        <w:spacing w:after="0"/>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or furnished herewith.</w:t>
      </w:r>
    </w:p>
    <w:p>
      <w:pPr>
        <w:spacing w:after="0" w:line="32" w:lineRule="exact"/>
        <w:rPr>
          <w:sz w:val="20"/>
          <w:szCs w:val="20"/>
          <w:color w:val="auto"/>
        </w:rPr>
      </w:pPr>
    </w:p>
    <w:p>
      <w:pPr>
        <w:ind w:left="320" w:hanging="315"/>
        <w:spacing w:after="0"/>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14" w:lineRule="exact"/>
        <w:rPr>
          <w:sz w:val="20"/>
          <w:szCs w:val="20"/>
          <w:color w:val="auto"/>
        </w:rPr>
      </w:pPr>
    </w:p>
    <w:p>
      <w:pPr>
        <w:ind w:left="320" w:hanging="315"/>
        <w:spacing w:after="0" w:line="274" w:lineRule="auto"/>
        <w:tabs>
          <w:tab w:leader="none" w:pos="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have been omitted pursuant to Item 601(a)(5) of Regulation S-K. The Registrant agrees to furnish supplementally a copy of any omitted schedule or exhibit to the SEC upon its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6304915" cy="16510"/>
                    </a:xfrm>
                    <a:prstGeom prst="rect">
                      <a:avLst/>
                    </a:prstGeom>
                    <a:noFill/>
                  </pic:spPr>
                </pic:pic>
              </a:graphicData>
            </a:graphic>
          </wp:anchor>
        </w:drawing>
      </w:r>
    </w:p>
    <w:p>
      <w:pPr>
        <w:sectPr>
          <w:pgSz w:w="11900" w:h="16838" w:orient="portrait"/>
          <w:cols w:equalWidth="0" w:num="1">
            <w:col w:w="9920"/>
          </w:cols>
          <w:pgMar w:left="980" w:top="645"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6"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Mobileye Global Inc.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Professor Amnon Shashua</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6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4520" w:type="dxa"/>
            <w:vAlign w:val="bottom"/>
            <w:tcBorders>
              <w:top w:val="single" w:sz="8" w:color="auto"/>
            </w:tcBorders>
          </w:tcPr>
          <w:p>
            <w:pPr>
              <w:ind w:left="140"/>
              <w:spacing w:after="0" w:line="185" w:lineRule="exact"/>
              <w:rPr>
                <w:sz w:val="20"/>
                <w:szCs w:val="20"/>
                <w:color w:val="auto"/>
              </w:rPr>
            </w:pPr>
            <w:r>
              <w:rPr>
                <w:rFonts w:ascii="Times New Roman" w:cs="Times New Roman" w:eastAsia="Times New Roman" w:hAnsi="Times New Roman"/>
                <w:sz w:val="17"/>
                <w:szCs w:val="17"/>
                <w:color w:val="auto"/>
              </w:rPr>
              <w:t>Professor Amnon Shashua</w:t>
            </w: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Executive Officer and President</w:t>
            </w:r>
          </w:p>
        </w:tc>
      </w:tr>
      <w:tr>
        <w:trPr>
          <w:trHeight w:val="228"/>
        </w:trPr>
        <w:tc>
          <w:tcPr>
            <w:tcW w:w="600" w:type="dxa"/>
            <w:vAlign w:val="bottom"/>
          </w:tcPr>
          <w:p>
            <w:pPr>
              <w:spacing w:after="0"/>
              <w:rPr>
                <w:sz w:val="19"/>
                <w:szCs w:val="19"/>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Principal Executive Officer)</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Moran Shemesh Rojansky</w:t>
      </w:r>
    </w:p>
    <w:p>
      <w:pPr>
        <w:spacing w:after="0" w:line="32"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-123190</wp:posOffset>
            </wp:positionV>
            <wp:extent cx="3235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3235325"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1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(As Principal Financial and Accounting Officer)</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Date: February 13, 2025</w:t>
      </w:r>
    </w:p>
    <w:p>
      <w:pPr>
        <w:spacing w:after="0" w:line="224"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60" w:type="dxa"/>
            <w:vAlign w:val="bottom"/>
          </w:tcPr>
          <w:p>
            <w:pPr>
              <w:spacing w:after="0"/>
              <w:rPr>
                <w:sz w:val="19"/>
                <w:szCs w:val="19"/>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8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40" w:type="dxa"/>
            <w:vAlign w:val="bottom"/>
          </w:tcPr>
          <w:p>
            <w:pPr>
              <w:spacing w:after="0"/>
              <w:rPr>
                <w:sz w:val="19"/>
                <w:szCs w:val="19"/>
                <w:color w:val="auto"/>
              </w:rPr>
            </w:pPr>
          </w:p>
        </w:tc>
      </w:tr>
      <w:tr>
        <w:trPr>
          <w:trHeight w:val="412"/>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Professor Amnon Shashua</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Professor Amnon Shashua</w:t>
            </w:r>
          </w:p>
        </w:tc>
        <w:tc>
          <w:tcPr>
            <w:tcW w:w="260" w:type="dxa"/>
            <w:vAlign w:val="bottom"/>
          </w:tcPr>
          <w:p>
            <w:pPr>
              <w:spacing w:after="0"/>
              <w:rPr>
                <w:sz w:val="19"/>
                <w:szCs w:val="19"/>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Moran Shemesh Rojansky</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Moran Shemesh Rojansky</w:t>
            </w:r>
          </w:p>
        </w:tc>
        <w:tc>
          <w:tcPr>
            <w:tcW w:w="260" w:type="dxa"/>
            <w:vAlign w:val="bottom"/>
          </w:tcPr>
          <w:p>
            <w:pPr>
              <w:spacing w:after="0"/>
              <w:rPr>
                <w:sz w:val="19"/>
                <w:szCs w:val="19"/>
                <w:color w:val="auto"/>
              </w:rPr>
            </w:pPr>
          </w:p>
        </w:tc>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Saf Yeboah-Amankwah</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Chair of the Board of Directors</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412"/>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Patrick Bombach</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Patrick Bombach</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Elaine L. Chao</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Elaine L. Chao</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Eyal Desheh</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Eyal Desheh.</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Claire C. McCaskill</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Claire C. McCaskill</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Christine Pambianchi</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Christine Pambianchi</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Christoph Schell</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Christoph Schell</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1"/>
        </w:trPr>
        <w:tc>
          <w:tcPr>
            <w:tcW w:w="2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Frank D. Yeary</w:t>
            </w:r>
          </w:p>
        </w:tc>
        <w:tc>
          <w:tcPr>
            <w:tcW w:w="260" w:type="dxa"/>
            <w:vAlign w:val="bottom"/>
          </w:tcPr>
          <w:p>
            <w:pPr>
              <w:spacing w:after="0"/>
              <w:rPr>
                <w:sz w:val="24"/>
                <w:szCs w:val="24"/>
                <w:color w:val="auto"/>
              </w:rPr>
            </w:pPr>
          </w:p>
        </w:tc>
        <w:tc>
          <w:tcPr>
            <w:tcW w:w="50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February 13, 2025</w:t>
            </w:r>
          </w:p>
        </w:tc>
      </w:tr>
      <w:tr>
        <w:trPr>
          <w:trHeight w:val="221"/>
        </w:trPr>
        <w:tc>
          <w:tcPr>
            <w:tcW w:w="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Frank D. Yeary</w:t>
            </w:r>
          </w:p>
        </w:tc>
        <w:tc>
          <w:tcPr>
            <w:tcW w:w="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84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40" w:type="dxa"/>
            <w:vAlign w:val="bottom"/>
            <w:gridSpan w:val="2"/>
          </w:tcPr>
          <w:p>
            <w:pPr>
              <w:jc w:val="right"/>
              <w:ind w:right="2453"/>
              <w:spacing w:after="0"/>
              <w:rPr>
                <w:sz w:val="20"/>
                <w:szCs w:val="20"/>
                <w:color w:val="auto"/>
              </w:rPr>
            </w:pPr>
            <w:r>
              <w:rPr>
                <w:rFonts w:ascii="Times New Roman" w:cs="Times New Roman" w:eastAsia="Times New Roman" w:hAnsi="Times New Roman"/>
                <w:sz w:val="17"/>
                <w:szCs w:val="17"/>
                <w:color w:val="auto"/>
              </w:rPr>
              <w:t>140</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5" w:right="9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b w:val="1"/>
          <w:bCs w:val="1"/>
          <w:color w:val="auto"/>
        </w:rPr>
        <w:t>EXHIBIT 10.10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MOBILEYE GLOBAL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2022 EQUITY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AGREEMENT</w:t>
      </w:r>
    </w:p>
    <w:p>
      <w:pPr>
        <w:spacing w:after="0" w:line="216" w:lineRule="exact"/>
        <w:rPr>
          <w:sz w:val="20"/>
          <w:szCs w:val="20"/>
          <w:color w:val="auto"/>
        </w:rPr>
      </w:pPr>
    </w:p>
    <w:p>
      <w:pPr>
        <w:jc w:val="both"/>
        <w:ind w:firstLine="634"/>
        <w:spacing w:after="0" w:line="248" w:lineRule="auto"/>
        <w:tabs>
          <w:tab w:leader="none" w:pos="125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Terms of Restricted Stock Unit</w:t>
      </w:r>
      <w:r>
        <w:rPr>
          <w:rFonts w:ascii="Times New Roman" w:cs="Times New Roman" w:eastAsia="Times New Roman" w:hAnsi="Times New Roman"/>
          <w:sz w:val="19"/>
          <w:szCs w:val="19"/>
          <w:color w:val="auto"/>
        </w:rPr>
        <w:t>. This Restricted Stock Unit Agreement, including any appendix attached hereto (this Restricted Stock Unit Agreement and such appendix, together,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the Restricted Stock Unit Notice of Grant delivered online by logging into the E*TRADE Financial Corporation website (or the website of the applicable vendor as may be in effect from time to time) (the “</w:t>
      </w:r>
      <w:r>
        <w:rPr>
          <w:rFonts w:ascii="Times New Roman" w:cs="Times New Roman" w:eastAsia="Times New Roman" w:hAnsi="Times New Roman"/>
          <w:sz w:val="19"/>
          <w:szCs w:val="19"/>
          <w:b w:val="1"/>
          <w:bCs w:val="1"/>
          <w:color w:val="auto"/>
        </w:rPr>
        <w:t>Notice of Grant</w:t>
      </w:r>
      <w:r>
        <w:rPr>
          <w:rFonts w:ascii="Times New Roman" w:cs="Times New Roman" w:eastAsia="Times New Roman" w:hAnsi="Times New Roman"/>
          <w:sz w:val="19"/>
          <w:szCs w:val="19"/>
          <w:color w:val="auto"/>
        </w:rPr>
        <w:t>”) and the Mobileye Global Inc. 2022 Equity Incentive Plan (the “</w:t>
      </w:r>
      <w:r>
        <w:rPr>
          <w:rFonts w:ascii="Times New Roman" w:cs="Times New Roman" w:eastAsia="Times New Roman" w:hAnsi="Times New Roman"/>
          <w:sz w:val="19"/>
          <w:szCs w:val="19"/>
          <w:b w:val="1"/>
          <w:bCs w:val="1"/>
          <w:color w:val="auto"/>
        </w:rPr>
        <w:t>2022 Plan</w:t>
      </w:r>
      <w:r>
        <w:rPr>
          <w:rFonts w:ascii="Times New Roman" w:cs="Times New Roman" w:eastAsia="Times New Roman" w:hAnsi="Times New Roman"/>
          <w:sz w:val="19"/>
          <w:szCs w:val="19"/>
          <w:color w:val="auto"/>
        </w:rPr>
        <w:t>”), as such may be amended from time to time, constitute the entire understanding between you, Mobileye Global Inc.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and the Subsidiary that employs you or you provide services for (the “</w:t>
      </w:r>
      <w:r>
        <w:rPr>
          <w:rFonts w:ascii="Times New Roman" w:cs="Times New Roman" w:eastAsia="Times New Roman" w:hAnsi="Times New Roman"/>
          <w:sz w:val="19"/>
          <w:szCs w:val="19"/>
          <w:b w:val="1"/>
          <w:bCs w:val="1"/>
          <w:color w:val="auto"/>
        </w:rPr>
        <w:t>Employer</w:t>
      </w:r>
      <w:r>
        <w:rPr>
          <w:rFonts w:ascii="Times New Roman" w:cs="Times New Roman" w:eastAsia="Times New Roman" w:hAnsi="Times New Roman"/>
          <w:sz w:val="19"/>
          <w:szCs w:val="19"/>
          <w:color w:val="auto"/>
        </w:rPr>
        <w:t>”), regarding the Restricted Stock Units (“</w:t>
      </w:r>
      <w:r>
        <w:rPr>
          <w:rFonts w:ascii="Times New Roman" w:cs="Times New Roman" w:eastAsia="Times New Roman" w:hAnsi="Times New Roman"/>
          <w:sz w:val="19"/>
          <w:szCs w:val="19"/>
          <w:b w:val="1"/>
          <w:bCs w:val="1"/>
          <w:color w:val="auto"/>
        </w:rPr>
        <w:t>RSUs</w:t>
      </w:r>
      <w:r>
        <w:rPr>
          <w:rFonts w:ascii="Times New Roman" w:cs="Times New Roman" w:eastAsia="Times New Roman" w:hAnsi="Times New Roman"/>
          <w:sz w:val="19"/>
          <w:szCs w:val="19"/>
          <w:color w:val="auto"/>
        </w:rPr>
        <w:t>”) identified in your Notice of Grant. The RSUs granted to you are effective as of the grant date set forth in the Notice of Grant (the “</w:t>
      </w:r>
      <w:r>
        <w:rPr>
          <w:rFonts w:ascii="Times New Roman" w:cs="Times New Roman" w:eastAsia="Times New Roman" w:hAnsi="Times New Roman"/>
          <w:sz w:val="19"/>
          <w:szCs w:val="19"/>
          <w:b w:val="1"/>
          <w:bCs w:val="1"/>
          <w:color w:val="auto"/>
        </w:rPr>
        <w:t>Grant Date</w:t>
      </w:r>
      <w:r>
        <w:rPr>
          <w:rFonts w:ascii="Times New Roman" w:cs="Times New Roman" w:eastAsia="Times New Roman" w:hAnsi="Times New Roman"/>
          <w:sz w:val="19"/>
          <w:szCs w:val="19"/>
          <w:color w:val="auto"/>
        </w:rPr>
        <w:t>”). If there is any conflict between the terms in this Agreement and the 2022 Plan, the terms of the 2022 Plan will prevail. Capitalized terms not explicitly defined in this Agreement or in the Notice of Grant but defined in the 2022 Plan will have the same definitions as in the 2022 Plan.</w:t>
      </w:r>
    </w:p>
    <w:p>
      <w:pPr>
        <w:spacing w:after="0" w:line="178" w:lineRule="exact"/>
        <w:rPr>
          <w:rFonts w:ascii="Times New Roman" w:cs="Times New Roman" w:eastAsia="Times New Roman" w:hAnsi="Times New Roman"/>
          <w:sz w:val="19"/>
          <w:szCs w:val="19"/>
          <w:color w:val="auto"/>
        </w:rPr>
      </w:pPr>
    </w:p>
    <w:p>
      <w:pPr>
        <w:jc w:val="both"/>
        <w:ind w:firstLine="634"/>
        <w:spacing w:after="0" w:line="256" w:lineRule="auto"/>
        <w:tabs>
          <w:tab w:leader="none" w:pos="125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If you are instructed by the administrators of the 2022 Plan to accept this Agreement and you fail to do so in the manner specified by the administrators within the earlier of (i) the first vest date or (ii) 180 days following the Grant Date, the RSUs identified in your Notice of Grant will be cancelled, except as otherwise determined by the Corporation in its sole discretion.</w:t>
      </w:r>
    </w:p>
    <w:p>
      <w:pPr>
        <w:spacing w:after="0" w:line="168" w:lineRule="exact"/>
        <w:rPr>
          <w:rFonts w:ascii="Times New Roman" w:cs="Times New Roman" w:eastAsia="Times New Roman" w:hAnsi="Times New Roman"/>
          <w:sz w:val="19"/>
          <w:szCs w:val="19"/>
          <w:color w:val="auto"/>
        </w:rPr>
      </w:pPr>
    </w:p>
    <w:p>
      <w:pPr>
        <w:jc w:val="both"/>
        <w:ind w:firstLine="634"/>
        <w:spacing w:after="0" w:line="247" w:lineRule="auto"/>
        <w:tabs>
          <w:tab w:leader="none" w:pos="125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of RSUs</w:t>
      </w:r>
      <w:r>
        <w:rPr>
          <w:rFonts w:ascii="Times New Roman" w:cs="Times New Roman" w:eastAsia="Times New Roman" w:hAnsi="Times New Roman"/>
          <w:sz w:val="19"/>
          <w:szCs w:val="19"/>
          <w:color w:val="auto"/>
        </w:rPr>
        <w:t>. Provided that you remain continuously employed by, or continuously provide services to, the Corporation or a Subsidiary from the Grant Date specified in the Notice of Grant through each vesting date specified in the Notice of Grant, the RSUs allocated to each vesting date will vest and be converted into the right to receive the number of shares of the Corporation’s Common Stock, $0.01 par value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except as otherwise provided in this Agreement. In the event a vesting date for any RSUs falls on a weekend or any other day on which the applicable stock exchange or national market system upon which the Common Stock is traded (“</w:t>
      </w:r>
      <w:r>
        <w:rPr>
          <w:rFonts w:ascii="Times New Roman" w:cs="Times New Roman" w:eastAsia="Times New Roman" w:hAnsi="Times New Roman"/>
          <w:sz w:val="19"/>
          <w:szCs w:val="19"/>
          <w:b w:val="1"/>
          <w:bCs w:val="1"/>
          <w:color w:val="auto"/>
        </w:rPr>
        <w:t>Exchange</w:t>
      </w:r>
      <w:r>
        <w:rPr>
          <w:rFonts w:ascii="Times New Roman" w:cs="Times New Roman" w:eastAsia="Times New Roman" w:hAnsi="Times New Roman"/>
          <w:sz w:val="19"/>
          <w:szCs w:val="19"/>
          <w:color w:val="auto"/>
        </w:rPr>
        <w:t>”) is not open, such RSUs will vest on the vesting date specified in the Notice of Grant, but the Market Value (as defined in the 2022 Plan) of such vested RSUs, including for purposes of tax withholding and reporting, will be determined as of the next following Exchange trading day; provided, however, that if you are designated by the Board of Directors to be an “officer” as defined in Rule 16a-1(f) of the Securities Exchange Act of 1934 (a “</w:t>
      </w:r>
      <w:r>
        <w:rPr>
          <w:rFonts w:ascii="Times New Roman" w:cs="Times New Roman" w:eastAsia="Times New Roman" w:hAnsi="Times New Roman"/>
          <w:sz w:val="19"/>
          <w:szCs w:val="19"/>
          <w:b w:val="1"/>
          <w:bCs w:val="1"/>
          <w:color w:val="auto"/>
        </w:rPr>
        <w:t>Section 16 Officer</w:t>
      </w:r>
      <w:r>
        <w:rPr>
          <w:rFonts w:ascii="Times New Roman" w:cs="Times New Roman" w:eastAsia="Times New Roman" w:hAnsi="Times New Roman"/>
          <w:sz w:val="19"/>
          <w:szCs w:val="19"/>
          <w:color w:val="auto"/>
        </w:rPr>
        <w:t>”), the foregoing shall not apply, and your affected RSUs’ will vest on the next following Exchange trading day and the Market Value of such vested RSUs will be determined as of the date the RSUs vested. The number of shares of Common Stock into which RSUs convert as specified in the Notice of Grant will be adjusted for stock splits and similar matters as specified in and pursuant to the 2022 Plan.</w:t>
      </w:r>
    </w:p>
    <w:p>
      <w:pPr>
        <w:spacing w:after="0" w:line="181" w:lineRule="exact"/>
        <w:rPr>
          <w:sz w:val="20"/>
          <w:szCs w:val="20"/>
          <w:color w:val="auto"/>
        </w:rPr>
      </w:pPr>
    </w:p>
    <w:p>
      <w:pPr>
        <w:jc w:val="both"/>
        <w:ind w:firstLine="1257"/>
        <w:spacing w:after="0" w:line="262" w:lineRule="auto"/>
        <w:rPr>
          <w:sz w:val="20"/>
          <w:szCs w:val="20"/>
          <w:color w:val="auto"/>
        </w:rPr>
      </w:pPr>
      <w:r>
        <w:rPr>
          <w:rFonts w:ascii="Times New Roman" w:cs="Times New Roman" w:eastAsia="Times New Roman" w:hAnsi="Times New Roman"/>
          <w:sz w:val="19"/>
          <w:szCs w:val="19"/>
          <w:color w:val="auto"/>
        </w:rPr>
        <w:t>RSUs will vest to the extent provided in and in accordance with the terms of the Notice of Grant and this Agreement. If your status as an employee, Consultant or Outside Director terminates for any reason except death or Disablement (defined below), prior to the vesting dates set forth in your Notice of Grant, your unvested RSUs will be cancelled.</w:t>
      </w:r>
    </w:p>
    <w:p>
      <w:pPr>
        <w:spacing w:after="0" w:line="162" w:lineRule="exact"/>
        <w:rPr>
          <w:sz w:val="20"/>
          <w:szCs w:val="20"/>
          <w:color w:val="auto"/>
        </w:rPr>
      </w:pPr>
    </w:p>
    <w:p>
      <w:pPr>
        <w:jc w:val="both"/>
        <w:ind w:firstLine="625"/>
        <w:spacing w:after="0" w:line="250" w:lineRule="auto"/>
        <w:tabs>
          <w:tab w:leader="none" w:pos="1257"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into Common Stock</w:t>
      </w:r>
      <w:r>
        <w:rPr>
          <w:rFonts w:ascii="Times New Roman" w:cs="Times New Roman" w:eastAsia="Times New Roman" w:hAnsi="Times New Roman"/>
          <w:sz w:val="19"/>
          <w:szCs w:val="19"/>
          <w:color w:val="auto"/>
        </w:rPr>
        <w:t>. Shares of Common Stock will be issued or become free of restrictions as soon as practicable following vesting of the RSUs, provided that you have satisfied your tax withholding obligations as specified under Section 9 of this Agreement and you have completed, signed and returned any documents and taken any additional action that the Corporation deems appropriate to enable it to accomplish the delivery of the shares of Common Stock. The shares of Common Stock will be issued in your name (or may be issued to your executor or personal representative, in the event of your death or Disablement), and may be effected by recording shares on the stock records of the Corporation or by crediting shares in an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749300</wp:posOffset>
            </wp:positionV>
            <wp:extent cx="6304915"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43" w:name="page144"/>
    <w:bookmarkEnd w:id="143"/>
    <w:p>
      <w:pPr>
        <w:jc w:val="both"/>
        <w:spacing w:after="0" w:line="280" w:lineRule="auto"/>
        <w:rPr>
          <w:sz w:val="20"/>
          <w:szCs w:val="20"/>
          <w:color w:val="auto"/>
        </w:rPr>
      </w:pPr>
      <w:r>
        <w:rPr>
          <w:rFonts w:ascii="Times New Roman" w:cs="Times New Roman" w:eastAsia="Times New Roman" w:hAnsi="Times New Roman"/>
          <w:sz w:val="19"/>
          <w:szCs w:val="19"/>
          <w:color w:val="auto"/>
        </w:rPr>
        <w:t>established on your behalf with a brokerage firm or other custodian, in each case as determined by the Corporation. In no event will the Corporation be obligated to issue a fractional share.</w:t>
      </w:r>
    </w:p>
    <w:p>
      <w:pPr>
        <w:spacing w:after="0" w:line="145" w:lineRule="exact"/>
        <w:rPr>
          <w:sz w:val="20"/>
          <w:szCs w:val="20"/>
          <w:color w:val="auto"/>
        </w:rPr>
      </w:pPr>
    </w:p>
    <w:p>
      <w:pPr>
        <w:jc w:val="both"/>
        <w:ind w:firstLine="1257"/>
        <w:spacing w:after="0" w:line="251" w:lineRule="auto"/>
        <w:rPr>
          <w:sz w:val="20"/>
          <w:szCs w:val="20"/>
          <w:color w:val="auto"/>
        </w:rPr>
      </w:pPr>
      <w:r>
        <w:rPr>
          <w:rFonts w:ascii="Times New Roman" w:cs="Times New Roman" w:eastAsia="Times New Roman" w:hAnsi="Times New Roman"/>
          <w:sz w:val="19"/>
          <w:szCs w:val="19"/>
          <w:color w:val="auto"/>
        </w:rPr>
        <w:t>Notwithstanding the foregoing, (i) the Corporation will not be obligated to deliver any shares of the Common Stock during any period when the Corporation determines that the conversion of a RSU or the delivery of shares hereunder would violate any laws of the United States or your country of residence and/or employment and/or may issue shares subject to any restrictive legends that, as determined by the Corporation’s counsel, is necessary to comply with securities or other regulatory requirements, and (ii) the date on which shares are issued may include a delay in order to provide the Corporation such time as it determines appropriate to address tax withholding and other administrative matters.</w:t>
      </w:r>
    </w:p>
    <w:p>
      <w:pPr>
        <w:spacing w:after="0" w:line="175" w:lineRule="exact"/>
        <w:rPr>
          <w:sz w:val="20"/>
          <w:szCs w:val="20"/>
          <w:color w:val="auto"/>
        </w:rPr>
      </w:pPr>
    </w:p>
    <w:p>
      <w:pPr>
        <w:jc w:val="both"/>
        <w:ind w:firstLine="634"/>
        <w:spacing w:after="0" w:line="247" w:lineRule="auto"/>
        <w:tabs>
          <w:tab w:leader="none" w:pos="125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Suspension or Termination of RSU for Misconduct</w:t>
      </w:r>
      <w:r>
        <w:rPr>
          <w:rFonts w:ascii="Times New Roman" w:cs="Times New Roman" w:eastAsia="Times New Roman" w:hAnsi="Times New Roman"/>
          <w:sz w:val="19"/>
          <w:szCs w:val="19"/>
          <w:color w:val="auto"/>
        </w:rPr>
        <w:t>. If at any time the Committee of the Board of Directors established pursuant to the 2022 Plan (the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including any Subcommittee or “Authorized Officer” (as defined in Section 8(b)(vi) of the 2022 Plan) notifies the Corporation that they reasonably believe that you have committed an act of misconduct as described in Section 8(b)(vi) of the 2022 Plan (embezzlement, fraud, dishonesty, nonpayment of any obligation owed to the Corporation or any Subsidiary, breach of fiduciary duty or deliberate disregard of Corporation rules resulting in loss, damage or injury to the Corporation or any Subsidiary, an unauthorized disclosure of any Corporation trade secret or confidential information, any conduct constituting unfair competition, inducing any customer to breach a contract with the Corporation or any Subsidiary or inducing any principal for whom the Corporation or any Subsidiary acts as agent to terminate such agency relationship), the vesting of your RSUs may be suspended pending a determination of whether an act of misconduct has been committed. If the Corporation determines that you have committed an act of misconduct, all RSUs not vested as of the date the Corporation was notified that you may have committed an act of misconduct will be cancelled and neither you nor any beneficiary will be entitled to any claim with respect to the RSUs whatsoever. Any determination by the Committee or an Authorized Officer with respect to the foregoing will be final, conclusive, and binding on all interested parties.</w:t>
      </w:r>
    </w:p>
    <w:p>
      <w:pPr>
        <w:spacing w:after="0" w:line="181" w:lineRule="exact"/>
        <w:rPr>
          <w:rFonts w:ascii="Times New Roman" w:cs="Times New Roman" w:eastAsia="Times New Roman" w:hAnsi="Times New Roman"/>
          <w:sz w:val="19"/>
          <w:szCs w:val="19"/>
          <w:color w:val="auto"/>
        </w:rPr>
      </w:pPr>
    </w:p>
    <w:p>
      <w:pPr>
        <w:jc w:val="both"/>
        <w:ind w:firstLine="634"/>
        <w:spacing w:after="0" w:line="249" w:lineRule="auto"/>
        <w:tabs>
          <w:tab w:leader="none" w:pos="125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Employment/Service</w:t>
      </w:r>
      <w:r>
        <w:rPr>
          <w:rFonts w:ascii="Times New Roman" w:cs="Times New Roman" w:eastAsia="Times New Roman" w:hAnsi="Times New Roman"/>
          <w:sz w:val="19"/>
          <w:szCs w:val="19"/>
          <w:color w:val="auto"/>
        </w:rPr>
        <w:t>. Except as expressly provided otherwise in this Agreement, if your employment by, or service with, the Corporation or any Subsidiary terminates for any reason, whether voluntarily or involuntarily, other than on account of death or Disablement (as defined in Section 8), all RSUs not then vested will be cancelled on the date of such termination, regardless of whether such termination is as a result of a divestiture or otherwise. For purposes of this Section 6, your employment or service with any partnership, joint venture or corporation not meeting the requirements of a Subsidiary in which the Corporation or a Subsidiary is a party will be considered employment or service for purposes of this provision if either (a) the entity is designated by the Committee as a Subsidiary for purposes of this provision or (b) you are specifically designated as an employee, Consultant or Outside Director of a Subsidiary for purposes of this provision.</w:t>
      </w:r>
    </w:p>
    <w:p>
      <w:pPr>
        <w:spacing w:after="0" w:line="178" w:lineRule="exact"/>
        <w:rPr>
          <w:sz w:val="20"/>
          <w:szCs w:val="20"/>
          <w:color w:val="auto"/>
        </w:rPr>
      </w:pPr>
    </w:p>
    <w:p>
      <w:pPr>
        <w:jc w:val="both"/>
        <w:ind w:firstLine="1257"/>
        <w:spacing w:after="0" w:line="253" w:lineRule="auto"/>
        <w:rPr>
          <w:sz w:val="20"/>
          <w:szCs w:val="20"/>
          <w:color w:val="auto"/>
        </w:rPr>
      </w:pPr>
      <w:r>
        <w:rPr>
          <w:rFonts w:ascii="Times New Roman" w:cs="Times New Roman" w:eastAsia="Times New Roman" w:hAnsi="Times New Roman"/>
          <w:sz w:val="19"/>
          <w:szCs w:val="19"/>
          <w:color w:val="auto"/>
        </w:rPr>
        <w:t>For purposes of this provision, your employment or service is not deemed terminated if, prior to 60 days after the date of termination from the Corporation or a Subsidiary, you are rehired by the Corporation or a Subsidiary on a basis that would make you eligible for future RSU grants by the Corporation. In addition, your transfer from the Corporation to any Subsidiary or from any one Subsidiary to another, or from a Subsidiary to the Corporation is not deemed a termination of employment or service.</w:t>
      </w:r>
    </w:p>
    <w:p>
      <w:pPr>
        <w:spacing w:after="0" w:line="171" w:lineRule="exact"/>
        <w:rPr>
          <w:sz w:val="20"/>
          <w:szCs w:val="20"/>
          <w:color w:val="auto"/>
        </w:rPr>
      </w:pPr>
    </w:p>
    <w:p>
      <w:pPr>
        <w:ind w:firstLine="634"/>
        <w:spacing w:after="0" w:line="280" w:lineRule="auto"/>
        <w:tabs>
          <w:tab w:leader="none" w:pos="125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w:t>
      </w:r>
      <w:r>
        <w:rPr>
          <w:rFonts w:ascii="Times New Roman" w:cs="Times New Roman" w:eastAsia="Times New Roman" w:hAnsi="Times New Roman"/>
          <w:sz w:val="19"/>
          <w:szCs w:val="19"/>
          <w:color w:val="auto"/>
        </w:rPr>
        <w:t>. Except as expressly provided otherwise in this Agreement, if you die while employed by, or providing services to, the Corporation or any Subsidiary, your RSUs will become 100% vested.</w:t>
      </w:r>
    </w:p>
    <w:p>
      <w:pPr>
        <w:spacing w:after="0" w:line="145" w:lineRule="exact"/>
        <w:rPr>
          <w:rFonts w:ascii="Times New Roman" w:cs="Times New Roman" w:eastAsia="Times New Roman" w:hAnsi="Times New Roman"/>
          <w:sz w:val="19"/>
          <w:szCs w:val="19"/>
          <w:color w:val="auto"/>
        </w:rPr>
      </w:pPr>
    </w:p>
    <w:p>
      <w:pPr>
        <w:jc w:val="both"/>
        <w:ind w:firstLine="634"/>
        <w:spacing w:after="0" w:line="256" w:lineRule="auto"/>
        <w:tabs>
          <w:tab w:leader="none" w:pos="1257"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Disablement</w:t>
      </w:r>
      <w:r>
        <w:rPr>
          <w:rFonts w:ascii="Times New Roman" w:cs="Times New Roman" w:eastAsia="Times New Roman" w:hAnsi="Times New Roman"/>
          <w:sz w:val="19"/>
          <w:szCs w:val="19"/>
          <w:color w:val="auto"/>
        </w:rPr>
        <w:t>. Except as expressly provided otherwise in this Agreement, if your employment or service terminates as a result of Disablement, your RSUs will become 100% vested upon the later of the date of your termination due to your Disablement or the date of determination of your Disablement. For purposes of this Agreement, “</w:t>
      </w:r>
      <w:r>
        <w:rPr>
          <w:rFonts w:ascii="Times New Roman" w:cs="Times New Roman" w:eastAsia="Times New Roman" w:hAnsi="Times New Roman"/>
          <w:sz w:val="19"/>
          <w:szCs w:val="19"/>
          <w:b w:val="1"/>
          <w:bCs w:val="1"/>
          <w:color w:val="auto"/>
        </w:rPr>
        <w:t>Disablement</w:t>
      </w:r>
      <w:r>
        <w:rPr>
          <w:rFonts w:ascii="Times New Roman" w:cs="Times New Roman" w:eastAsia="Times New Roman" w:hAnsi="Times New Roman"/>
          <w:sz w:val="19"/>
          <w:szCs w:val="19"/>
          <w:color w:val="auto"/>
        </w:rPr>
        <w:t>” will mean a physical condition arising from an illness or injury, which renders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44" w:name="page145"/>
    <w:bookmarkEnd w:id="144"/>
    <w:p>
      <w:pPr>
        <w:spacing w:after="0" w:line="280" w:lineRule="auto"/>
        <w:rPr>
          <w:sz w:val="20"/>
          <w:szCs w:val="20"/>
          <w:color w:val="auto"/>
        </w:rPr>
      </w:pPr>
      <w:r>
        <w:rPr>
          <w:rFonts w:ascii="Times New Roman" w:cs="Times New Roman" w:eastAsia="Times New Roman" w:hAnsi="Times New Roman"/>
          <w:sz w:val="19"/>
          <w:szCs w:val="19"/>
          <w:color w:val="auto"/>
        </w:rPr>
        <w:t>incapable of performing work in your regular occupation, as determined by the Corporation. Your regular occupation is the occupation you routinely perform at the time your Disablement began.</w:t>
      </w:r>
    </w:p>
    <w:p>
      <w:pPr>
        <w:spacing w:after="0" w:line="145" w:lineRule="exact"/>
        <w:rPr>
          <w:sz w:val="20"/>
          <w:szCs w:val="20"/>
          <w:color w:val="auto"/>
        </w:rPr>
      </w:pPr>
    </w:p>
    <w:p>
      <w:pPr>
        <w:ind w:left="1260" w:hanging="626"/>
        <w:spacing w:after="0"/>
        <w:tabs>
          <w:tab w:leader="none" w:pos="12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left="640" w:firstLine="623"/>
        <w:spacing w:after="0" w:line="251" w:lineRule="auto"/>
        <w:tabs>
          <w:tab w:leader="none" w:pos="189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RSUs are subject to tax withholding obligations, the taxable amount generally will be based on the Market Value on the date of the taxable event. RSUs are taxable in accordance with the existing or future tax laws of the country or countries in which you are subject to tax such as the country or countries in which you reside and/or are employed on the Grant Date, vest dates, or during the vesting period. Your RSUs may be taxable in more than one country, based on your country of citizenship and/or the countries in which you resided or were employed on the Grant Date, vest date or during the vesting or other relevant period.</w:t>
      </w:r>
    </w:p>
    <w:p>
      <w:pPr>
        <w:spacing w:after="0" w:line="174" w:lineRule="exact"/>
        <w:rPr>
          <w:rFonts w:ascii="Times New Roman" w:cs="Times New Roman" w:eastAsia="Times New Roman" w:hAnsi="Times New Roman"/>
          <w:sz w:val="19"/>
          <w:szCs w:val="19"/>
          <w:color w:val="auto"/>
        </w:rPr>
      </w:pPr>
    </w:p>
    <w:p>
      <w:pPr>
        <w:jc w:val="both"/>
        <w:ind w:left="640" w:firstLine="623"/>
        <w:spacing w:after="0" w:line="253" w:lineRule="auto"/>
        <w:tabs>
          <w:tab w:leader="none" w:pos="189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will make arrangements satisfactory to the Corporation (or the Subsidiary that employs you, if your Subsidiary is involved in the administration of the 2022 Plan) for the payment and satisfaction of any income tax, social security tax, payroll tax, social taxes, applicable national or local taxes, or payment on account of other tax related to withholding obligations that arise by reason of granting or vesting of RSUs or sale of Common Stock shares from vested RSUs (whichever is applicable).</w:t>
      </w:r>
    </w:p>
    <w:p>
      <w:pPr>
        <w:spacing w:after="0" w:line="171" w:lineRule="exact"/>
        <w:rPr>
          <w:rFonts w:ascii="Times New Roman" w:cs="Times New Roman" w:eastAsia="Times New Roman" w:hAnsi="Times New Roman"/>
          <w:sz w:val="19"/>
          <w:szCs w:val="19"/>
          <w:color w:val="auto"/>
        </w:rPr>
      </w:pPr>
    </w:p>
    <w:p>
      <w:pPr>
        <w:jc w:val="both"/>
        <w:ind w:left="640" w:firstLine="623"/>
        <w:spacing w:after="0" w:line="262" w:lineRule="auto"/>
        <w:tabs>
          <w:tab w:leader="none" w:pos="189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will not be required to issue or lift any restrictions on shares of the Common Stock pursuant to your RSUs or to recognize any purported transfer of shares of the Common Stock until such obligations are satisfied.</w:t>
      </w:r>
    </w:p>
    <w:p>
      <w:pPr>
        <w:spacing w:after="0" w:line="162" w:lineRule="exact"/>
        <w:rPr>
          <w:rFonts w:ascii="Times New Roman" w:cs="Times New Roman" w:eastAsia="Times New Roman" w:hAnsi="Times New Roman"/>
          <w:sz w:val="19"/>
          <w:szCs w:val="19"/>
          <w:color w:val="auto"/>
        </w:rPr>
      </w:pPr>
    </w:p>
    <w:p>
      <w:pPr>
        <w:jc w:val="both"/>
        <w:ind w:left="640" w:firstLine="623"/>
        <w:spacing w:after="0" w:line="248" w:lineRule="auto"/>
        <w:tabs>
          <w:tab w:leader="none" w:pos="189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provided otherwise by the Committee, these obligations will be satisfied by the Corporation withholding a number of shares of Common Stock that would otherwise be issued under the RSUs that the Corporation determines has a Market Value sufficient to meet the maximum tax withholding obligations in all relevant jurisdictions, reduced by the amount of any withholding obligation you have already satisfied by cash payment to the Corporation. In the event that the Committee provides that these obligations will not be satisfied under the method described in the previous sentence, you authorize E*TRADE Financial Corporate Services, Inc. and E*TRADE Securities LLC (“</w:t>
      </w:r>
      <w:r>
        <w:rPr>
          <w:rFonts w:ascii="Times New Roman" w:cs="Times New Roman" w:eastAsia="Times New Roman" w:hAnsi="Times New Roman"/>
          <w:sz w:val="19"/>
          <w:szCs w:val="19"/>
          <w:b w:val="1"/>
          <w:bCs w:val="1"/>
          <w:color w:val="auto"/>
        </w:rPr>
        <w:t>E*Trade</w:t>
      </w:r>
      <w:r>
        <w:rPr>
          <w:rFonts w:ascii="Times New Roman" w:cs="Times New Roman" w:eastAsia="Times New Roman" w:hAnsi="Times New Roman"/>
          <w:sz w:val="19"/>
          <w:szCs w:val="19"/>
          <w:color w:val="auto"/>
        </w:rPr>
        <w:t>”), or any successor plan administrator, to sell a number of shares of Common Stock that are issued under the RSUs, which the Corporation determines is sufficient to generate an amount that meets the tax withholding obligations plus additional shares to account for rounding and market fluctuations, and to pay such tax withholding to the Corporation for remittance to the appropriate tax authorities. The shares may be sold as part of a block trade with other Participants in which all Participants receive an average price.</w:t>
      </w:r>
    </w:p>
    <w:p>
      <w:pPr>
        <w:spacing w:after="0" w:line="175" w:lineRule="exact"/>
        <w:rPr>
          <w:rFonts w:ascii="Times New Roman" w:cs="Times New Roman" w:eastAsia="Times New Roman" w:hAnsi="Times New Roman"/>
          <w:sz w:val="19"/>
          <w:szCs w:val="19"/>
          <w:color w:val="auto"/>
        </w:rPr>
      </w:pPr>
    </w:p>
    <w:p>
      <w:pPr>
        <w:jc w:val="both"/>
        <w:ind w:left="640" w:firstLine="623"/>
        <w:spacing w:after="0" w:line="251" w:lineRule="auto"/>
        <w:tabs>
          <w:tab w:leader="none" w:pos="189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are ultimately liable and responsible for all taxes owed by you in connection with your RSUs, regardless of any action the Corporation takes or any transaction pursuant to this Section 9 with respect to any tax withholding obligations that arise in connection with the RSUs. The Corporation makes no representation or undertaking regarding the treatment of any tax withholding in connection with the grant, issuance, vesting or settlement of the RSUs or the subsequent sale of any of the shares of Common Stock underlying the RSUs that vest. The Corporation does not commit and is under no obligation to structure the RSU program to reduce or eliminate your tax liability.</w:t>
      </w:r>
    </w:p>
    <w:p>
      <w:pPr>
        <w:spacing w:after="0" w:line="174" w:lineRule="exact"/>
        <w:rPr>
          <w:rFonts w:ascii="Times New Roman" w:cs="Times New Roman" w:eastAsia="Times New Roman" w:hAnsi="Times New Roman"/>
          <w:sz w:val="19"/>
          <w:szCs w:val="19"/>
          <w:color w:val="auto"/>
        </w:rPr>
      </w:pPr>
    </w:p>
    <w:p>
      <w:pPr>
        <w:jc w:val="both"/>
        <w:ind w:firstLine="634"/>
        <w:spacing w:after="0" w:line="256" w:lineRule="auto"/>
        <w:tabs>
          <w:tab w:leader="none" w:pos="125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as Stockholder</w:t>
      </w:r>
      <w:r>
        <w:rPr>
          <w:rFonts w:ascii="Times New Roman" w:cs="Times New Roman" w:eastAsia="Times New Roman" w:hAnsi="Times New Roman"/>
          <w:sz w:val="19"/>
          <w:szCs w:val="19"/>
          <w:color w:val="auto"/>
        </w:rPr>
        <w:t>. Your RSUs may not be otherwise sold, assigned, conveyed, gifted, pledged, hypothecated or otherwise transferred in any manner, other than by will or the laws of descent and distribution or as permitted by Rule 701 of the Securities Act of 1933. Any attempt to transfer, assign, hypothecate or otherwise dispose of your RSUs other than as permitted above, will be void and unenforceable against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45" w:name="page146"/>
    <w:bookmarkEnd w:id="145"/>
    <w:p>
      <w:pPr>
        <w:jc w:val="both"/>
        <w:ind w:firstLine="620"/>
        <w:spacing w:after="0" w:line="251" w:lineRule="auto"/>
        <w:rPr>
          <w:sz w:val="20"/>
          <w:szCs w:val="20"/>
          <w:color w:val="auto"/>
        </w:rPr>
      </w:pPr>
      <w:r>
        <w:rPr>
          <w:rFonts w:ascii="Times New Roman" w:cs="Times New Roman" w:eastAsia="Times New Roman" w:hAnsi="Times New Roman"/>
          <w:sz w:val="19"/>
          <w:szCs w:val="19"/>
          <w:color w:val="auto"/>
        </w:rPr>
        <w:t>You will have the rights of a stockholder only after shares of the Common Stock have been issued to you following vesting of your RSUs and satisfaction of all other conditions to the issuance of those shares as set forth in this Agreement. RSUs will not entitle you to any rights of a stockholder of Common Stock and there are no voting or dividend rights with respect to your RSUs. RSUs will remain terminable pursuant to this Agreement at all times until they vest and convert into shares. As a condition to having the right to receive shares of Common Stock pursuant to your RSUs, you acknowledge that unvested RSUs will have no value for purposes of any aspect of your employment or service relationship with the Corporation or a Subsidiary.</w:t>
      </w:r>
    </w:p>
    <w:p>
      <w:pPr>
        <w:spacing w:after="0" w:line="175" w:lineRule="exact"/>
        <w:rPr>
          <w:sz w:val="20"/>
          <w:szCs w:val="20"/>
          <w:color w:val="auto"/>
        </w:rPr>
      </w:pPr>
    </w:p>
    <w:p>
      <w:pPr>
        <w:jc w:val="both"/>
        <w:ind w:firstLine="634"/>
        <w:spacing w:after="0" w:line="253" w:lineRule="auto"/>
        <w:tabs>
          <w:tab w:leader="none" w:pos="125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Disputes</w:t>
      </w:r>
      <w:r>
        <w:rPr>
          <w:rFonts w:ascii="Times New Roman" w:cs="Times New Roman" w:eastAsia="Times New Roman" w:hAnsi="Times New Roman"/>
          <w:sz w:val="19"/>
          <w:szCs w:val="19"/>
          <w:color w:val="auto"/>
        </w:rPr>
        <w:t>. Any question concerning the interpretation of this Agreement, your Notice of Grant, the RSUs or the 2022 Plan, any adjustments required to be made thereunder, and any controversy that may arise under this Agreement, your Notice of Grant, the RSUs or the 2022 Plan will be determined by the Committee (including any person(s) to whom the Committee has delegated its authority) in its sole and absolute discretion. Such decision by the Committee will be final and binding unless determined pursuant to Section 14(f) to have been arbitrary and capricious.</w:t>
      </w:r>
    </w:p>
    <w:p>
      <w:pPr>
        <w:spacing w:after="0" w:line="171" w:lineRule="exact"/>
        <w:rPr>
          <w:rFonts w:ascii="Times New Roman" w:cs="Times New Roman" w:eastAsia="Times New Roman" w:hAnsi="Times New Roman"/>
          <w:sz w:val="19"/>
          <w:szCs w:val="19"/>
          <w:color w:val="auto"/>
        </w:rPr>
      </w:pPr>
    </w:p>
    <w:p>
      <w:pPr>
        <w:ind w:firstLine="634"/>
        <w:spacing w:after="0" w:line="280" w:lineRule="auto"/>
        <w:tabs>
          <w:tab w:leader="none" w:pos="125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The 2022 Plan and RSUs may be amended or altered by the Committee or the Board of Directors to the extent provided in the 2022 Plan.</w:t>
      </w:r>
    </w:p>
    <w:p>
      <w:pPr>
        <w:spacing w:after="0" w:line="141" w:lineRule="exact"/>
        <w:rPr>
          <w:rFonts w:ascii="Times New Roman" w:cs="Times New Roman" w:eastAsia="Times New Roman" w:hAnsi="Times New Roman"/>
          <w:sz w:val="19"/>
          <w:szCs w:val="19"/>
          <w:color w:val="auto"/>
        </w:rPr>
      </w:pPr>
    </w:p>
    <w:p>
      <w:pPr>
        <w:jc w:val="both"/>
        <w:ind w:firstLine="634"/>
        <w:spacing w:after="0" w:line="258" w:lineRule="auto"/>
        <w:tabs>
          <w:tab w:leader="none" w:pos="125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Data Privacy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You explicitly and unambiguously consent to the collection, use and transfer, in electronic or other form, of your personal data as described in this document and any other RSU grant materials (“Data”) by and among, as applicable, the Corporation, the Employer and any other Subsidiary for the exclusive purpose of implementing, administering and managing your participation in the 2022 Plan.</w:t>
      </w:r>
    </w:p>
    <w:p>
      <w:pPr>
        <w:spacing w:after="0" w:line="161" w:lineRule="exact"/>
        <w:rPr>
          <w:sz w:val="20"/>
          <w:szCs w:val="20"/>
          <w:color w:val="auto"/>
        </w:rPr>
      </w:pPr>
    </w:p>
    <w:p>
      <w:pPr>
        <w:jc w:val="both"/>
        <w:ind w:firstLine="1257"/>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You hereby understand that the Corporation holds certain personal information about you, including, but not limited to, your name, home address and telephone number, date of birth, social insurance number or other identification number, salary, nationality, job title, any shares of stock or directorships held in the Corporation, details of all RSUs or any other entitlement to shares of stock awarded, canceled, exercised, vested, unvested or outstanding in your favor for the purpose of implementing, administering and managing the 2022 Plan. You hereby understand that Data will be transferred to E*Trade and any other third parties assisting in the implementation, administration and management of the 2022 Plan, that these recipients may be located in your country or elsewhere, and that the recipient’s country (e.g., the United States) may have different data privacy laws and protections than your country. You hereby understand that you may request a list with the names and addresses of any potential recipients of the Data by contacting your local human resources representative. You authorize the Corporation, E*Trade and any other possible recipients to receive, possess, use, retain and transfer the Data, in electronic or other form, for the exclusive purpose of implementing, administering and managing your participation in the 2022 Plan, including any requisite transfer of such Data as may be required to another broker or other third party with whom you may elect to deposit any shares of Common Stock acquired under your RSUs. You hereby understand that Data will be held only as long as is necessary to implement, administer and manage your participation in the 2022 Plan. You hereby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w:t>
      </w:r>
    </w:p>
    <w:p>
      <w:pPr>
        <w:spacing w:after="0" w:line="173" w:lineRule="exact"/>
        <w:rPr>
          <w:sz w:val="20"/>
          <w:szCs w:val="20"/>
          <w:color w:val="auto"/>
        </w:rPr>
      </w:pPr>
    </w:p>
    <w:p>
      <w:pPr>
        <w:jc w:val="both"/>
        <w:ind w:firstLine="1257"/>
        <w:spacing w:after="0" w:line="252" w:lineRule="auto"/>
        <w:rPr>
          <w:sz w:val="20"/>
          <w:szCs w:val="20"/>
          <w:color w:val="auto"/>
        </w:rPr>
      </w:pPr>
      <w:r>
        <w:rPr>
          <w:rFonts w:ascii="Times New Roman" w:cs="Times New Roman" w:eastAsia="Times New Roman" w:hAnsi="Times New Roman"/>
          <w:sz w:val="19"/>
          <w:szCs w:val="19"/>
          <w:b w:val="1"/>
          <w:bCs w:val="1"/>
          <w:i w:val="1"/>
          <w:iCs w:val="1"/>
          <w:color w:val="auto"/>
        </w:rPr>
        <w:t>Further, you understand that you are providing the consents herein on a purely voluntary basis. If you do not consent, or if you later seek to revoke your consent, your employment status or service with the Employer will not be affected; the only consequence of refusing or withdrawing your consent is that the Corporation would not be able to grant you RSUs or other equity awards or administer or maintain such awards. Therefore, you hereby understand that refusing or withdrawing your consent may affect your ability to participate in the 2022 Plan. For more information on the consequences of your refusal to consent or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46" w:name="page147"/>
    <w:bookmarkEnd w:id="146"/>
    <w:p>
      <w:pPr>
        <w:jc w:val="both"/>
        <w:spacing w:after="0" w:line="284" w:lineRule="auto"/>
        <w:rPr>
          <w:sz w:val="20"/>
          <w:szCs w:val="20"/>
          <w:color w:val="auto"/>
        </w:rPr>
      </w:pPr>
      <w:r>
        <w:rPr>
          <w:rFonts w:ascii="Times New Roman" w:cs="Times New Roman" w:eastAsia="Times New Roman" w:hAnsi="Times New Roman"/>
          <w:sz w:val="19"/>
          <w:szCs w:val="19"/>
          <w:b w:val="1"/>
          <w:bCs w:val="1"/>
          <w:i w:val="1"/>
          <w:iCs w:val="1"/>
          <w:color w:val="auto"/>
        </w:rPr>
        <w:t>of consent, you hereby understand that you may contact the human resources representative responsible for your country at the local or regional level.</w:t>
      </w:r>
    </w:p>
    <w:p>
      <w:pPr>
        <w:spacing w:after="0" w:line="138" w:lineRule="exact"/>
        <w:rPr>
          <w:sz w:val="20"/>
          <w:szCs w:val="20"/>
          <w:color w:val="auto"/>
        </w:rPr>
      </w:pPr>
    </w:p>
    <w:p>
      <w:pPr>
        <w:jc w:val="both"/>
        <w:ind w:firstLine="1257"/>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Finally, upon request of the Corporation or the Employer, you agree to provide an executed data privacy consent form (or any other agreements or consents) that the Corporation and/or the Employer may deem necessary to obtain from you for the purpose of administering your participation in the 2022 Plan in compliance with the data privacy laws in your country, either now or in the future. You understand and agree that you will not be able to participate in the 2022 Plan if you fail to provide any such consent or agreement requested by the Corporation and/or the Employer.</w:t>
      </w:r>
    </w:p>
    <w:p>
      <w:pPr>
        <w:spacing w:after="0" w:line="171" w:lineRule="exact"/>
        <w:rPr>
          <w:sz w:val="20"/>
          <w:szCs w:val="20"/>
          <w:color w:val="auto"/>
        </w:rPr>
      </w:pPr>
    </w:p>
    <w:p>
      <w:pPr>
        <w:ind w:left="1260" w:hanging="626"/>
        <w:spacing w:after="0"/>
        <w:tabs>
          <w:tab w:leader="none" w:pos="1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2022 Plan and Other Terms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left="640" w:firstLine="623"/>
        <w:spacing w:after="0" w:line="262" w:lineRule="auto"/>
        <w:tabs>
          <w:tab w:leader="none" w:pos="189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prior agreements, commitments or negotiations concerning the RSUs are superseded by this Agreement and your Notice of Grant. You hereby acknowledge that a copy of the 2022 Plan has been made available to you.</w:t>
      </w:r>
    </w:p>
    <w:p>
      <w:pPr>
        <w:spacing w:after="0" w:line="162" w:lineRule="exact"/>
        <w:rPr>
          <w:rFonts w:ascii="Times New Roman" w:cs="Times New Roman" w:eastAsia="Times New Roman" w:hAnsi="Times New Roman"/>
          <w:sz w:val="19"/>
          <w:szCs w:val="19"/>
          <w:color w:val="auto"/>
        </w:rPr>
      </w:pPr>
    </w:p>
    <w:p>
      <w:pPr>
        <w:jc w:val="both"/>
        <w:ind w:left="640" w:firstLine="623"/>
        <w:spacing w:after="0" w:line="256" w:lineRule="auto"/>
        <w:tabs>
          <w:tab w:leader="none" w:pos="189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RSUs to an employee, Consultant or Outside Director in any one year, or at any time, does not obligate the Corporation or any Subsidiary to make a grant in any future year or in any given amount and should not create an expectation that the Corporation or any Subsidiary might make a grant in any future year or in any given amount.</w:t>
      </w:r>
    </w:p>
    <w:p>
      <w:pPr>
        <w:spacing w:after="0" w:line="168" w:lineRule="exact"/>
        <w:rPr>
          <w:rFonts w:ascii="Times New Roman" w:cs="Times New Roman" w:eastAsia="Times New Roman" w:hAnsi="Times New Roman"/>
          <w:sz w:val="19"/>
          <w:szCs w:val="19"/>
          <w:color w:val="auto"/>
        </w:rPr>
      </w:pPr>
    </w:p>
    <w:p>
      <w:pPr>
        <w:jc w:val="both"/>
        <w:ind w:left="640" w:firstLine="623"/>
        <w:spacing w:after="0" w:line="246" w:lineRule="auto"/>
        <w:tabs>
          <w:tab w:leader="none" w:pos="189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 initial offering of the Corporation’s Shares pursuant to a registration statement filed by the Corporation with the Securities and Exchange Commission and upon request of the Corporation or the underwriters managing such offering of the Corporation’s securities, Participant hereby agrees not to sell, make any short sale of, loan, grant any option for the purchase of, or otherwise dispose of any securities of the Corporation however or whenever acquired (other than those included in the registration) without the prior written consent of the Corporation or such underwriters, as the case may be, for such period of time (not to exceed 180 days) from the effective date of such registration as may be requested by the Corporation or such managing underwriters and to execute an agreement reflecting the foregoing as may be requested by the underwriters at the time of the Corporation’s initial public offering. Notwithstanding the foregoing, if during the last 17 days of the restricted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managing underwriter, to the extent required by any Financial Industry Regulatory Authority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89" w:lineRule="exact"/>
        <w:rPr>
          <w:rFonts w:ascii="Times New Roman" w:cs="Times New Roman" w:eastAsia="Times New Roman" w:hAnsi="Times New Roman"/>
          <w:sz w:val="19"/>
          <w:szCs w:val="19"/>
          <w:color w:val="auto"/>
        </w:rPr>
      </w:pPr>
    </w:p>
    <w:p>
      <w:pPr>
        <w:jc w:val="both"/>
        <w:ind w:left="640" w:firstLine="623"/>
        <w:spacing w:after="0" w:line="250" w:lineRule="auto"/>
        <w:tabs>
          <w:tab w:leader="none" w:pos="189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if any changes in law or the financial or tax accounting rules applicable to the RSUs covered by this Agreement will occur, the Corporation may, in its sole discretion, (i) modify this Agreement to impose such restrictions or procedures with respect to the RSUs (whether vested or unvested), the shares issued or issuable pursuant to the RSUs and/or any proceeds or payments from or relating to such shares as it determines to be necessary or appropriate to comply with applicable law or to address, comply with or offset the economic effect to the Corporation of any accounting or administrative matters relating thereto, or (ii) cancel and cause a forfeiture with respect to any unvested RSUs at the time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sectPr>
      </w:pPr>
    </w:p>
    <w:bookmarkStart w:id="147" w:name="page148"/>
    <w:bookmarkEnd w:id="147"/>
    <w:p>
      <w:pPr>
        <w:ind w:left="180" w:firstLine="623"/>
        <w:spacing w:after="0" w:line="280" w:lineRule="auto"/>
        <w:tabs>
          <w:tab w:leader="none" w:pos="143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contained in this Agreement creates or implies an employment contract or term of employment upon which you may rely.</w:t>
      </w:r>
    </w:p>
    <w:p>
      <w:pPr>
        <w:spacing w:after="0" w:line="145" w:lineRule="exact"/>
        <w:rPr>
          <w:rFonts w:ascii="Times New Roman" w:cs="Times New Roman" w:eastAsia="Times New Roman" w:hAnsi="Times New Roman"/>
          <w:sz w:val="19"/>
          <w:szCs w:val="19"/>
          <w:color w:val="auto"/>
        </w:rPr>
      </w:pPr>
    </w:p>
    <w:p>
      <w:pPr>
        <w:jc w:val="both"/>
        <w:ind w:left="180" w:firstLine="623"/>
        <w:spacing w:after="0" w:line="253" w:lineRule="auto"/>
        <w:tabs>
          <w:tab w:leader="none" w:pos="143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Because this Agreement relates to terms and conditions under which you may be issued shares of Common Stock, an essential term of this Agreement is that it will be governed by the laws of the State of Delaware, without regard to choice of law principles of Delaware or other jurisdictions. Any action, suit, or proceeding relating to this Agreement or the RSUs granted hereunder will be brought in the state or federal courts of competent jurisdiction in the State of Delaware.</w:t>
      </w:r>
    </w:p>
    <w:p>
      <w:pPr>
        <w:spacing w:after="0" w:line="171" w:lineRule="exact"/>
        <w:rPr>
          <w:rFonts w:ascii="Times New Roman" w:cs="Times New Roman" w:eastAsia="Times New Roman" w:hAnsi="Times New Roman"/>
          <w:sz w:val="19"/>
          <w:szCs w:val="19"/>
          <w:color w:val="auto"/>
        </w:rPr>
      </w:pPr>
    </w:p>
    <w:p>
      <w:pPr>
        <w:jc w:val="both"/>
        <w:ind w:left="180" w:firstLine="623"/>
        <w:spacing w:after="0" w:line="262" w:lineRule="auto"/>
        <w:tabs>
          <w:tab w:leader="none" w:pos="143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or the applicable Notice of Grant, the Corporation reserves the right to reduce your RSUs if there is a change in your employment classification from a full-time employee to a part-time employee, or from a full-time employee to a Consultant or Outside Director.</w:t>
      </w:r>
    </w:p>
    <w:p>
      <w:pPr>
        <w:spacing w:after="0" w:line="162" w:lineRule="exact"/>
        <w:rPr>
          <w:rFonts w:ascii="Times New Roman" w:cs="Times New Roman" w:eastAsia="Times New Roman" w:hAnsi="Times New Roman"/>
          <w:sz w:val="19"/>
          <w:szCs w:val="19"/>
          <w:color w:val="auto"/>
        </w:rPr>
      </w:pPr>
    </w:p>
    <w:p>
      <w:pPr>
        <w:jc w:val="both"/>
        <w:ind w:left="180" w:firstLine="623"/>
        <w:spacing w:after="0" w:line="262" w:lineRule="auto"/>
        <w:tabs>
          <w:tab w:leader="none" w:pos="143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RSUs are not part of your employment or service contract (if any) with the Corporation or any Subsidiary, your salary or fees, your normal or expected compensation, or other remuneration for any purposes, including for purposes of computing severance pay or other termination compensation or indemnity.</w:t>
      </w:r>
    </w:p>
    <w:p>
      <w:pPr>
        <w:spacing w:after="0" w:line="162" w:lineRule="exact"/>
        <w:rPr>
          <w:rFonts w:ascii="Times New Roman" w:cs="Times New Roman" w:eastAsia="Times New Roman" w:hAnsi="Times New Roman"/>
          <w:sz w:val="19"/>
          <w:szCs w:val="19"/>
          <w:color w:val="auto"/>
        </w:rPr>
      </w:pPr>
    </w:p>
    <w:p>
      <w:pPr>
        <w:jc w:val="both"/>
        <w:ind w:left="180" w:firstLine="623"/>
        <w:spacing w:after="0" w:line="251" w:lineRule="auto"/>
        <w:tabs>
          <w:tab w:leader="none" w:pos="143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the grant of RSUs, no claim or entitlement to compensation or damages will arise from termination of your RSUs or diminution in value of the RSUs or Common Stock acquired through vested RSUs resulting from termination of your active employment by the Corporation or any Subsidiary (for any reason whatsoever and whether or not in breach of local labor laws) and you hereby release the Corporation and its Subsidiaries from any such claim that may arise; if, notwithstanding the foregoing, any such claim is found by a court of competent jurisdiction to have arisen, then you will be deemed irrevocably to have waived your entitlement to pursue such claim.</w:t>
      </w:r>
    </w:p>
    <w:p>
      <w:pPr>
        <w:spacing w:after="0" w:line="174" w:lineRule="exact"/>
        <w:rPr>
          <w:rFonts w:ascii="Times New Roman" w:cs="Times New Roman" w:eastAsia="Times New Roman" w:hAnsi="Times New Roman"/>
          <w:sz w:val="19"/>
          <w:szCs w:val="19"/>
          <w:color w:val="auto"/>
        </w:rPr>
      </w:pPr>
    </w:p>
    <w:p>
      <w:pPr>
        <w:jc w:val="both"/>
        <w:ind w:left="180" w:firstLine="623"/>
        <w:spacing w:after="0" w:line="249" w:lineRule="auto"/>
        <w:tabs>
          <w:tab w:leader="none" w:pos="143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terms or conditions of the 2022 Plan to the contrary, in the event of involuntary termination of your employment (whether or not in breach of local labor laws), your right to receive the RSUs and vest in RSUs under the 2022 Plan, if any, will terminate effective as of the date that you are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your right to sell shares of Common Stock that converted from vested RSUs after termination of employment, if any, will be measured by the date of termination of your active employment and will not be extended by any notice period mandated under local law.</w:t>
      </w:r>
    </w:p>
    <w:p>
      <w:pPr>
        <w:spacing w:after="0" w:line="177" w:lineRule="exact"/>
        <w:rPr>
          <w:rFonts w:ascii="Times New Roman" w:cs="Times New Roman" w:eastAsia="Times New Roman" w:hAnsi="Times New Roman"/>
          <w:sz w:val="19"/>
          <w:szCs w:val="19"/>
          <w:color w:val="auto"/>
        </w:rPr>
      </w:pPr>
    </w:p>
    <w:p>
      <w:pPr>
        <w:jc w:val="both"/>
        <w:ind w:left="180" w:firstLine="623"/>
        <w:spacing w:after="0" w:line="249" w:lineRule="auto"/>
        <w:tabs>
          <w:tab w:leader="none" w:pos="1437"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of this Agreement, the Notice of Grant or the 2022 Plan to the contrary, if, at the time of your termination of employment with the Corporation or any of its Subsidiaries, you are a “specified employee” as defined in Section 409A of the Internal Revenue Code (“</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and one or more of the payments or benefits received or to be received by you pursuant to the RSUs would constitute deferred compensation subject to Section 409A, no such payment or benefit will be provided under the RSUs until the earliest of (A) the date which is six</w:t>
      </w:r>
    </w:p>
    <w:p>
      <w:pPr>
        <w:spacing w:after="0" w:line="2" w:lineRule="exact"/>
        <w:rPr>
          <w:rFonts w:ascii="Times New Roman" w:cs="Times New Roman" w:eastAsia="Times New Roman" w:hAnsi="Times New Roman"/>
          <w:sz w:val="19"/>
          <w:szCs w:val="19"/>
          <w:color w:val="auto"/>
        </w:rPr>
      </w:pPr>
    </w:p>
    <w:p>
      <w:pPr>
        <w:jc w:val="both"/>
        <w:ind w:left="180" w:hanging="6"/>
        <w:spacing w:after="0" w:line="244" w:lineRule="auto"/>
        <w:tabs>
          <w:tab w:leader="none" w:pos="461"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after your “separation from service” for any reason, other than death or “disability” (as such terms are used in Section 409A(a)(2) of the Code), (B) the date of your death or “disability” (as such term is used in Section 409A(a)(2)</w:t>
      </w:r>
    </w:p>
    <w:p>
      <w:pPr>
        <w:spacing w:after="0" w:line="1" w:lineRule="exact"/>
        <w:rPr>
          <w:rFonts w:ascii="Times New Roman" w:cs="Times New Roman" w:eastAsia="Times New Roman" w:hAnsi="Times New Roman"/>
          <w:sz w:val="19"/>
          <w:szCs w:val="19"/>
          <w:color w:val="auto"/>
        </w:rPr>
      </w:pPr>
    </w:p>
    <w:p>
      <w:pPr>
        <w:jc w:val="both"/>
        <w:ind w:left="18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 of the Code) or (C) the effective date of a “change in the ownership or effective control” of the Corporation (as such term is used in Section 409A(a)(2)(A)(v) of the Code). Each payment under this Agreement shall be treated as a separate payment for purposes of Section 409A of the Code. The RSUs are intended to comply with or be exempt from the applicable requirements of Section 409A of the Code and shall be limited, construed and interpreted in accordance with such intent; provided, that the Corporation does not guarantee you any particular tax treatment of the RSUs. In addition, if any provision of the RSUs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353060</wp:posOffset>
            </wp:positionV>
            <wp:extent cx="6304915"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460"/>
          </w:cols>
          <w:pgMar w:left="1440" w:top="850" w:right="999" w:bottom="1440" w:gutter="0" w:footer="0" w:header="0"/>
        </w:sectPr>
      </w:pPr>
    </w:p>
    <w:bookmarkStart w:id="148" w:name="page149"/>
    <w:bookmarkEnd w:id="148"/>
    <w:p>
      <w:pPr>
        <w:jc w:val="both"/>
        <w:ind w:left="640"/>
        <w:spacing w:after="0" w:line="253" w:lineRule="auto"/>
        <w:rPr>
          <w:sz w:val="20"/>
          <w:szCs w:val="20"/>
          <w:color w:val="auto"/>
        </w:rPr>
      </w:pPr>
      <w:r>
        <w:rPr>
          <w:rFonts w:ascii="Times New Roman" w:cs="Times New Roman" w:eastAsia="Times New Roman" w:hAnsi="Times New Roman"/>
          <w:sz w:val="19"/>
          <w:szCs w:val="19"/>
          <w:color w:val="auto"/>
        </w:rPr>
        <w:t>cause you to incur any penalty tax or interest under Section 409A of the Code or any regulations or Treasury guidance promulgated thereunder, the Corporation may reform such provision to maintain to the maximum extent practicable the original intent of the applicable provision without violating the provisions of Section 409A of the Code. In no event whatsoever shall the Corporation be liable for any additional tax, interest or penalties that may be imposed on you by Section 409A of the Code or any damages for failing to comply with Section 409A of the Code.</w:t>
      </w:r>
    </w:p>
    <w:p>
      <w:pPr>
        <w:spacing w:after="0" w:line="171" w:lineRule="exact"/>
        <w:rPr>
          <w:sz w:val="20"/>
          <w:szCs w:val="20"/>
          <w:color w:val="auto"/>
        </w:rPr>
      </w:pPr>
    </w:p>
    <w:p>
      <w:pPr>
        <w:jc w:val="both"/>
        <w:ind w:left="640" w:firstLine="623"/>
        <w:spacing w:after="0" w:line="262" w:lineRule="auto"/>
        <w:tabs>
          <w:tab w:leader="none" w:pos="1897"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Copies of the Corporation’s Annual Report to Stockholders for its latest fiscal year and the Corporation’s latest quarterly report are available, without charge, on the Corporation’s website and at the Corporation’s business office.</w:t>
      </w:r>
    </w:p>
    <w:p>
      <w:pPr>
        <w:spacing w:after="0" w:line="162" w:lineRule="exact"/>
        <w:rPr>
          <w:rFonts w:ascii="Times New Roman" w:cs="Times New Roman" w:eastAsia="Times New Roman" w:hAnsi="Times New Roman"/>
          <w:sz w:val="19"/>
          <w:szCs w:val="19"/>
          <w:color w:val="auto"/>
        </w:rPr>
      </w:pPr>
    </w:p>
    <w:p>
      <w:pPr>
        <w:jc w:val="both"/>
        <w:ind w:left="640" w:firstLine="623"/>
        <w:spacing w:after="0" w:line="256" w:lineRule="auto"/>
        <w:tabs>
          <w:tab w:leader="none" w:pos="1897"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is not providing any tax, legal or financial advice, nor is the Corporation making any recommendations regarding your participation in the 2022 Plan, or his or her acquisition or sale of the underlying shares of Common Stock. You understand and agree that you are advised to consult with your own personal tax, legal and financial advisors regarding your participation in the 2022 Plan before taking any action related to the 2022 Plan.</w:t>
      </w:r>
    </w:p>
    <w:p>
      <w:pPr>
        <w:spacing w:after="0" w:line="168" w:lineRule="exact"/>
        <w:rPr>
          <w:rFonts w:ascii="Times New Roman" w:cs="Times New Roman" w:eastAsia="Times New Roman" w:hAnsi="Times New Roman"/>
          <w:sz w:val="19"/>
          <w:szCs w:val="19"/>
          <w:color w:val="auto"/>
        </w:rPr>
      </w:pPr>
    </w:p>
    <w:p>
      <w:pPr>
        <w:jc w:val="both"/>
        <w:ind w:left="640" w:firstLine="623"/>
        <w:spacing w:after="0" w:line="262" w:lineRule="auto"/>
        <w:tabs>
          <w:tab w:leader="none" w:pos="1897"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62" w:lineRule="exact"/>
        <w:rPr>
          <w:rFonts w:ascii="Times New Roman" w:cs="Times New Roman" w:eastAsia="Times New Roman" w:hAnsi="Times New Roman"/>
          <w:sz w:val="19"/>
          <w:szCs w:val="19"/>
          <w:color w:val="auto"/>
        </w:rPr>
      </w:pPr>
    </w:p>
    <w:p>
      <w:pPr>
        <w:jc w:val="both"/>
        <w:ind w:left="640" w:firstLine="623"/>
        <w:spacing w:after="0" w:line="262" w:lineRule="auto"/>
        <w:tabs>
          <w:tab w:leader="none" w:pos="1897"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acknowledge that a waiver by the Corporation of breach of any provision of this Agreement shall not operate or be construed as a waiver of any other provision of this Agreement, or of any subsequent breach of this Agreement.</w:t>
      </w:r>
    </w:p>
    <w:p>
      <w:pPr>
        <w:spacing w:after="0" w:line="162" w:lineRule="exact"/>
        <w:rPr>
          <w:rFonts w:ascii="Times New Roman" w:cs="Times New Roman" w:eastAsia="Times New Roman" w:hAnsi="Times New Roman"/>
          <w:sz w:val="19"/>
          <w:szCs w:val="19"/>
          <w:color w:val="auto"/>
        </w:rPr>
      </w:pPr>
    </w:p>
    <w:p>
      <w:pPr>
        <w:jc w:val="both"/>
        <w:ind w:firstLine="634"/>
        <w:spacing w:after="0" w:line="253" w:lineRule="auto"/>
        <w:tabs>
          <w:tab w:leader="none" w:pos="125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Appendix</w:t>
      </w:r>
      <w:r>
        <w:rPr>
          <w:rFonts w:ascii="Times New Roman" w:cs="Times New Roman" w:eastAsia="Times New Roman" w:hAnsi="Times New Roman"/>
          <w:sz w:val="19"/>
          <w:szCs w:val="19"/>
          <w:color w:val="auto"/>
        </w:rPr>
        <w:t>. The RSUs and the shares of Common Stock acquired under the 2022 Plan shall be subject to any special terms and conditions for your country set forth in the Appendix to this Agreement. Moreover, if you relocate to one of the countries included in the Appendix, the special terms and conditions for such country will apply to you, to the extent that the Corporation determines that application of such terms and conditions is necessary or advisable for legal or administrative reasons. The Appendix constitutes part of this Agreement.</w:t>
      </w:r>
    </w:p>
    <w:p>
      <w:pPr>
        <w:spacing w:after="0" w:line="171" w:lineRule="exact"/>
        <w:rPr>
          <w:rFonts w:ascii="Times New Roman" w:cs="Times New Roman" w:eastAsia="Times New Roman" w:hAnsi="Times New Roman"/>
          <w:sz w:val="19"/>
          <w:szCs w:val="19"/>
          <w:color w:val="auto"/>
        </w:rPr>
      </w:pPr>
    </w:p>
    <w:p>
      <w:pPr>
        <w:jc w:val="both"/>
        <w:ind w:firstLine="634"/>
        <w:spacing w:after="0" w:line="256" w:lineRule="auto"/>
        <w:tabs>
          <w:tab w:leader="none" w:pos="1257"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Imposition of Other Requirements</w:t>
      </w:r>
      <w:r>
        <w:rPr>
          <w:rFonts w:ascii="Times New Roman" w:cs="Times New Roman" w:eastAsia="Times New Roman" w:hAnsi="Times New Roman"/>
          <w:sz w:val="19"/>
          <w:szCs w:val="19"/>
          <w:color w:val="auto"/>
        </w:rPr>
        <w:t>. The Corporation reserves the right to impose other requirements on the RSUs and on any shares of Common Stock acquired upon vesting of the RSUs, to the extent that the Committee determines it is necessary for legal or administrative reasons, and to require you to sign any additional agreements or undertakings that may be necessary to accomplish the foregoing.</w:t>
      </w:r>
    </w:p>
    <w:p>
      <w:pPr>
        <w:spacing w:after="0" w:line="168" w:lineRule="exact"/>
        <w:rPr>
          <w:rFonts w:ascii="Times New Roman" w:cs="Times New Roman" w:eastAsia="Times New Roman" w:hAnsi="Times New Roman"/>
          <w:sz w:val="19"/>
          <w:szCs w:val="19"/>
          <w:color w:val="auto"/>
        </w:rPr>
      </w:pPr>
    </w:p>
    <w:p>
      <w:pPr>
        <w:ind w:left="4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 * *</w:t>
      </w:r>
    </w:p>
    <w:p>
      <w:pPr>
        <w:spacing w:after="0" w:line="21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19"/>
          <w:szCs w:val="19"/>
          <w:color w:val="auto"/>
        </w:rPr>
        <w:t>By acknowledging this grant of an award or your acceptance of this Agreement in the manner specified by the administrator, you, Mobileye Global Inc. and the Employer agree that the RSUs identified in your Notice of Grant are governed by the terms of this Agreement, the Notice of Grant and the 2022 Plan. You further acknowledge that you have read and understood the terms of the RSUs set forth in this Agreement, the Notice of Grant and the 2022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9"/>
          <w:szCs w:val="19"/>
          <w:b w:val="1"/>
          <w:bCs w:val="1"/>
          <w:color w:val="auto"/>
        </w:rPr>
        <w:t>APPENDIX TO THE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MOBILEYE GLOBAL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2022 EQUITY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RESTRICTED STOCK UNIT AGREEMENT</w:t>
      </w:r>
    </w:p>
    <w:p>
      <w:pPr>
        <w:spacing w:after="0" w:line="2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Capitalized terms used and not defined in this Appendix will have the meaning given to them in the Restricted Stock Unit Agreement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and/or the Mobileye Global Inc. 2022 Equity Incentive Plan (the “</w:t>
      </w:r>
      <w:r>
        <w:rPr>
          <w:rFonts w:ascii="Times New Roman" w:cs="Times New Roman" w:eastAsia="Times New Roman" w:hAnsi="Times New Roman"/>
          <w:sz w:val="19"/>
          <w:szCs w:val="19"/>
          <w:b w:val="1"/>
          <w:bCs w:val="1"/>
          <w:color w:val="auto"/>
        </w:rPr>
        <w:t>2022 Plan</w:t>
      </w:r>
      <w:r>
        <w:rPr>
          <w:rFonts w:ascii="Times New Roman" w:cs="Times New Roman" w:eastAsia="Times New Roman" w:hAnsi="Times New Roman"/>
          <w:sz w:val="19"/>
          <w:szCs w:val="19"/>
          <w:color w:val="auto"/>
        </w:rPr>
        <w:t>”), as applicable.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This Appendix, which is part of the Agreement, contains additional or different terms and conditions that govern the RSUs if you are residing and/or employed outside of the United States. The terms and conditions in </w:t>
      </w:r>
      <w:r>
        <w:rPr>
          <w:rFonts w:ascii="Times New Roman" w:cs="Times New Roman" w:eastAsia="Times New Roman" w:hAnsi="Times New Roman"/>
          <w:sz w:val="19"/>
          <w:szCs w:val="19"/>
          <w:b w:val="1"/>
          <w:bCs w:val="1"/>
          <w:u w:val="single" w:color="auto"/>
          <w:color w:val="auto"/>
        </w:rPr>
        <w:t>Part A</w:t>
      </w:r>
      <w:r>
        <w:rPr>
          <w:rFonts w:ascii="Times New Roman" w:cs="Times New Roman" w:eastAsia="Times New Roman" w:hAnsi="Times New Roman"/>
          <w:sz w:val="19"/>
          <w:szCs w:val="19"/>
          <w:color w:val="auto"/>
        </w:rPr>
        <w:t xml:space="preserve"> apply to all Participants outside of the United States. The country-specific terms and conditions in </w:t>
      </w:r>
      <w:r>
        <w:rPr>
          <w:rFonts w:ascii="Times New Roman" w:cs="Times New Roman" w:eastAsia="Times New Roman" w:hAnsi="Times New Roman"/>
          <w:sz w:val="19"/>
          <w:szCs w:val="19"/>
          <w:b w:val="1"/>
          <w:bCs w:val="1"/>
          <w:u w:val="single" w:color="auto"/>
          <w:color w:val="auto"/>
        </w:rPr>
        <w:t>Part B</w:t>
      </w:r>
      <w:r>
        <w:rPr>
          <w:rFonts w:ascii="Times New Roman" w:cs="Times New Roman" w:eastAsia="Times New Roman" w:hAnsi="Times New Roman"/>
          <w:sz w:val="19"/>
          <w:szCs w:val="19"/>
          <w:color w:val="auto"/>
        </w:rPr>
        <w:t xml:space="preserve"> apply to Participants located in any of the countries listed in </w:t>
      </w:r>
      <w:r>
        <w:rPr>
          <w:rFonts w:ascii="Times New Roman" w:cs="Times New Roman" w:eastAsia="Times New Roman" w:hAnsi="Times New Roman"/>
          <w:sz w:val="19"/>
          <w:szCs w:val="19"/>
          <w:b w:val="1"/>
          <w:bCs w:val="1"/>
          <w:u w:val="single" w:color="auto"/>
          <w:color w:val="auto"/>
        </w:rPr>
        <w:t>Part B</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If you are a citizen or resident of a country other than the one in which you are currently residing and/or working, transfer employment and/or residency to another country after the RSUs are granted to you or are considered a resident of another country for local law purposes, the Corporation will determine to what extent the terms and conditions herein will apply to you.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Notifications</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Appendix also includes information regarding securities laws and certain other issues of which you should be aware with respect to your participation in the 2022 Plan. The information is based on the securities, exchange control and other laws in effect in the respective countries as of May 2022. Such laws are often complex and change frequently. As a result, the Corporation strongly recommends that you not rely on the information noted herein as the only source of information relating to the consequences of your participation in the 2022 Plan because the information may be out of date at vesting and settlement of the RSUs, upon the subsequent sale of the shares of Common Stock or upon the receipt of any dividends.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In addition, the information is general in nature and may not apply to your particular situation, and the Corporation is not in a position to assure you of any particular result. Accordingly, you should seek appropriate professional advice as to how the relevant laws in your country may apply to your situation.</w:t>
      </w:r>
    </w:p>
    <w:p>
      <w:pPr>
        <w:spacing w:after="0" w:line="160" w:lineRule="exact"/>
        <w:rPr>
          <w:sz w:val="20"/>
          <w:szCs w:val="20"/>
          <w:color w:val="auto"/>
        </w:rPr>
      </w:pPr>
    </w:p>
    <w:p>
      <w:pPr>
        <w:ind w:left="640" w:hanging="626"/>
        <w:spacing w:after="0"/>
        <w:tabs>
          <w:tab w:leader="none" w:pos="64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NON-U.S. PROVISIONS</w:t>
      </w:r>
    </w:p>
    <w:p>
      <w:pPr>
        <w:spacing w:after="0" w:line="215" w:lineRule="exact"/>
        <w:rPr>
          <w:rFonts w:ascii="Times New Roman" w:cs="Times New Roman" w:eastAsia="Times New Roman" w:hAnsi="Times New Roman"/>
          <w:sz w:val="19"/>
          <w:szCs w:val="19"/>
          <w:color w:val="auto"/>
        </w:rPr>
      </w:pPr>
    </w:p>
    <w:p>
      <w:pPr>
        <w:ind w:firstLine="634"/>
        <w:spacing w:after="0" w:line="280" w:lineRule="auto"/>
        <w:tabs>
          <w:tab w:leader="none" w:pos="1257"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The following provision supplements Section 14 of the Restricted Stock Unit Agreement. In accepting the RSUs, you acknowledge, understand and agree that:</w:t>
      </w:r>
    </w:p>
    <w:p>
      <w:pPr>
        <w:spacing w:after="0" w:line="145" w:lineRule="exact"/>
        <w:rPr>
          <w:rFonts w:ascii="Times New Roman" w:cs="Times New Roman" w:eastAsia="Times New Roman" w:hAnsi="Times New Roman"/>
          <w:sz w:val="19"/>
          <w:szCs w:val="19"/>
          <w:color w:val="auto"/>
        </w:rPr>
      </w:pPr>
    </w:p>
    <w:p>
      <w:pPr>
        <w:ind w:left="640" w:firstLine="623"/>
        <w:spacing w:after="0" w:line="280" w:lineRule="auto"/>
        <w:tabs>
          <w:tab w:leader="none" w:pos="1897"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2022 Plan is established voluntarily by the Corporation, is discretionary in nature and may be modified, amended, suspended or terminated by the Corporation at any time, to the extent permitted by the 2022 Plan;</w:t>
      </w:r>
    </w:p>
    <w:p>
      <w:pPr>
        <w:spacing w:after="0" w:line="145" w:lineRule="exact"/>
        <w:rPr>
          <w:rFonts w:ascii="Times New Roman" w:cs="Times New Roman" w:eastAsia="Times New Roman" w:hAnsi="Times New Roman"/>
          <w:sz w:val="19"/>
          <w:szCs w:val="19"/>
          <w:color w:val="auto"/>
        </w:rPr>
      </w:pPr>
    </w:p>
    <w:p>
      <w:pPr>
        <w:jc w:val="both"/>
        <w:ind w:left="640" w:firstLine="623"/>
        <w:spacing w:after="0" w:line="262" w:lineRule="auto"/>
        <w:tabs>
          <w:tab w:leader="none" w:pos="1897"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724535</wp:posOffset>
            </wp:positionV>
            <wp:extent cx="6304915"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48" w:right="999" w:bottom="1440" w:gutter="0" w:footer="0" w:header="0"/>
        </w:sectPr>
      </w:pPr>
    </w:p>
    <w:bookmarkStart w:id="150" w:name="page151"/>
    <w:bookmarkEnd w:id="150"/>
    <w:p>
      <w:pPr>
        <w:ind w:left="640" w:firstLine="623"/>
        <w:spacing w:after="0" w:line="280" w:lineRule="auto"/>
        <w:tabs>
          <w:tab w:leader="none" w:pos="18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decisions with respect to future restricted stock units or other grants, if any, will be at the sole discretion of the Corporation;</w:t>
      </w:r>
    </w:p>
    <w:p>
      <w:pPr>
        <w:spacing w:after="0" w:line="145" w:lineRule="exact"/>
        <w:rPr>
          <w:rFonts w:ascii="Times New Roman" w:cs="Times New Roman" w:eastAsia="Times New Roman" w:hAnsi="Times New Roman"/>
          <w:sz w:val="19"/>
          <w:szCs w:val="19"/>
          <w:color w:val="auto"/>
        </w:rPr>
      </w:pPr>
    </w:p>
    <w:p>
      <w:pPr>
        <w:jc w:val="both"/>
        <w:ind w:left="640" w:firstLine="623"/>
        <w:spacing w:after="0" w:line="256" w:lineRule="auto"/>
        <w:tabs>
          <w:tab w:leader="none" w:pos="18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RSUs and your participation in the 2022 Plan shall not create a right to employment or be interpreted as forming an employment or service contract with the Corporation, the Employer, or any parent or Subsidiary and shall not interfere with the ability of the Corporation, the Employer, or any parent or Subsidiary to terminate your employment;</w:t>
      </w:r>
    </w:p>
    <w:p>
      <w:pPr>
        <w:spacing w:after="0" w:line="168" w:lineRule="exact"/>
        <w:rPr>
          <w:rFonts w:ascii="Times New Roman" w:cs="Times New Roman" w:eastAsia="Times New Roman" w:hAnsi="Times New Roman"/>
          <w:sz w:val="19"/>
          <w:szCs w:val="19"/>
          <w:color w:val="auto"/>
        </w:rPr>
      </w:pPr>
    </w:p>
    <w:p>
      <w:pPr>
        <w:ind w:left="1900" w:hanging="637"/>
        <w:spacing w:after="0"/>
        <w:tabs>
          <w:tab w:leader="none" w:pos="190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are voluntarily participating in the 2022 Plan;</w:t>
      </w:r>
    </w:p>
    <w:p>
      <w:pPr>
        <w:spacing w:after="0" w:line="213" w:lineRule="exact"/>
        <w:rPr>
          <w:rFonts w:ascii="Times New Roman" w:cs="Times New Roman" w:eastAsia="Times New Roman" w:hAnsi="Times New Roman"/>
          <w:sz w:val="19"/>
          <w:szCs w:val="19"/>
          <w:color w:val="auto"/>
        </w:rPr>
      </w:pPr>
    </w:p>
    <w:p>
      <w:pPr>
        <w:ind w:left="640" w:firstLine="623"/>
        <w:spacing w:after="0" w:line="280" w:lineRule="auto"/>
        <w:tabs>
          <w:tab w:leader="none" w:pos="18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RSUs and the shares of Common Stock subject to the RSUs, and the income from and value of same, are not intended to replace any pension rights or compensation;</w:t>
      </w:r>
    </w:p>
    <w:p>
      <w:pPr>
        <w:spacing w:after="0" w:line="145" w:lineRule="exact"/>
        <w:rPr>
          <w:rFonts w:ascii="Times New Roman" w:cs="Times New Roman" w:eastAsia="Times New Roman" w:hAnsi="Times New Roman"/>
          <w:sz w:val="19"/>
          <w:szCs w:val="19"/>
          <w:color w:val="auto"/>
        </w:rPr>
      </w:pPr>
    </w:p>
    <w:p>
      <w:pPr>
        <w:jc w:val="both"/>
        <w:ind w:left="640" w:firstLine="623"/>
        <w:spacing w:after="0" w:line="256" w:lineRule="auto"/>
        <w:tabs>
          <w:tab w:leader="none" w:pos="18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RSUs and the shares of Common Stock subject to the RSUs, and the income from and value of same, are not part of normal or expected compensation or salary for any purposes, including, but not limited to, calculation of any severance, resignation, termination, redundancy, dismissal, end-of-service payments, bonuses, long-service awards, pension or retirement or welfare benefits or similar mandatory payments;</w:t>
      </w:r>
    </w:p>
    <w:p>
      <w:pPr>
        <w:spacing w:after="0" w:line="168" w:lineRule="exact"/>
        <w:rPr>
          <w:rFonts w:ascii="Times New Roman" w:cs="Times New Roman" w:eastAsia="Times New Roman" w:hAnsi="Times New Roman"/>
          <w:sz w:val="19"/>
          <w:szCs w:val="19"/>
          <w:color w:val="auto"/>
        </w:rPr>
      </w:pPr>
    </w:p>
    <w:p>
      <w:pPr>
        <w:ind w:left="640" w:firstLine="623"/>
        <w:spacing w:after="0" w:line="280" w:lineRule="auto"/>
        <w:tabs>
          <w:tab w:leader="none" w:pos="18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future value of the underlying shares of Common Stock is unknown, indeterminable and cannot be predicted with certainty;</w:t>
      </w:r>
    </w:p>
    <w:p>
      <w:pPr>
        <w:spacing w:after="0" w:line="145" w:lineRule="exact"/>
        <w:rPr>
          <w:rFonts w:ascii="Times New Roman" w:cs="Times New Roman" w:eastAsia="Times New Roman" w:hAnsi="Times New Roman"/>
          <w:sz w:val="19"/>
          <w:szCs w:val="19"/>
          <w:color w:val="auto"/>
        </w:rPr>
      </w:pPr>
    </w:p>
    <w:p>
      <w:pPr>
        <w:jc w:val="both"/>
        <w:ind w:left="640" w:firstLine="623"/>
        <w:spacing w:after="0" w:line="248" w:lineRule="auto"/>
        <w:tabs>
          <w:tab w:leader="none" w:pos="18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terms or conditions of the 2022 Plan to the contrary, for purposes of your RSUs, your employment or consulting services will be considered terminated as of the date you are no longer actively providing services to the Corporation or any Subsidiary (regardless of the reason for such termination and whether or not later found to be invalid or in breach of employment laws in the jurisdiction where you are providing service or the terms of your service agreement, if any) and will not be extended by any notice period (e.g., your period of service would not include any contractual notice period or any period of “garden leave” or similar period mandated under employment laws in the jurisdiction where you are providing service or the terms of your service agreement, if any). The Committee shall have the exclusive discretion to determine when you are no longer actively providing services for purposes of your RSU grant (including whether you may still be considered to be providing services while on a leave of absence); and</w:t>
      </w:r>
    </w:p>
    <w:p>
      <w:pPr>
        <w:spacing w:after="0" w:line="200" w:lineRule="exact"/>
        <w:rPr>
          <w:rFonts w:ascii="Times New Roman" w:cs="Times New Roman" w:eastAsia="Times New Roman" w:hAnsi="Times New Roman"/>
          <w:sz w:val="19"/>
          <w:szCs w:val="19"/>
          <w:color w:val="auto"/>
        </w:rPr>
      </w:pPr>
    </w:p>
    <w:p>
      <w:pPr>
        <w:spacing w:after="0" w:line="204" w:lineRule="exact"/>
        <w:rPr>
          <w:rFonts w:ascii="Times New Roman" w:cs="Times New Roman" w:eastAsia="Times New Roman" w:hAnsi="Times New Roman"/>
          <w:sz w:val="19"/>
          <w:szCs w:val="19"/>
          <w:color w:val="auto"/>
        </w:rPr>
      </w:pPr>
    </w:p>
    <w:p>
      <w:pPr>
        <w:jc w:val="both"/>
        <w:ind w:left="640" w:firstLine="623"/>
        <w:spacing w:after="0" w:line="256" w:lineRule="auto"/>
        <w:tabs>
          <w:tab w:leader="none" w:pos="189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Corporation nor the Employer nor any parent or Subsidiary will be liable for any foreign exchange rate fluctuation between your local currency and the United States Dollar that may affect the value of the RSUs or of any amounts due to you pursuant to the RSUs or the subsequent sale of any shares of Common Stock subject to the RSUs acquired under the 2022 Plan.</w:t>
      </w:r>
    </w:p>
    <w:p>
      <w:pPr>
        <w:spacing w:after="0" w:line="168" w:lineRule="exact"/>
        <w:rPr>
          <w:rFonts w:ascii="Times New Roman" w:cs="Times New Roman" w:eastAsia="Times New Roman" w:hAnsi="Times New Roman"/>
          <w:sz w:val="19"/>
          <w:szCs w:val="19"/>
          <w:color w:val="auto"/>
        </w:rPr>
      </w:pPr>
    </w:p>
    <w:p>
      <w:pPr>
        <w:jc w:val="both"/>
        <w:ind w:firstLine="634"/>
        <w:spacing w:after="0" w:line="256" w:lineRule="auto"/>
        <w:tabs>
          <w:tab w:leader="none" w:pos="125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Language</w:t>
      </w:r>
      <w:r>
        <w:rPr>
          <w:rFonts w:ascii="Times New Roman" w:cs="Times New Roman" w:eastAsia="Times New Roman" w:hAnsi="Times New Roman"/>
          <w:sz w:val="19"/>
          <w:szCs w:val="19"/>
          <w:color w:val="auto"/>
        </w:rPr>
        <w:t>. You acknowledge that you are proficient in the English language, or have consulted with an advisor who is sufficiently proficient in English, so as to allow you to understand the terms and conditions of this Agreement. If you have received this Agreement or any other document related to the RSUs translated into a language other than English and if the meaning of the translated version differs from the English version, the English version shall control.</w:t>
      </w:r>
    </w:p>
    <w:p>
      <w:pPr>
        <w:spacing w:after="0" w:line="168" w:lineRule="exact"/>
        <w:rPr>
          <w:rFonts w:ascii="Times New Roman" w:cs="Times New Roman" w:eastAsia="Times New Roman" w:hAnsi="Times New Roman"/>
          <w:sz w:val="19"/>
          <w:szCs w:val="19"/>
          <w:color w:val="auto"/>
        </w:rPr>
      </w:pPr>
    </w:p>
    <w:p>
      <w:pPr>
        <w:jc w:val="both"/>
        <w:ind w:firstLine="634"/>
        <w:spacing w:after="0" w:line="253" w:lineRule="auto"/>
        <w:tabs>
          <w:tab w:leader="none" w:pos="1257"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Delivery and Participation</w:t>
      </w:r>
      <w:r>
        <w:rPr>
          <w:rFonts w:ascii="Times New Roman" w:cs="Times New Roman" w:eastAsia="Times New Roman" w:hAnsi="Times New Roman"/>
          <w:sz w:val="19"/>
          <w:szCs w:val="19"/>
          <w:color w:val="auto"/>
        </w:rPr>
        <w:t>. The Corporation may, in its sole discretion, decide to deliver any documents related to RSUs granted under the 2022 Plan or future RSUs that may be granted under the 2022 Plan by electronic means or request your consent to participate in the 2022 Plan by electronic means. You hereby consent to receive such documents by electronic delivery and agree to participate in the 2022 Plan through any online or electronic system established and maintained by the Corporation or a third party designated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51" w:name="page152"/>
    <w:bookmarkEnd w:id="151"/>
    <w:p>
      <w:pPr>
        <w:jc w:val="both"/>
        <w:ind w:firstLine="634"/>
        <w:spacing w:after="0" w:line="248" w:lineRule="auto"/>
        <w:tabs>
          <w:tab w:leader="none" w:pos="1257"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You acknowledge that you may be subject to insider trading restrictions and/or market abuse laws based on the exchange on which the shares of Common Stock are listed and in applicable jurisdictions, including the United States, your country and the broker’s country, which may affect your ability to accept, acquire, sell or otherwise dispose of shares of Common Stock, rights to shares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or rights links to the value of shares of Common Stock under the 2022 Plan during such times as you considered to have “inside information” regarding the Corporation (as defined by the laws in the applicable jurisdictions). Local insider trading laws and regulations may prohibit the cancellation or amendment of orders you placed before you possessed inside information. Any restrictions under these laws or regulations are separate from and in addition to any restrictions that may be imposed under any applicable Corporation insider trading policy. You acknowledge that it is your responsibility to comply with any applicable restrictions and that you should speak to your personal advisor on this matter.</w:t>
      </w:r>
    </w:p>
    <w:p>
      <w:pPr>
        <w:spacing w:after="0" w:line="178" w:lineRule="exact"/>
        <w:rPr>
          <w:rFonts w:ascii="Times New Roman" w:cs="Times New Roman" w:eastAsia="Times New Roman" w:hAnsi="Times New Roman"/>
          <w:sz w:val="19"/>
          <w:szCs w:val="19"/>
          <w:color w:val="auto"/>
        </w:rPr>
      </w:pPr>
    </w:p>
    <w:p>
      <w:pPr>
        <w:jc w:val="both"/>
        <w:ind w:firstLine="634"/>
        <w:spacing w:after="0" w:line="249" w:lineRule="auto"/>
        <w:tabs>
          <w:tab w:leader="none" w:pos="1257"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Exchange Control, Foreign Asset/Account and/or Tax Reporting Requirements</w:t>
      </w:r>
      <w:r>
        <w:rPr>
          <w:rFonts w:ascii="Times New Roman" w:cs="Times New Roman" w:eastAsia="Times New Roman" w:hAnsi="Times New Roman"/>
          <w:sz w:val="19"/>
          <w:szCs w:val="19"/>
          <w:color w:val="auto"/>
        </w:rPr>
        <w:t>. You acknowledge that there may be certain exchange control, foreign asset/account and/or tax reporting requirements which may affect your ability to acquire or hold shares of Common Stock or cash received from participating in the 2022 Plan (including the proceeds from the sale of shares of Common Stock and the receipt of any dividends) in a brokerage or bank account outside your country. You may be required to report such accounts, assets or related transactions to the tax or other authorities in your country. You also may be required to repatriate sale proceeds or other funds received as a result of participating in the 2022 Plan to your country within a certain time after receipt. You acknowledge that it is your responsibility to comply with such regulations and that you should speak to your personal advisor on this matter.</w:t>
      </w:r>
    </w:p>
    <w:p>
      <w:pPr>
        <w:spacing w:after="0" w:line="175" w:lineRule="exact"/>
        <w:rPr>
          <w:rFonts w:ascii="Times New Roman" w:cs="Times New Roman" w:eastAsia="Times New Roman" w:hAnsi="Times New Roman"/>
          <w:sz w:val="19"/>
          <w:szCs w:val="19"/>
          <w:color w:val="auto"/>
        </w:rPr>
      </w:pPr>
    </w:p>
    <w:p>
      <w:pPr>
        <w:ind w:left="640" w:hanging="635"/>
        <w:spacing w:after="0"/>
        <w:tabs>
          <w:tab w:leader="none" w:pos="640"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COUNTRY-SPECIFIC PROVISIONS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GERMANY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Control of 2022 Plan</w:t>
      </w:r>
      <w:r>
        <w:rPr>
          <w:rFonts w:ascii="Times New Roman" w:cs="Times New Roman" w:eastAsia="Times New Roman" w:hAnsi="Times New Roman"/>
          <w:sz w:val="19"/>
          <w:szCs w:val="19"/>
          <w:color w:val="auto"/>
        </w:rPr>
        <w:t>. For the avoidance of doubt, the 2022 Plan shall only control unless otherwise stipulated in this Section.</w:t>
      </w:r>
    </w:p>
    <w:p>
      <w:pPr>
        <w:spacing w:after="0" w:line="2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u w:val="single" w:color="auto"/>
          <w:color w:val="auto"/>
        </w:rPr>
        <w:t>Definition of Disability</w:t>
      </w:r>
      <w:r>
        <w:rPr>
          <w:rFonts w:ascii="Times New Roman" w:cs="Times New Roman" w:eastAsia="Times New Roman" w:hAnsi="Times New Roman"/>
          <w:sz w:val="19"/>
          <w:szCs w:val="19"/>
          <w:color w:val="auto"/>
        </w:rPr>
        <w:t>. The definition of “disability” or “Disablement” for purposes of the RSUs and the 2022 Plan shall, for the avoidance of doubt, be interpreted as understood and interpreted by German law.</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auto"/>
        </w:rPr>
        <w:t>Eligible Participant</w:t>
      </w:r>
      <w:r>
        <w:rPr>
          <w:rFonts w:ascii="Times New Roman" w:cs="Times New Roman" w:eastAsia="Times New Roman" w:hAnsi="Times New Roman"/>
          <w:sz w:val="19"/>
          <w:szCs w:val="19"/>
          <w:color w:val="auto"/>
        </w:rPr>
        <w:t>. The Corporation’s discretion to award rights under the 2022 Plan to eligible Participants shall be exercised in a way complying with German law, in particular with the labor law principle of equal treatment (</w:t>
      </w:r>
      <w:r>
        <w:rPr>
          <w:rFonts w:ascii="Times New Roman" w:cs="Times New Roman" w:eastAsia="Times New Roman" w:hAnsi="Times New Roman"/>
          <w:sz w:val="19"/>
          <w:szCs w:val="19"/>
          <w:i w:val="1"/>
          <w:iCs w:val="1"/>
          <w:color w:val="auto"/>
        </w:rPr>
        <w:t>arbeitsrechtlicher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Gleichbehandlungsgrundsatz</w:t>
      </w:r>
      <w:r>
        <w:rPr>
          <w:rFonts w:ascii="Times New Roman" w:cs="Times New Roman" w:eastAsia="Times New Roman" w:hAnsi="Times New Roman"/>
          <w:sz w:val="19"/>
          <w:szCs w:val="19"/>
          <w:color w:val="auto"/>
        </w:rPr>
        <w:t>) and with the prohibition of discrimination (</w:t>
      </w:r>
      <w:r>
        <w:rPr>
          <w:rFonts w:ascii="Times New Roman" w:cs="Times New Roman" w:eastAsia="Times New Roman" w:hAnsi="Times New Roman"/>
          <w:sz w:val="19"/>
          <w:szCs w:val="19"/>
          <w:i w:val="1"/>
          <w:iCs w:val="1"/>
          <w:color w:val="auto"/>
        </w:rPr>
        <w:t>Diskriminierungsverbot</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Leaves of Absences</w:t>
      </w:r>
      <w:r>
        <w:rPr>
          <w:rFonts w:ascii="Times New Roman" w:cs="Times New Roman" w:eastAsia="Times New Roman" w:hAnsi="Times New Roman"/>
          <w:sz w:val="19"/>
          <w:szCs w:val="19"/>
          <w:color w:val="auto"/>
        </w:rPr>
        <w:t>. The Corporation’s discretion to grant awards under the 2022 Plan shall be exercised in a manner complying with German law, in particular with the labor law principle of equal treatment (</w:t>
      </w:r>
      <w:r>
        <w:rPr>
          <w:rFonts w:ascii="Times New Roman" w:cs="Times New Roman" w:eastAsia="Times New Roman" w:hAnsi="Times New Roman"/>
          <w:sz w:val="19"/>
          <w:szCs w:val="19"/>
          <w:i w:val="1"/>
          <w:iCs w:val="1"/>
          <w:color w:val="auto"/>
        </w:rPr>
        <w:t>arbeitsrechtlicher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Gleichbehandlungsgrundsatz</w:t>
      </w:r>
      <w:r>
        <w:rPr>
          <w:rFonts w:ascii="Times New Roman" w:cs="Times New Roman" w:eastAsia="Times New Roman" w:hAnsi="Times New Roman"/>
          <w:sz w:val="19"/>
          <w:szCs w:val="19"/>
          <w:color w:val="auto"/>
        </w:rPr>
        <w:t>) and with the prohibition of discrimination (</w:t>
      </w:r>
      <w:r>
        <w:rPr>
          <w:rFonts w:ascii="Times New Roman" w:cs="Times New Roman" w:eastAsia="Times New Roman" w:hAnsi="Times New Roman"/>
          <w:sz w:val="19"/>
          <w:szCs w:val="19"/>
          <w:i w:val="1"/>
          <w:iCs w:val="1"/>
          <w:color w:val="auto"/>
        </w:rPr>
        <w:t>Diskriminierungsverbot</w:t>
      </w:r>
      <w:r>
        <w:rPr>
          <w:rFonts w:ascii="Times New Roman" w:cs="Times New Roman" w:eastAsia="Times New Roman" w:hAnsi="Times New Roman"/>
          <w:sz w:val="19"/>
          <w:szCs w:val="19"/>
          <w:color w:val="auto"/>
        </w:rPr>
        <w:t>). For the avoidance of doubt,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sick leave or other leave of absence as used in the 2022 Plan shall be interpreted and applied as compliant with German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Clawback</w:t>
      </w:r>
      <w:r>
        <w:rPr>
          <w:rFonts w:ascii="Times New Roman" w:cs="Times New Roman" w:eastAsia="Times New Roman" w:hAnsi="Times New Roman"/>
          <w:sz w:val="19"/>
          <w:szCs w:val="19"/>
          <w:color w:val="auto"/>
        </w:rPr>
        <w:t xml:space="preserve">. For the avoidance of doubt, any clawback shall only be made as permitted under German law requisites. </w:t>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avoidance of doubt, remedies shall only be claimed as permitted under German law requisites.</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u w:val="single" w:color="auto"/>
          <w:color w:val="auto"/>
        </w:rPr>
        <w:t>No Legal Claim</w:t>
      </w:r>
      <w:r>
        <w:rPr>
          <w:rFonts w:ascii="Times New Roman" w:cs="Times New Roman" w:eastAsia="Times New Roman" w:hAnsi="Times New Roman"/>
          <w:sz w:val="19"/>
          <w:szCs w:val="19"/>
          <w:color w:val="auto"/>
        </w:rPr>
        <w:t>. Participant acknowledges and agrees that the Award is a voluntary one-time benefit, and that Participant does not have a legal claim for further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52" w:name="page153"/>
    <w:bookmarkEnd w:id="152"/>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auto"/>
        </w:rPr>
        <w:t>Board and Committee Discretion and Decisions</w:t>
      </w:r>
      <w:r>
        <w:rPr>
          <w:rFonts w:ascii="Times New Roman" w:cs="Times New Roman" w:eastAsia="Times New Roman" w:hAnsi="Times New Roman"/>
          <w:sz w:val="19"/>
          <w:szCs w:val="19"/>
          <w:color w:val="auto"/>
        </w:rPr>
        <w:t>. The discretion of the Committee under the 2022 Plan, the Agreement and this Section, including their interpretation, shall always be exercised reasonably (</w:t>
      </w:r>
      <w:r>
        <w:rPr>
          <w:rFonts w:ascii="Times New Roman" w:cs="Times New Roman" w:eastAsia="Times New Roman" w:hAnsi="Times New Roman"/>
          <w:sz w:val="19"/>
          <w:szCs w:val="19"/>
          <w:i w:val="1"/>
          <w:iCs w:val="1"/>
          <w:color w:val="auto"/>
        </w:rPr>
        <w:t>nach billigem Ermessen</w:t>
      </w:r>
      <w:r>
        <w:rPr>
          <w:rFonts w:ascii="Times New Roman" w:cs="Times New Roman" w:eastAsia="Times New Roman" w:hAnsi="Times New Roman"/>
          <w:sz w:val="19"/>
          <w:szCs w:val="19"/>
          <w:color w:val="auto"/>
        </w:rPr>
        <w:t>) as defined under German law.</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u w:val="single" w:color="auto"/>
          <w:color w:val="auto"/>
        </w:rPr>
        <w:t>Consent to Personal Data Processing and Transfer</w:t>
      </w:r>
      <w:r>
        <w:rPr>
          <w:rFonts w:ascii="Times New Roman" w:cs="Times New Roman" w:eastAsia="Times New Roman" w:hAnsi="Times New Roman"/>
          <w:sz w:val="19"/>
          <w:szCs w:val="19"/>
          <w:color w:val="auto"/>
        </w:rPr>
        <w:t>. The following provisions shall apply in lieu of Section 13 of the Agreement: It shall be a term and condition of each award under the 2022 Plan that Participant acknowledges and consents to the collection, use, processing and transfer of personal data as described below. The Corporation and certain Subsidiaries of the Corporation (all together, the “</w:t>
      </w:r>
      <w:r>
        <w:rPr>
          <w:rFonts w:ascii="Times New Roman" w:cs="Times New Roman" w:eastAsia="Times New Roman" w:hAnsi="Times New Roman"/>
          <w:sz w:val="19"/>
          <w:szCs w:val="19"/>
          <w:u w:val="single" w:color="auto"/>
          <w:color w:val="auto"/>
        </w:rPr>
        <w:t>Company Entities</w:t>
      </w:r>
      <w:r>
        <w:rPr>
          <w:rFonts w:ascii="Times New Roman" w:cs="Times New Roman" w:eastAsia="Times New Roman" w:hAnsi="Times New Roman"/>
          <w:sz w:val="19"/>
          <w:szCs w:val="19"/>
          <w:color w:val="auto"/>
        </w:rPr>
        <w:t>”) hold certain personal information, including Participant’s name, home address and telephone number, date of birth, social security number or other employee tax identification number, employment history and status, salary, nationality, job title, and any equity compensation grants awarded, cancelled, purchased, vested, unvested or outstanding in Participant’s favor, for the only purpose of managing and administering the 2022 Plan (“</w:t>
      </w:r>
      <w:r>
        <w:rPr>
          <w:rFonts w:ascii="Times New Roman" w:cs="Times New Roman" w:eastAsia="Times New Roman" w:hAnsi="Times New Roman"/>
          <w:sz w:val="19"/>
          <w:szCs w:val="19"/>
          <w:u w:val="single" w:color="auto"/>
          <w:color w:val="auto"/>
        </w:rPr>
        <w:t>Data</w:t>
      </w:r>
      <w:r>
        <w:rPr>
          <w:rFonts w:ascii="Times New Roman" w:cs="Times New Roman" w:eastAsia="Times New Roman" w:hAnsi="Times New Roman"/>
          <w:sz w:val="19"/>
          <w:szCs w:val="19"/>
          <w:color w:val="auto"/>
        </w:rPr>
        <w:t>”). The Company Entities will transfer Data to any third parties assisting the Corporation in the implementation, administration and management of the 2022 Plan. The Company Entities may also make the Data available to public authorities where required under locally applicable law. These recipients may be located in the United States, the European Economic Area, or elsewhere, which Participant separately and expressly consents to, accepting that outside the European Economic Area, data protection laws may not be as protective as within. The third parties currently assisting the Corporation in the implementation, administration and management of the 2022 Plan are the following: E*TRADE. However, from time to time, the Company Entities may retain additional or different third parties for any of the purposes mentioned on which the Corporation will inform Participant and seek the additional consent of Participant. Participant hereby authorizes the Company Entities to receive, possess, use, retain and transfer the Data, in electronic or other form, for the purposes of implementing, administering and managing participation in the 2022 Plan, including any requisite transfer of such Data as may be required for the administration of the 2022 Plan on behalf of Participant to a third party with whom Participant may have elected to have payment made pursuant to the 2022 Plan. Participant may, at any time, review Data, require any necessary amendments to it or withdraw the consent herein in writing by contacting the Corporation through its local Human Resources Director; however, withdrawing the consent may affect Participant’s ability to participate in the 2022 Plan and receive the benefits under the Agreement. Data will only be held as long as necessary to implement, administer and manage Participant’s participation in the 2022 Plan and any subsequent claims or rights.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Taxes and Other Withholding</w:t>
      </w:r>
      <w:r>
        <w:rPr>
          <w:rFonts w:ascii="Times New Roman" w:cs="Times New Roman" w:eastAsia="Times New Roman" w:hAnsi="Times New Roman"/>
          <w:sz w:val="19"/>
          <w:szCs w:val="19"/>
          <w:color w:val="auto"/>
        </w:rPr>
        <w:t>. For the avoidance of doubt, any withholding and payment obligations under the 2022 Plan and the Agreement shall be made by the relevant member of the Company Entities employing Participant when due and any taxes should always include German social security contributions (including Participant’s portion) and mandatory withholding and pay obligations in accordance with German law.</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u w:val="single" w:color="auto"/>
          <w:color w:val="auto"/>
        </w:rPr>
        <w:t>Tax Consequences</w:t>
      </w:r>
      <w:r>
        <w:rPr>
          <w:rFonts w:ascii="Times New Roman" w:cs="Times New Roman" w:eastAsia="Times New Roman" w:hAnsi="Times New Roman"/>
          <w:sz w:val="19"/>
          <w:szCs w:val="19"/>
          <w:color w:val="auto"/>
        </w:rPr>
        <w:t>. Any tax consequences arising from the vesting or distribution or otherwise pursuant to an Award shall be borne solely by Participant (including, without limitation, Participant’s individual income tax and Participant’s social security contributions, if applicable). The Company Entities shall be entitled to (a) withhold Participant’s social security contributions and individual income tax (if required) according to the requirements under applicable laws, rules and regulations, including withholding taxes at source and (b) report the income and requested details in respect of any award to the competent tax and social security authorities. Furthermore, Participant shall agree to indemnify the Company Entities and hold them harmless against and from any and all liability for any such tax or other payment or interest or penalty thereon, including without limitation, liabilities relating to the necessity to withhold, or to have withheld, any such tax from any payment made to Participant.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ISRAEL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Capital Gains Track Requirements</w:t>
      </w:r>
      <w:r>
        <w:rPr>
          <w:rFonts w:ascii="Times New Roman" w:cs="Times New Roman" w:eastAsia="Times New Roman" w:hAnsi="Times New Roman"/>
          <w:sz w:val="19"/>
          <w:szCs w:val="19"/>
          <w:color w:val="auto"/>
        </w:rPr>
        <w:t>. By accepting the award of RSUs, you acknowledge and agree that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53" w:name="page154"/>
    <w:bookmarkEnd w:id="153"/>
    <w:p>
      <w:pPr>
        <w:jc w:val="both"/>
        <w:spacing w:after="0" w:line="248" w:lineRule="auto"/>
        <w:rPr>
          <w:sz w:val="20"/>
          <w:szCs w:val="20"/>
          <w:color w:val="auto"/>
        </w:rPr>
      </w:pPr>
      <w:r>
        <w:rPr>
          <w:rFonts w:ascii="Times New Roman" w:cs="Times New Roman" w:eastAsia="Times New Roman" w:hAnsi="Times New Roman"/>
          <w:sz w:val="19"/>
          <w:szCs w:val="19"/>
          <w:color w:val="auto"/>
        </w:rPr>
        <w:t>is subject to the 2022 Plan, the Israel Sub-Plan and Sections 102(b)(2) and (3) of the Income Tax Ordinance (New Version) – 1961, the Rules, and the Trust Agreement (as defined in the Israel Sub-Plan), a copy of which has been made available to you. You confirm that (a) you are familiar with the terms and provisions of Section 102 of the ITO, particularly the Capital Gains Track described in subsection (b)(2) and (3) thereof, and agrees not to require the Trustee to release the award or to sell or transfer the award to you or any third party unless permitted to do so by applicable law (b) the terms and restrictions set forth in the Israel Sub-Plan will apply to the award in all respects, including without limitation with respect to mandatory tax withholding requirements, and the rights and authorities of the Company, its Affiliates and the Trustee with respect thereto, and</w:t>
      </w:r>
    </w:p>
    <w:p>
      <w:pPr>
        <w:ind w:firstLine="5"/>
        <w:spacing w:after="0" w:line="256" w:lineRule="auto"/>
        <w:tabs>
          <w:tab w:leader="none" w:pos="2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its affiliates, assignees and successors shall be under no duty to ensure, and no representation or commitment is made, that an award qualifies or shall qualify under any particular tax treatment.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You further acknowledge and agree that the RSUs and any Shares issued upon vesting thereof shall be deposited with the Trustee, or shall be subject to a supervisory trustee arrangement approved by the ITA for the Trustee, in order to comply with the requirements of the capital gains track under Sections 102(b)(2) and (3) of the ITO.</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You hereby undertake to release the Trustee from any liability in respect of any action or decision duly taken and bona fide executed in relation to the 2022 Plan, the RSUs or Shares issued thereunder.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The following provision supplements Section 13 of the Agreement: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You hereby authorize the Corporation, the Trustee and their representatives to collect, use and transfer all relevant information regarding your participation in the 2022 Plan to all Company personnel and agents and or third parties involved in the administration of the 2022 Plan and/or in the event of a corporate financing, merger, acquisitions and/or business transfers, including transfers outside of Israel and further transfers thereafter.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ITALY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u w:val="single" w:color="auto"/>
          <w:color w:val="auto"/>
        </w:rPr>
        <w:t>Consent to Personal Data Processing and Transfer</w:t>
      </w:r>
      <w:r>
        <w:rPr>
          <w:rFonts w:ascii="Times New Roman" w:cs="Times New Roman" w:eastAsia="Times New Roman" w:hAnsi="Times New Roman"/>
          <w:sz w:val="19"/>
          <w:szCs w:val="19"/>
          <w:color w:val="auto"/>
        </w:rPr>
        <w:t>. The following provisions shall apply in addition to Section 13 of the Agreement: It shall be a term and condition of each award under the 2022 Plan that Participant acknowledges and consents to the collection, use, processing and transfer of personal data as described below. The Corporation and certain Subsidiaries of the Corporation (all together, the “</w:t>
      </w:r>
      <w:r>
        <w:rPr>
          <w:rFonts w:ascii="Times New Roman" w:cs="Times New Roman" w:eastAsia="Times New Roman" w:hAnsi="Times New Roman"/>
          <w:sz w:val="19"/>
          <w:szCs w:val="19"/>
          <w:u w:val="single" w:color="auto"/>
          <w:color w:val="auto"/>
        </w:rPr>
        <w:t>Company Entities</w:t>
      </w:r>
      <w:r>
        <w:rPr>
          <w:rFonts w:ascii="Times New Roman" w:cs="Times New Roman" w:eastAsia="Times New Roman" w:hAnsi="Times New Roman"/>
          <w:sz w:val="19"/>
          <w:szCs w:val="19"/>
          <w:color w:val="auto"/>
        </w:rPr>
        <w:t>”) hold certain personal information, including Participant’s name, home address and telephone number, date of birth, social security number or other employee tax identification number, employment history and status, salary, nationality, job title, and any equity compensation grants awarded, cancelled, purchased, vested, unvested or outstanding in Participant’s favor, for the only purpose of managing and administering the 2022 Plan (“</w:t>
      </w:r>
      <w:r>
        <w:rPr>
          <w:rFonts w:ascii="Times New Roman" w:cs="Times New Roman" w:eastAsia="Times New Roman" w:hAnsi="Times New Roman"/>
          <w:sz w:val="19"/>
          <w:szCs w:val="19"/>
          <w:u w:val="single" w:color="auto"/>
          <w:color w:val="auto"/>
        </w:rPr>
        <w:t>Data</w:t>
      </w:r>
      <w:r>
        <w:rPr>
          <w:rFonts w:ascii="Times New Roman" w:cs="Times New Roman" w:eastAsia="Times New Roman" w:hAnsi="Times New Roman"/>
          <w:sz w:val="19"/>
          <w:szCs w:val="19"/>
          <w:color w:val="auto"/>
        </w:rPr>
        <w:t>”). The Company Entities will process and transfer Data to any third parties, including those located outside of Italy, assisting the Corporation in the implementation, administration and management of the 2022 Plan. The Company Entities may also make the Data available to public authorities where required under locally applicable law.</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auto"/>
        </w:rPr>
        <w:t>Definition of Disability</w:t>
      </w:r>
      <w:r>
        <w:rPr>
          <w:rFonts w:ascii="Times New Roman" w:cs="Times New Roman" w:eastAsia="Times New Roman" w:hAnsi="Times New Roman"/>
          <w:sz w:val="19"/>
          <w:szCs w:val="19"/>
          <w:color w:val="auto"/>
        </w:rPr>
        <w:t>. The definition of “disability” or “Disablement” for purposes of the RSUs and the 2022 Plan shall, for the avoidance of doubt, be certified, interpreted as understood and interpreted by Italian law, unless otherwise decided by the Corporation.</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u w:val="single" w:color="auto"/>
          <w:color w:val="auto"/>
        </w:rPr>
        <w:t>Eligible Participant</w:t>
      </w:r>
      <w:r>
        <w:rPr>
          <w:rFonts w:ascii="Times New Roman" w:cs="Times New Roman" w:eastAsia="Times New Roman" w:hAnsi="Times New Roman"/>
          <w:sz w:val="19"/>
          <w:szCs w:val="19"/>
          <w:color w:val="auto"/>
        </w:rPr>
        <w:t>. The Corporation’s discretion to award rights under the 2022 Plan to eligible Participants shall be exercised in a way complying with Italian law, and in particular should not result in a breach of labor laws on equal treatment.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54" w:name="page155"/>
    <w:bookmarkEnd w:id="154"/>
    <w:p>
      <w:pPr>
        <w:jc w:val="both"/>
        <w:spacing w:after="0" w:line="262" w:lineRule="auto"/>
        <w:rPr>
          <w:sz w:val="20"/>
          <w:szCs w:val="20"/>
          <w:color w:val="auto"/>
        </w:rPr>
      </w:pPr>
      <w:r>
        <w:rPr>
          <w:rFonts w:ascii="Times New Roman" w:cs="Times New Roman" w:eastAsia="Times New Roman" w:hAnsi="Times New Roman"/>
          <w:sz w:val="19"/>
          <w:szCs w:val="19"/>
          <w:u w:val="single" w:color="auto"/>
          <w:color w:val="auto"/>
        </w:rPr>
        <w:t>Misconduct</w:t>
      </w:r>
      <w:r>
        <w:rPr>
          <w:rFonts w:ascii="Times New Roman" w:cs="Times New Roman" w:eastAsia="Times New Roman" w:hAnsi="Times New Roman"/>
          <w:sz w:val="19"/>
          <w:szCs w:val="19"/>
          <w:color w:val="auto"/>
        </w:rPr>
        <w:t>. For purposes of the RSUs and the 2022 Plan, in case of Misconduct (as described in Section 5 of the Agreement) the Committee may terminate or suspend the vesting or grant of RSUs at its own discretion, independently from any potential grievance process carried out or to be carried out under Italian law.</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u w:val="single" w:color="auto"/>
          <w:color w:val="auto"/>
        </w:rPr>
        <w:t>No Legal Claim</w:t>
      </w:r>
      <w:r>
        <w:rPr>
          <w:rFonts w:ascii="Times New Roman" w:cs="Times New Roman" w:eastAsia="Times New Roman" w:hAnsi="Times New Roman"/>
          <w:sz w:val="19"/>
          <w:szCs w:val="19"/>
          <w:color w:val="auto"/>
        </w:rPr>
        <w:t>. Participant acknowledges and agrees that the Award is a voluntary one-time benefit, and that Participant does not have a legal claim for further grants.</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u w:val="single" w:color="auto"/>
          <w:color w:val="auto"/>
        </w:rPr>
        <w:t>Taxes and Other Withholding</w:t>
      </w:r>
      <w:r>
        <w:rPr>
          <w:rFonts w:ascii="Times New Roman" w:cs="Times New Roman" w:eastAsia="Times New Roman" w:hAnsi="Times New Roman"/>
          <w:sz w:val="19"/>
          <w:szCs w:val="19"/>
          <w:color w:val="auto"/>
        </w:rPr>
        <w:t>. For purposes of determining the employment income for Italian tax purposes (Article 9, Tax Withholding of the Agreement), withholding and pay obligations shall apply in accordance with Italian law.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Terms and Conditions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u w:val="single" w:color="auto"/>
          <w:color w:val="auto"/>
        </w:rPr>
        <w:t>No Registration</w:t>
      </w:r>
      <w:r>
        <w:rPr>
          <w:rFonts w:ascii="Times New Roman" w:cs="Times New Roman" w:eastAsia="Times New Roman" w:hAnsi="Times New Roman"/>
          <w:sz w:val="19"/>
          <w:szCs w:val="19"/>
          <w:color w:val="auto"/>
        </w:rPr>
        <w:t>. An award of RSUs representing a right to receive a number of Shares under the 2022 Plan will be offered in Japan by a private placement to small number of subscribers (</w:t>
      </w:r>
      <w:r>
        <w:rPr>
          <w:rFonts w:ascii="Times New Roman" w:cs="Times New Roman" w:eastAsia="Times New Roman" w:hAnsi="Times New Roman"/>
          <w:sz w:val="19"/>
          <w:szCs w:val="19"/>
          <w:i w:val="1"/>
          <w:iCs w:val="1"/>
          <w:color w:val="auto"/>
        </w:rPr>
        <w:t>shoninzu muke kanyu</w:t>
      </w:r>
      <w:r>
        <w:rPr>
          <w:rFonts w:ascii="Times New Roman" w:cs="Times New Roman" w:eastAsia="Times New Roman" w:hAnsi="Times New Roman"/>
          <w:sz w:val="19"/>
          <w:szCs w:val="19"/>
          <w:color w:val="auto"/>
        </w:rPr>
        <w:t>), as provided under Article 23-13, Paragraph 4 of the Financial Instruments and Exchange Law of Japan (“</w:t>
      </w:r>
      <w:r>
        <w:rPr>
          <w:rFonts w:ascii="Times New Roman" w:cs="Times New Roman" w:eastAsia="Times New Roman" w:hAnsi="Times New Roman"/>
          <w:sz w:val="19"/>
          <w:szCs w:val="19"/>
          <w:u w:val="single" w:color="auto"/>
          <w:color w:val="auto"/>
        </w:rPr>
        <w:t>FIEL</w:t>
      </w:r>
      <w:r>
        <w:rPr>
          <w:rFonts w:ascii="Times New Roman" w:cs="Times New Roman" w:eastAsia="Times New Roman" w:hAnsi="Times New Roman"/>
          <w:sz w:val="19"/>
          <w:szCs w:val="19"/>
          <w:color w:val="auto"/>
        </w:rPr>
        <w:t>”), and accordingly, the filing of a securities registration statement pursuant to Article 4, Paragraph 1 of the FIEL has not been made, and such Award may not be assigned or transferred by Participant.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6304915"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850" w:right="999" w:bottom="1440"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6878320" cy="10072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6878320" cy="10072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6878320" cy="10072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6878320" cy="10072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6878320" cy="10072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6878320" cy="10072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6878320" cy="10072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6878320" cy="10072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6878320" cy="10072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6878320" cy="10072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i w:val="1"/>
          <w:iCs w:val="1"/>
          <w:color w:val="auto"/>
        </w:rPr>
        <w:t>MOBILEYE GLOBAL INC.</w:t>
      </w:r>
    </w:p>
    <w:p>
      <w:pPr>
        <w:spacing w:after="0" w:line="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i w:val="1"/>
          <w:iCs w:val="1"/>
          <w:color w:val="auto"/>
        </w:rPr>
        <w:t>SECURITIES TRADING POLICY</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(AS ADOPTED BY THE BOARD OF DIRECTORS ON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753745</wp:posOffset>
            </wp:positionV>
            <wp:extent cx="6304915"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460"/>
          </w:cols>
          <w:pgMar w:left="1440" w:top="119" w:right="999" w:bottom="1440" w:gutter="0" w:footer="0" w:header="0"/>
        </w:sectPr>
      </w:pPr>
    </w:p>
    <w:bookmarkStart w:id="161" w:name="page162"/>
    <w:bookmarkEnd w:id="161"/>
    <w:p>
      <w:pPr>
        <w:ind w:left="320" w:hanging="315"/>
        <w:spacing w:after="0"/>
        <w:tabs>
          <w:tab w:leader="none" w:pos="32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Background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16, 2023, the Board of Directors (the “</w:t>
      </w:r>
      <w:r>
        <w:rPr>
          <w:rFonts w:ascii="Times New Roman" w:cs="Times New Roman" w:eastAsia="Times New Roman" w:hAnsi="Times New Roman"/>
          <w:sz w:val="17"/>
          <w:szCs w:val="17"/>
          <w:b w:val="1"/>
          <w:bCs w:val="1"/>
          <w:u w:val="single" w:color="auto"/>
          <w:color w:val="auto"/>
        </w:rPr>
        <w:t>Board</w:t>
      </w:r>
      <w:r>
        <w:rPr>
          <w:rFonts w:ascii="Times New Roman" w:cs="Times New Roman" w:eastAsia="Times New Roman" w:hAnsi="Times New Roman"/>
          <w:sz w:val="17"/>
          <w:szCs w:val="17"/>
          <w:color w:val="auto"/>
        </w:rPr>
        <w:t>”) of Mobileye Global Inc. (“</w:t>
      </w:r>
      <w:r>
        <w:rPr>
          <w:rFonts w:ascii="Times New Roman" w:cs="Times New Roman" w:eastAsia="Times New Roman" w:hAnsi="Times New Roman"/>
          <w:sz w:val="17"/>
          <w:szCs w:val="17"/>
          <w:b w:val="1"/>
          <w:bCs w:val="1"/>
          <w:u w:val="single" w:color="auto"/>
          <w:color w:val="auto"/>
        </w:rPr>
        <w:t>Mobileye</w:t>
      </w:r>
      <w:r>
        <w:rPr>
          <w:rFonts w:ascii="Times New Roman" w:cs="Times New Roman" w:eastAsia="Times New Roman" w:hAnsi="Times New Roman"/>
          <w:sz w:val="17"/>
          <w:szCs w:val="17"/>
          <w:color w:val="auto"/>
        </w:rPr>
        <w:t>”) adopted this Securities Trading Policy for</w:t>
      </w:r>
    </w:p>
    <w:p>
      <w:pPr>
        <w:spacing w:after="0" w:line="34" w:lineRule="exact"/>
        <w:rPr>
          <w:sz w:val="20"/>
          <w:szCs w:val="20"/>
          <w:color w:val="auto"/>
        </w:rPr>
      </w:pPr>
    </w:p>
    <w:p>
      <w:pPr>
        <w:jc w:val="both"/>
        <w:ind w:firstLine="5"/>
        <w:spacing w:after="0" w:line="265" w:lineRule="auto"/>
        <w:tabs>
          <w:tab w:leader="none" w:pos="23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members, (ii) officers, (iii) employees, (iv) others who are working for or providing services to Mobileye, such as contingent workers or consultants, unless they are specifically informed otherwise in writing, and (v) certain other designated persons. It applies to the trading of Mobileye’s securities as well as the securities of certain other companies and investment funds.</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Relevant securities laws prohibit the purchase or sale of a public company’s securities by persons who are aware of material information about that company that is not generally known or available to the public – colloquially known as ‘insider trading’. Likewise, these laws prohibit persons who are aware of such material nonpublic information from disclosing this information to others. Companies and their controlling persons are also subject to liability if they fail to take reasonable steps to prevent insider trading by company personnel.</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It is important that you understand the breadth of activities that constitute insider trading and the consequences, which can be severe. The United States Securities and Exchange Commission (the “</w:t>
      </w:r>
      <w:r>
        <w:rPr>
          <w:rFonts w:ascii="Times New Roman" w:cs="Times New Roman" w:eastAsia="Times New Roman" w:hAnsi="Times New Roman"/>
          <w:sz w:val="17"/>
          <w:szCs w:val="17"/>
          <w:b w:val="1"/>
          <w:bCs w:val="1"/>
          <w:u w:val="single" w:color="auto"/>
          <w:color w:val="auto"/>
        </w:rPr>
        <w:t>SEC</w:t>
      </w:r>
      <w:r>
        <w:rPr>
          <w:rFonts w:ascii="Times New Roman" w:cs="Times New Roman" w:eastAsia="Times New Roman" w:hAnsi="Times New Roman"/>
          <w:sz w:val="17"/>
          <w:szCs w:val="17"/>
          <w:color w:val="auto"/>
        </w:rPr>
        <w:t>”), the Financial Industry Regulatory Authority, Nasdaq, and Israeli regulatory authorities investigate, and are very effective in detecting, insider trading. The SEC, together with the United States Attorneys, pursues insider trading violations vigorously. Cases have been prosecuted successfully against trading by employees through foreign accounts, trading by family members and friends, and trading involving only a small number of shares. This Policy is designed to prevent insider trading (or allegations of insider trading) and to protect both you and Mobileye from liability for such acts, as well as Mobileye’s reputation for integrity and ethical conduct. It is your obligation to understand and comply with this Policy. Should you have any questions regarding this Policy, please contact Mobileye’s General Counsel, Ms. Liz Cohen-Yerushalmi or another member of the Mobileye Legal Department (the “</w:t>
      </w:r>
      <w:r>
        <w:rPr>
          <w:rFonts w:ascii="Times New Roman" w:cs="Times New Roman" w:eastAsia="Times New Roman" w:hAnsi="Times New Roman"/>
          <w:sz w:val="17"/>
          <w:szCs w:val="17"/>
          <w:b w:val="1"/>
          <w:bCs w:val="1"/>
          <w:u w:val="single" w:color="auto"/>
          <w:color w:val="auto"/>
        </w:rPr>
        <w:t>Legal Department</w:t>
      </w:r>
      <w:r>
        <w:rPr>
          <w:rFonts w:ascii="Times New Roman" w:cs="Times New Roman" w:eastAsia="Times New Roman" w:hAnsi="Times New Roman"/>
          <w:sz w:val="17"/>
          <w:szCs w:val="17"/>
          <w:color w:val="auto"/>
        </w:rPr>
        <w:t xml:space="preserve">”) at </w:t>
      </w:r>
      <w:r>
        <w:rPr>
          <w:rFonts w:ascii="Times New Roman" w:cs="Times New Roman" w:eastAsia="Times New Roman" w:hAnsi="Times New Roman"/>
          <w:sz w:val="17"/>
          <w:szCs w:val="17"/>
          <w:u w:val="single" w:color="auto"/>
          <w:color w:val="auto"/>
        </w:rPr>
        <w:t>generalcounsel@mobileye.com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 Mobileye has discretion to act under this Policy, that discretion is in practice exercised by the Legal Department.</w:t>
      </w:r>
    </w:p>
    <w:p>
      <w:pPr>
        <w:spacing w:after="0" w:line="222" w:lineRule="exact"/>
        <w:rPr>
          <w:sz w:val="20"/>
          <w:szCs w:val="20"/>
          <w:color w:val="auto"/>
        </w:rPr>
      </w:pPr>
    </w:p>
    <w:p>
      <w:pPr>
        <w:ind w:left="320" w:hanging="315"/>
        <w:spacing w:after="0"/>
        <w:tabs>
          <w:tab w:leader="none" w:pos="32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Penalties for Noncompliance</w:t>
      </w: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Civil and Criminal Penalties</w:t>
      </w:r>
      <w:r>
        <w:rPr>
          <w:rFonts w:ascii="Times New Roman" w:cs="Times New Roman" w:eastAsia="Times New Roman" w:hAnsi="Times New Roman"/>
          <w:sz w:val="17"/>
          <w:szCs w:val="17"/>
          <w:color w:val="auto"/>
        </w:rPr>
        <w:t>. Under United States law, potential penalties for insider trading include (1) imprisonment for up to twenty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years, (2) criminal fines of up to $5 million and (3) civil fines of up to three times the profit gained or loss avoided.</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Controlling-Person Liability</w:t>
      </w:r>
      <w:r>
        <w:rPr>
          <w:rFonts w:ascii="Times New Roman" w:cs="Times New Roman" w:eastAsia="Times New Roman" w:hAnsi="Times New Roman"/>
          <w:sz w:val="17"/>
          <w:szCs w:val="17"/>
          <w:color w:val="auto"/>
        </w:rPr>
        <w:t>. If Mobileye fails to take appropriate steps to prevent insider trading, Mobileye may have “controlling person”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liability, with civil penalties of up to the greater of $1 million or three times the profit gained or loss avoided, as well as a criminal penalty of up to $25 million. The civil penalties can extend personal liability to Mobileye’s Board members, officers and other supervisory personnel if they fail to take appropriate steps to prevent insider trading.</w:t>
      </w:r>
    </w:p>
    <w:p>
      <w:pPr>
        <w:spacing w:after="0" w:line="16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Mobileye Sanctions</w:t>
      </w:r>
      <w:r>
        <w:rPr>
          <w:rFonts w:ascii="Times New Roman" w:cs="Times New Roman" w:eastAsia="Times New Roman" w:hAnsi="Times New Roman"/>
          <w:sz w:val="17"/>
          <w:szCs w:val="17"/>
          <w:color w:val="auto"/>
        </w:rPr>
        <w:t>. Failure to comply with this Policy may also subject you to Mobileye-imposed sanctions, including dismissal, whether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your failure to comply with this Policy results in insider trading.</w:t>
      </w:r>
    </w:p>
    <w:p>
      <w:pPr>
        <w:spacing w:after="0" w:line="140" w:lineRule="exact"/>
        <w:rPr>
          <w:sz w:val="20"/>
          <w:szCs w:val="20"/>
          <w:color w:val="auto"/>
        </w:rPr>
      </w:pPr>
    </w:p>
    <w:p>
      <w:pPr>
        <w:ind w:left="320" w:hanging="315"/>
        <w:spacing w:after="0"/>
        <w:tabs>
          <w:tab w:leader="none" w:pos="32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Scope of Policy</w:t>
      </w:r>
    </w:p>
    <w:p>
      <w:pPr>
        <w:spacing w:after="0" w:line="22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Persons Covered</w:t>
      </w:r>
      <w:r>
        <w:rPr>
          <w:rFonts w:ascii="Times New Roman" w:cs="Times New Roman" w:eastAsia="Times New Roman" w:hAnsi="Times New Roman"/>
          <w:sz w:val="17"/>
          <w:szCs w:val="17"/>
          <w:color w:val="auto"/>
        </w:rPr>
        <w:t>. As a Board member, officer, employee or consultant of Mobileye or its subsidiaries, this Policy applies to you. The same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restrictions that apply to you also apply to:</w:t>
      </w:r>
    </w:p>
    <w:p>
      <w:pPr>
        <w:spacing w:after="0" w:line="142" w:lineRule="exact"/>
        <w:rPr>
          <w:sz w:val="20"/>
          <w:szCs w:val="20"/>
          <w:color w:val="auto"/>
        </w:rPr>
      </w:pPr>
    </w:p>
    <w:p>
      <w:pPr>
        <w:ind w:left="640" w:hanging="320"/>
        <w:spacing w:after="0"/>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family members who reside with you;</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Anyone else who lives in your household;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6304915" cy="247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3" w:right="999" w:bottom="1440" w:gutter="0" w:footer="0" w:header="0"/>
        </w:sectPr>
      </w:pPr>
    </w:p>
    <w:bookmarkStart w:id="162" w:name="page163"/>
    <w:bookmarkEnd w:id="162"/>
    <w:p>
      <w:pPr>
        <w:ind w:left="640" w:hanging="320"/>
        <w:spacing w:after="0" w:line="296" w:lineRule="auto"/>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family members who do not live in your household but whose transactions in Mobileye securities are directed by you or are subject to your influence or control (such as parents or children who consult with you before they trade in Mobileye securities); and</w:t>
      </w:r>
    </w:p>
    <w:p>
      <w:pPr>
        <w:spacing w:after="0" w:line="144"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entities that you influence or control, including any corporations, partnerships or trusts (collectively referred to as “</w:t>
      </w:r>
      <w:r>
        <w:rPr>
          <w:rFonts w:ascii="Times New Roman" w:cs="Times New Roman" w:eastAsia="Times New Roman" w:hAnsi="Times New Roman"/>
          <w:sz w:val="17"/>
          <w:szCs w:val="17"/>
          <w:b w:val="1"/>
          <w:bCs w:val="1"/>
          <w:u w:val="single" w:color="auto"/>
          <w:color w:val="auto"/>
        </w:rPr>
        <w:t>Controlled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Entities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You are responsible for making sure that the purchase or sale of any security covered by this Policy by any such person complies with this Policy. You should make them aware of the need to confer with you before they trade in securities covered by this Policy. Where you are unsure as to whether someone falls into one of the above categories, you should err on the side of caution and assume that they do.</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Companies Covered</w:t>
      </w:r>
      <w:r>
        <w:rPr>
          <w:rFonts w:ascii="Times New Roman" w:cs="Times New Roman" w:eastAsia="Times New Roman" w:hAnsi="Times New Roman"/>
          <w:sz w:val="17"/>
          <w:szCs w:val="17"/>
          <w:color w:val="auto"/>
        </w:rPr>
        <w:t>. The prohibition on insider trading in this Policy is not limited to trading in Mobileye’s own securities. It includes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trading in securities whose value is determined, in whole or in part, by the value of Mobileye’s securities; and in the securities of other companies, such as customers or suppliers of Mobileye and companies with which Mobileye may be negotiating major transactions, such as an acquisition, investment or sale, such as Intel. It also includes trading in the securities of publicly held investment funds, mutual funds and index funds, that own a disproportionate amount of Mobileye securities compared to other securities in the fund’s portfolio. Information that is not material to Mobileye may nevertheless be material to one of these other companies.</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Transactions Covered</w:t>
      </w:r>
      <w:r>
        <w:rPr>
          <w:rFonts w:ascii="Times New Roman" w:cs="Times New Roman" w:eastAsia="Times New Roman" w:hAnsi="Times New Roman"/>
          <w:sz w:val="17"/>
          <w:szCs w:val="17"/>
          <w:color w:val="auto"/>
        </w:rPr>
        <w:t>. Trading includes purchases and sales of shares, derivative securities such as put and call options, convertible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debentures and convertible preferred shares, as well as derivative securities not issued by Mobileye, such as exchange-traded funds or exchange-traded put or call options or swaps relating to Mobileye’s shares, and debt securities (debentures, bonds and notes). Trading also includes certain transactions under Mobileye plans, as follows:</w:t>
      </w:r>
    </w:p>
    <w:p>
      <w:pPr>
        <w:spacing w:after="0" w:line="162" w:lineRule="exact"/>
        <w:rPr>
          <w:sz w:val="20"/>
          <w:szCs w:val="20"/>
          <w:color w:val="auto"/>
        </w:rPr>
      </w:pPr>
    </w:p>
    <w:p>
      <w:pPr>
        <w:jc w:val="both"/>
        <w:ind w:left="640" w:hanging="320"/>
        <w:spacing w:after="0" w:line="268" w:lineRule="auto"/>
        <w:tabs>
          <w:tab w:leader="none" w:pos="6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Option Shares</w:t>
      </w:r>
      <w:r>
        <w:rPr>
          <w:rFonts w:ascii="Times New Roman" w:cs="Times New Roman" w:eastAsia="Times New Roman" w:hAnsi="Times New Roman"/>
          <w:sz w:val="17"/>
          <w:szCs w:val="17"/>
          <w:color w:val="auto"/>
        </w:rPr>
        <w:t>. This Policy’s trading restrictions generally do not apply to the exercise of an option to purchase shares. The trading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restrictions do apply, however, to any sale of the underlying shares acquired under exercise of an option, or to a cashless exercise of the option through a broker (often called a “sameday sale”). Such a transaction entails selling a portion of the underlying shares to cover the costs of exercise and/or withholding taxes. This Policy also applies to subsequent sales of shares received upon the exercise of options in which the proceeds are used to fund the option exercise price.</w:t>
      </w:r>
    </w:p>
    <w:p>
      <w:pPr>
        <w:spacing w:after="0" w:line="165" w:lineRule="exact"/>
        <w:rPr>
          <w:rFonts w:ascii="Times New Roman" w:cs="Times New Roman" w:eastAsia="Times New Roman" w:hAnsi="Times New Roman"/>
          <w:sz w:val="17"/>
          <w:szCs w:val="17"/>
          <w:color w:val="auto"/>
        </w:rPr>
      </w:pPr>
    </w:p>
    <w:p>
      <w:pPr>
        <w:jc w:val="both"/>
        <w:ind w:left="640" w:hanging="320"/>
        <w:spacing w:after="0" w:line="272" w:lineRule="auto"/>
        <w:tabs>
          <w:tab w:leader="none" w:pos="6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Restricted Shares or Restricted Share Unit Awards</w:t>
      </w:r>
      <w:r>
        <w:rPr>
          <w:rFonts w:ascii="Times New Roman" w:cs="Times New Roman" w:eastAsia="Times New Roman" w:hAnsi="Times New Roman"/>
          <w:sz w:val="17"/>
          <w:szCs w:val="17"/>
          <w:color w:val="auto"/>
        </w:rPr>
        <w:t>. This Policy does not apply to the vesting of restricted shares or restricted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 awards, or the exercise of a tax withholding right pursuant to which you elect (or Mobileye elects on your behalf) to have Mobileye withhold shares to satisfy tax withholding requirements upon the vesting or settlement of any restricted shares or unit award. This Policy does apply, however, to any sale of restricted shares to a third party.</w:t>
      </w:r>
    </w:p>
    <w:p>
      <w:pPr>
        <w:spacing w:after="0" w:line="163"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Gifts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Bona fide gifts of securities are not transactions subject to this Policy, unless the person making the gift has reason to believe that the recipient intends to sell Mobileye securities while the donor is aware of material nonpublic information. Gifts of securities may include gifts to trusts for estate planning purposes, as well as donations to a charitable organization. Whether a gift is “bona fide” may depend on various circumstances surrounding the gift. Accordingly, you are encouraged to consult the Legal Department when contemplating a gift.</w:t>
      </w:r>
    </w:p>
    <w:p>
      <w:pPr>
        <w:spacing w:after="0" w:line="166" w:lineRule="exact"/>
        <w:rPr>
          <w:sz w:val="20"/>
          <w:szCs w:val="20"/>
          <w:color w:val="auto"/>
        </w:rPr>
      </w:pPr>
    </w:p>
    <w:p>
      <w:pPr>
        <w:ind w:left="320" w:hanging="315"/>
        <w:spacing w:after="0"/>
        <w:tabs>
          <w:tab w:leader="none" w:pos="32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Statement of Policy</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No Trading on Inside Information</w:t>
      </w:r>
      <w:r>
        <w:rPr>
          <w:rFonts w:ascii="Times New Roman" w:cs="Times New Roman" w:eastAsia="Times New Roman" w:hAnsi="Times New Roman"/>
          <w:sz w:val="17"/>
          <w:szCs w:val="17"/>
          <w:color w:val="auto"/>
        </w:rPr>
        <w:t>. You may not trade in Mobileye securities (or other companies specified in “Scope of Policy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Companies Covered” above), directly or through family members or other persons or entities, if you are aware of material nonpublic information relating to Mobileye. Similarly, you may not trade in any securities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6304915"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163" w:name="page164"/>
    <w:bookmarkEnd w:id="163"/>
    <w:p>
      <w:pPr>
        <w:jc w:val="both"/>
        <w:spacing w:after="0" w:line="296" w:lineRule="auto"/>
        <w:rPr>
          <w:sz w:val="20"/>
          <w:szCs w:val="20"/>
          <w:color w:val="auto"/>
        </w:rPr>
      </w:pPr>
      <w:r>
        <w:rPr>
          <w:rFonts w:ascii="Times New Roman" w:cs="Times New Roman" w:eastAsia="Times New Roman" w:hAnsi="Times New Roman"/>
          <w:sz w:val="17"/>
          <w:szCs w:val="17"/>
          <w:color w:val="auto"/>
        </w:rPr>
        <w:t>value is determined, in whole or in part, by the value of Mobileye’s securities; or in the securities of any other company if you are aware of material nonpublic information about that other company that you obtained in the course of your engagement with Mobileye.</w:t>
      </w:r>
    </w:p>
    <w:p>
      <w:pPr>
        <w:spacing w:after="0" w:line="1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No “Tipping”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You may not pass material nonpublic information on to others or recommend to others the purchase or sale of any securities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when you are aware of such information. This practice, known as “tipping,” also violates the securities laws and can result in the same civil and criminal penalties that apply to insider trading, even though you did not trade and </w:t>
      </w:r>
      <w:r>
        <w:rPr>
          <w:rFonts w:ascii="Times New Roman" w:cs="Times New Roman" w:eastAsia="Times New Roman" w:hAnsi="Times New Roman"/>
          <w:sz w:val="17"/>
          <w:szCs w:val="17"/>
          <w:i w:val="1"/>
          <w:iCs w:val="1"/>
          <w:color w:val="auto"/>
        </w:rPr>
        <w:t>did not gain any benefit</w:t>
      </w:r>
      <w:r>
        <w:rPr>
          <w:rFonts w:ascii="Times New Roman" w:cs="Times New Roman" w:eastAsia="Times New Roman" w:hAnsi="Times New Roman"/>
          <w:sz w:val="17"/>
          <w:szCs w:val="17"/>
          <w:color w:val="auto"/>
        </w:rPr>
        <w:t xml:space="preserve"> from the other person’s trading.</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 Assisting Others</w:t>
      </w:r>
      <w:r>
        <w:rPr>
          <w:rFonts w:ascii="Times New Roman" w:cs="Times New Roman" w:eastAsia="Times New Roman" w:hAnsi="Times New Roman"/>
          <w:sz w:val="17"/>
          <w:szCs w:val="17"/>
          <w:color w:val="auto"/>
        </w:rPr>
        <w:t>. You may not assist anyone in engaging in any activity prohibited by this Policy.</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No Exception for Hardship</w:t>
      </w:r>
      <w:r>
        <w:rPr>
          <w:rFonts w:ascii="Times New Roman" w:cs="Times New Roman" w:eastAsia="Times New Roman" w:hAnsi="Times New Roman"/>
          <w:sz w:val="17"/>
          <w:szCs w:val="17"/>
          <w:color w:val="auto"/>
        </w:rPr>
        <w:t>. The existence of a personal financial emergency or hardship does not excuse you from compliance with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Policy.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 Exception for ‘Small’ Trades</w:t>
      </w:r>
      <w:r>
        <w:rPr>
          <w:rFonts w:ascii="Times New Roman" w:cs="Times New Roman" w:eastAsia="Times New Roman" w:hAnsi="Times New Roman"/>
          <w:sz w:val="17"/>
          <w:szCs w:val="17"/>
          <w:color w:val="auto"/>
        </w:rPr>
        <w:t>. There is no exception for a ‘small’ trade or a ‘small’ profit made/loss prevented.</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No Exception for Transactions Unrelated to Inside Information</w:t>
      </w:r>
      <w:r>
        <w:rPr>
          <w:rFonts w:ascii="Times New Roman" w:cs="Times New Roman" w:eastAsia="Times New Roman" w:hAnsi="Times New Roman"/>
          <w:sz w:val="17"/>
          <w:szCs w:val="17"/>
          <w:color w:val="auto"/>
        </w:rPr>
        <w:t>. There are no exceptions to this Policy, except as specifically noted herein.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securities laws do not recognize any mitigating circumstances, and, in any event, even the appearance of an improper transaction must be avoided to preserve Mobileye’s reputation for adhering to the highest standard of conduct. To avoid even the appearance of impropriety, additional restrictions on trading Mobileye securities apply to directors, officers and certain designated employees who have regular access to material nonpublic information about Mobileye. These policies are set forth in the Addendum attached hereto (the “</w:t>
      </w:r>
      <w:r>
        <w:rPr>
          <w:rFonts w:ascii="Times New Roman" w:cs="Times New Roman" w:eastAsia="Times New Roman" w:hAnsi="Times New Roman"/>
          <w:sz w:val="17"/>
          <w:szCs w:val="17"/>
          <w:b w:val="1"/>
          <w:bCs w:val="1"/>
          <w:u w:val="single" w:color="auto"/>
          <w:color w:val="auto"/>
        </w:rPr>
        <w:t>Addendum</w:t>
      </w:r>
      <w:r>
        <w:rPr>
          <w:rFonts w:ascii="Times New Roman" w:cs="Times New Roman" w:eastAsia="Times New Roman" w:hAnsi="Times New Roman"/>
          <w:sz w:val="17"/>
          <w:szCs w:val="17"/>
          <w:color w:val="auto"/>
        </w:rPr>
        <w:t>”). Mobileye will notify you if you are subject to the Addendum. The Addendum generally prohibits directors, officers and the designated employees from any trading in Mobileye securities during blackout periods and, for a sub-set of them, requires pre-clearance for all transactions in Mobileye securities.</w:t>
      </w:r>
    </w:p>
    <w:p>
      <w:pPr>
        <w:spacing w:after="0" w:line="383" w:lineRule="exact"/>
        <w:rPr>
          <w:sz w:val="20"/>
          <w:szCs w:val="20"/>
          <w:color w:val="auto"/>
        </w:rPr>
      </w:pPr>
    </w:p>
    <w:p>
      <w:pPr>
        <w:ind w:left="320" w:hanging="315"/>
        <w:spacing w:after="0"/>
        <w:tabs>
          <w:tab w:leader="none" w:pos="32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 of “Material Nonpublic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that inside information has two important elements—materiality and public availability.</w:t>
      </w:r>
    </w:p>
    <w:p>
      <w:pPr>
        <w:spacing w:after="0" w:line="2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Material Information</w:t>
      </w:r>
      <w:r>
        <w:rPr>
          <w:rFonts w:ascii="Times New Roman" w:cs="Times New Roman" w:eastAsia="Times New Roman" w:hAnsi="Times New Roman"/>
          <w:sz w:val="17"/>
          <w:szCs w:val="17"/>
          <w:color w:val="auto"/>
        </w:rPr>
        <w:t>. Information is material if there is a substantial likelihood that a reasonable investor would consider it important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deciding whether to buy, hold or sell a security. Any information that could reasonably be expected to affect the price of the security is material. Depending on the circumstances, the following may constitute material information:</w:t>
      </w:r>
    </w:p>
    <w:p>
      <w:pPr>
        <w:spacing w:after="0" w:line="161" w:lineRule="exact"/>
        <w:rPr>
          <w:sz w:val="20"/>
          <w:szCs w:val="20"/>
          <w:color w:val="auto"/>
        </w:rPr>
      </w:pPr>
    </w:p>
    <w:p>
      <w:pPr>
        <w:ind w:left="640" w:hanging="320"/>
        <w:spacing w:after="0" w:line="296" w:lineRule="auto"/>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guidance, including projections of future revenues, costs, earnings or losses, changes to previously announced earnings guidance, or the decision to suspend earnings guidance,</w:t>
      </w:r>
    </w:p>
    <w:p>
      <w:pPr>
        <w:spacing w:after="0" w:line="146"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or operating results that are inconsistent with the consensus expectations of the investment community,</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merger, acquisition or tender offer or an acquisition or disposition of significant assets,</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pending or proposed joint venture,</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Mobileye restructuring or a significant related-party transaction,</w:t>
      </w:r>
    </w:p>
    <w:p>
      <w:pPr>
        <w:spacing w:after="0" w:line="223" w:lineRule="exact"/>
        <w:rPr>
          <w:rFonts w:ascii="Times New Roman" w:cs="Times New Roman" w:eastAsia="Times New Roman" w:hAnsi="Times New Roman"/>
          <w:sz w:val="17"/>
          <w:szCs w:val="17"/>
          <w:color w:val="auto"/>
        </w:rPr>
      </w:pPr>
    </w:p>
    <w:p>
      <w:pPr>
        <w:ind w:left="640" w:hanging="320"/>
        <w:spacing w:after="0" w:line="296" w:lineRule="auto"/>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events regarding Mobileye’s securities, including a change in dividend policy, the declaration of a share split, the offering of additional securities or the establishment of a repurchase program,</w:t>
      </w:r>
    </w:p>
    <w:p>
      <w:pPr>
        <w:spacing w:after="0" w:line="146"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borrowings or other financing transactions out of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6304915"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164" w:name="page165"/>
    <w:bookmarkEnd w:id="164"/>
    <w:p>
      <w:pPr>
        <w:ind w:left="640" w:hanging="320"/>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financial liquidity problems or an impending bankruptcy,</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executive management,</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threatened major litigation or government action, or the resolution of such litigation,</w:t>
      </w:r>
    </w:p>
    <w:p>
      <w:pPr>
        <w:spacing w:after="0" w:line="223" w:lineRule="exact"/>
        <w:rPr>
          <w:rFonts w:ascii="Times New Roman" w:cs="Times New Roman" w:eastAsia="Times New Roman" w:hAnsi="Times New Roman"/>
          <w:sz w:val="17"/>
          <w:szCs w:val="17"/>
          <w:color w:val="auto"/>
        </w:rPr>
      </w:pPr>
    </w:p>
    <w:p>
      <w:pPr>
        <w:ind w:left="640" w:hanging="320"/>
        <w:spacing w:after="0" w:line="296" w:lineRule="auto"/>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technology events, such as major discoveries or significant developments of or changes in products, research or technologies,</w:t>
      </w:r>
    </w:p>
    <w:p>
      <w:pPr>
        <w:spacing w:after="0" w:line="146"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major contracts, orders, suppliers, customers, partners or finance sources, the loss thereof or major marketing changes,</w:t>
      </w:r>
    </w:p>
    <w:p>
      <w:pPr>
        <w:spacing w:after="0" w:line="223" w:lineRule="exact"/>
        <w:rPr>
          <w:rFonts w:ascii="Times New Roman" w:cs="Times New Roman" w:eastAsia="Times New Roman" w:hAnsi="Times New Roman"/>
          <w:sz w:val="17"/>
          <w:szCs w:val="17"/>
          <w:color w:val="auto"/>
        </w:rPr>
      </w:pPr>
    </w:p>
    <w:p>
      <w:pPr>
        <w:ind w:left="640" w:hanging="320"/>
        <w:spacing w:after="0" w:line="296" w:lineRule="auto"/>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or licensing of products or product candidates, the introduction or a change in status of significant new products, or a significant change in Mobileye’s pricing or cost structure,</w:t>
      </w:r>
    </w:p>
    <w:p>
      <w:pPr>
        <w:spacing w:after="0" w:line="146"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auditors or notification that the auditor’s reports may no longer be relied upon,</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a ban on trading in Mobileye securities or the securities of another company, and</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or risk that may adversely affect Mobileye.</w:t>
      </w:r>
    </w:p>
    <w:p>
      <w:pPr>
        <w:spacing w:after="0" w:line="2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 xml:space="preserve">Both positive and negative information can be material. </w:t>
      </w:r>
      <w:r>
        <w:rPr>
          <w:rFonts w:ascii="Times New Roman" w:cs="Times New Roman" w:eastAsia="Times New Roman" w:hAnsi="Times New Roman"/>
          <w:sz w:val="17"/>
          <w:szCs w:val="17"/>
          <w:i w:val="1"/>
          <w:iCs w:val="1"/>
          <w:color w:val="auto"/>
        </w:rPr>
        <w:t>Because trading that receives scrutiny will be evaluated after the fact with the benefit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hindsight (i.e. with the benefit of seeing what actually happened to the share price), questions concerning the materiality of particular information should be resolved in favor of materiality</w:t>
      </w:r>
      <w:r>
        <w:rPr>
          <w:rFonts w:ascii="Times New Roman" w:cs="Times New Roman" w:eastAsia="Times New Roman" w:hAnsi="Times New Roman"/>
          <w:sz w:val="17"/>
          <w:szCs w:val="17"/>
          <w:color w:val="auto"/>
        </w:rPr>
        <w:t>. In other words, in case of doubt, trading should be avoided.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Nonpublic Information</w:t>
      </w:r>
      <w:r>
        <w:rPr>
          <w:rFonts w:ascii="Times New Roman" w:cs="Times New Roman" w:eastAsia="Times New Roman" w:hAnsi="Times New Roman"/>
          <w:sz w:val="17"/>
          <w:szCs w:val="17"/>
          <w:color w:val="auto"/>
        </w:rPr>
        <w:t>. Nonpublic information is information that is not generally known or available to the public. One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misconception is that material information loses its “nonpublic” status as soon as a press release is issued disclosing the information. In fact, information is considered to be available to the public only when it has been released broadly to the marketplace (such as by (i) disclosure through the Dow Jones “broad tape” or a newswire service, (ii) publication in a widely available newspaper, magazine or news website, or</w:t>
      </w:r>
    </w:p>
    <w:p>
      <w:pPr>
        <w:jc w:val="both"/>
        <w:ind w:firstLine="5"/>
        <w:spacing w:after="0" w:line="260" w:lineRule="auto"/>
        <w:tabs>
          <w:tab w:leader="none" w:pos="30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filing public disclosure documents with the SEC that are available on the SEC’s website) </w:t>
      </w:r>
      <w:r>
        <w:rPr>
          <w:rFonts w:ascii="Times New Roman" w:cs="Times New Roman" w:eastAsia="Times New Roman" w:hAnsi="Times New Roman"/>
          <w:sz w:val="17"/>
          <w:szCs w:val="17"/>
          <w:b w:val="1"/>
          <w:bCs w:val="1"/>
          <w:i w:val="1"/>
          <w:iCs w:val="1"/>
          <w:color w:val="auto"/>
        </w:rPr>
        <w:t>and</w:t>
      </w:r>
      <w:r>
        <w:rPr>
          <w:rFonts w:ascii="Times New Roman" w:cs="Times New Roman" w:eastAsia="Times New Roman" w:hAnsi="Times New Roman"/>
          <w:sz w:val="17"/>
          <w:szCs w:val="17"/>
          <w:color w:val="auto"/>
        </w:rPr>
        <w:t xml:space="preserve"> the investing public has had time to digest the information fully. As a general rule, information is considered nonpublic until the end of one full trading day after the information is released. For example, if Mobileye announces earnings before trading begins on a Tuesday, then the first time you can buy or sell Mobileye securities is the opening of the market on Wednesday (assuming you are not aware of other material nonpublic information at that time). However, if Mobileye announces earnings after trading begins on that Tuesday, then the first time you can buy or sell Mobileye securities is the opening of the market on Thursday.</w:t>
      </w:r>
    </w:p>
    <w:p>
      <w:pPr>
        <w:spacing w:after="0" w:line="176" w:lineRule="exact"/>
        <w:rPr>
          <w:sz w:val="20"/>
          <w:szCs w:val="20"/>
          <w:color w:val="auto"/>
        </w:rPr>
      </w:pPr>
    </w:p>
    <w:p>
      <w:pPr>
        <w:ind w:left="320" w:hanging="315"/>
        <w:spacing w:after="0"/>
        <w:tabs>
          <w:tab w:leader="none" w:pos="32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Blackout Procedures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Quarterly Blackout</w:t>
      </w:r>
      <w:r>
        <w:rPr>
          <w:rFonts w:ascii="Times New Roman" w:cs="Times New Roman" w:eastAsia="Times New Roman" w:hAnsi="Times New Roman"/>
          <w:sz w:val="17"/>
          <w:szCs w:val="17"/>
          <w:color w:val="auto"/>
        </w:rPr>
        <w:t>. The following blackout procedures apply to all Mobileye directors and officers and certain designated employees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together with their family members and other members of their household and Controlled Entities as described under “Scope of Policy – Persons Covered” above. Mobileye’s announcement of its quarterly financial results always has the potential to have a material effect on the market for Mobileye’s securities. Therefore, to avoid even the appearance of trading on the basis of material nonpublic information, Relevant Individuals may not trade in Mobileye’s securities during the period beginning 15 calendar days before the close of each fiscal quarter and ending after one full trading day following the release of Mobileye’s earnings for that quarter on Form 8-K (note that the Form 10-Q for the applicable period may be filed later than the Form 8-K, but the filing of the Form 8-K is the relevant date for this purpose).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Event-Specific Blackouts</w:t>
      </w:r>
      <w:r>
        <w:rPr>
          <w:rFonts w:ascii="Times New Roman" w:cs="Times New Roman" w:eastAsia="Times New Roman" w:hAnsi="Times New Roman"/>
          <w:sz w:val="17"/>
          <w:szCs w:val="17"/>
          <w:color w:val="auto"/>
        </w:rPr>
        <w:t>. From time to time, an event may occur that may be considered material to Mobileye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6304915"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165" w:name="page166"/>
    <w:bookmarkEnd w:id="165"/>
    <w:p>
      <w:pPr>
        <w:jc w:val="both"/>
        <w:spacing w:after="0" w:line="296" w:lineRule="auto"/>
        <w:rPr>
          <w:sz w:val="20"/>
          <w:szCs w:val="20"/>
          <w:color w:val="auto"/>
        </w:rPr>
      </w:pPr>
      <w:r>
        <w:rPr>
          <w:rFonts w:ascii="Times New Roman" w:cs="Times New Roman" w:eastAsia="Times New Roman" w:hAnsi="Times New Roman"/>
          <w:sz w:val="17"/>
          <w:szCs w:val="17"/>
          <w:color w:val="auto"/>
        </w:rPr>
        <w:t>is not publicly known. As long as the event may be considered material and remains nonpublic, the persons who are aware of the event may not trade in Mobileye securities or investment funds that own a disproportionate amount of Mobileye’s securities.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whenever Mobileye considers it necessary or desirable to promote compliance with applicable securities laws, it may notify all or any group of Board members, officers, employees or consultants that they are not permitted to trade in Mobileye’s securities or in the securities of another public company. This trading restriction is known as an “event-specific blackout.” Mobileye has full discretion to determine the time period during which trading will be blacked out. Because it is often difficult to assess the materiality of nonpublic information, Mobileye may impose an event-specific blackout if there is risk that nonpublic information may be material, even though the matter is not free from doubt.</w:t>
      </w:r>
    </w:p>
    <w:p>
      <w:pPr>
        <w:spacing w:after="0" w:line="3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existence of an event-specific blackout will be announced only to those persons who are prohibited from trading. It applies to these persons whether or not they are aware of the event that triggered the blackout. A person who was made aware of the existence of an event-specific blackout should not disclose the existence of the blackout to anyone else.</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failure of the Legal Department to subject a person to an event-specific blackout will not relieve that person of the obligation not to trade while aware of material nonpublic information.</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Interim Earnings Guidance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Mobileye may on occasion issue interim earnings guidance or other potentially material information by means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a press release, SEC filing on Form 8-K, or other means designed to achieve widespread dissemination of the information. You should anticipate that trading will be blacked out while Mobileye is in the process of assembling the information to be released and until the information has been released and fully absorbed by the market. Mobileye has full discretion to determine the time period during which trading will be blacked out and the persons to whom the blackout will apply.</w:t>
      </w:r>
    </w:p>
    <w:p>
      <w:pPr>
        <w:spacing w:after="0" w:line="16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Cancellation of Orders Given Prior to the Beginning of a Blackout Period. </w:t>
      </w:r>
      <w:r>
        <w:rPr>
          <w:rFonts w:ascii="Times New Roman" w:cs="Times New Roman" w:eastAsia="Times New Roman" w:hAnsi="Times New Roman"/>
          <w:sz w:val="17"/>
          <w:szCs w:val="17"/>
          <w:color w:val="auto"/>
        </w:rPr>
        <w:t>If you have given an order for a trade that is not yet executed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beginning of a blackout period, you must immediately cancel that order as soon as the blackout period begins.</w:t>
      </w:r>
    </w:p>
    <w:p>
      <w:pPr>
        <w:spacing w:after="0" w:line="13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General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Even if a blackout period is not in effect, at no time may you trade in Mobileye securities if you are aware of material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nonpublic information about Mobileye.</w:t>
      </w:r>
    </w:p>
    <w:p>
      <w:pPr>
        <w:spacing w:after="0" w:line="140" w:lineRule="exact"/>
        <w:rPr>
          <w:sz w:val="20"/>
          <w:szCs w:val="20"/>
          <w:color w:val="auto"/>
        </w:rPr>
      </w:pPr>
    </w:p>
    <w:p>
      <w:pPr>
        <w:ind w:left="320" w:hanging="315"/>
        <w:spacing w:after="0"/>
        <w:tabs>
          <w:tab w:leader="none" w:pos="3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Exception for Approved 10b5-1 Plans</w:t>
      </w:r>
    </w:p>
    <w:p>
      <w:pPr>
        <w:spacing w:after="0" w:line="22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SEC Rule 10b5-1 provides an affirmative defense from insider trading liability under the United States federal securities laws for trading plans that meet certain requirements (“</w:t>
      </w:r>
      <w:r>
        <w:rPr>
          <w:rFonts w:ascii="Times New Roman" w:cs="Times New Roman" w:eastAsia="Times New Roman" w:hAnsi="Times New Roman"/>
          <w:sz w:val="17"/>
          <w:szCs w:val="17"/>
          <w:b w:val="1"/>
          <w:bCs w:val="1"/>
          <w:color w:val="auto"/>
        </w:rPr>
        <w:t>10b5-1 Plans</w:t>
      </w:r>
      <w:r>
        <w:rPr>
          <w:rFonts w:ascii="Times New Roman" w:cs="Times New Roman" w:eastAsia="Times New Roman" w:hAnsi="Times New Roman"/>
          <w:sz w:val="17"/>
          <w:szCs w:val="17"/>
          <w:color w:val="auto"/>
        </w:rPr>
        <w:t xml:space="preserve">”). Detailed information concerning 10b5-1 plans is set forth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to this Policy.</w:t>
      </w:r>
    </w:p>
    <w:p>
      <w:pPr>
        <w:spacing w:after="0" w:line="366" w:lineRule="exact"/>
        <w:rPr>
          <w:sz w:val="20"/>
          <w:szCs w:val="20"/>
          <w:color w:val="auto"/>
        </w:rPr>
      </w:pPr>
    </w:p>
    <w:p>
      <w:pPr>
        <w:ind w:left="320" w:hanging="315"/>
        <w:spacing w:after="0"/>
        <w:tabs>
          <w:tab w:leader="none" w:pos="32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Guidance</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Mobileye considers it improper for those who are employed by or associated with Mobileye to engage in short-term or speculative transactions in Mobileye’s securities or in other transactions in Mobileye’s securities that may lead to inadvertent violations of the insider trading laws. Accordingly, your trading in Mobileye securities is subject to the following additional guidelines:</w:t>
      </w:r>
    </w:p>
    <w:p>
      <w:pPr>
        <w:spacing w:after="0" w:line="16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Short Sales</w:t>
      </w:r>
      <w:r>
        <w:rPr>
          <w:rFonts w:ascii="Times New Roman" w:cs="Times New Roman" w:eastAsia="Times New Roman" w:hAnsi="Times New Roman"/>
          <w:sz w:val="17"/>
          <w:szCs w:val="17"/>
          <w:color w:val="auto"/>
        </w:rPr>
        <w:t>. You may not engage in short sales of Mobileye’s securities (sales of securities that you do not own, i.e. borrowed securities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sales of securities that you do own, but with delayed delivery). You must maintain ownership of a number of shares at least equal to the number that you sold short.</w:t>
      </w:r>
    </w:p>
    <w:p>
      <w:pPr>
        <w:spacing w:after="0" w:line="15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Options, Other Derivative Securities and Hedging. </w:t>
      </w:r>
      <w:r>
        <w:rPr>
          <w:rFonts w:ascii="Times New Roman" w:cs="Times New Roman" w:eastAsia="Times New Roman" w:hAnsi="Times New Roman"/>
          <w:sz w:val="17"/>
          <w:szCs w:val="17"/>
          <w:color w:val="auto"/>
        </w:rPr>
        <w:t>You may not engage in transactions involving options on Mobileye’s securities,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puts, calls and other derivative securities, whether on an exchange or in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6304915"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166" w:name="page167"/>
    <w:bookmarkEnd w:id="166"/>
    <w:p>
      <w:pPr>
        <w:jc w:val="both"/>
        <w:spacing w:after="0" w:line="276" w:lineRule="auto"/>
        <w:rPr>
          <w:sz w:val="20"/>
          <w:szCs w:val="20"/>
          <w:color w:val="auto"/>
        </w:rPr>
      </w:pPr>
      <w:r>
        <w:rPr>
          <w:rFonts w:ascii="Times New Roman" w:cs="Times New Roman" w:eastAsia="Times New Roman" w:hAnsi="Times New Roman"/>
          <w:sz w:val="17"/>
          <w:szCs w:val="17"/>
          <w:color w:val="auto"/>
        </w:rPr>
        <w:t>market. You also may not engage in hedging transactions, such as collars, equity swaps, exchange funds and forward sale contracts or otherwise engage in transactions that hedge or offset, or are designed to hedge or offset, any decrease in the market value of Mobileye’s securities. (Please consult the Legal Department if you are uncertain whether a particular type of transaction is covered by this prohibition.)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Standing or Limit Orders</w:t>
      </w:r>
      <w:r>
        <w:rPr>
          <w:rFonts w:ascii="Times New Roman" w:cs="Times New Roman" w:eastAsia="Times New Roman" w:hAnsi="Times New Roman"/>
          <w:sz w:val="17"/>
          <w:szCs w:val="17"/>
          <w:color w:val="auto"/>
        </w:rPr>
        <w:t>. A standing or limit order is an instruction to a broker to trade a security if the market price reaches a certain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amount. Standing or limit orders are permitted, but they involve risk because they leave you with no control over the timing of the transaction and could be executed by the broker when you are aware of material nonpublic information, which could constitute insider trading. If you place such an order at a time when you do not have material non-public information, it is possible -but not certain – that it will satisfy the requirements to qualify as a 10b5-1 plan. This Policy recommends, however, that instead of standing or limit orders you instead use a formal written 10b5-1 plan (see Schedule A).</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Margin Accounts and Pledges</w:t>
      </w:r>
      <w:r>
        <w:rPr>
          <w:rFonts w:ascii="Times New Roman" w:cs="Times New Roman" w:eastAsia="Times New Roman" w:hAnsi="Times New Roman"/>
          <w:sz w:val="17"/>
          <w:szCs w:val="17"/>
          <w:color w:val="auto"/>
        </w:rPr>
        <w:t>. Securities held in a margin account or pledged as collateral for a loan may be sold without your consent—by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broker if you fail to meet a margin call, or by the lender in foreclosure if you default on the loan. Because a margin or foreclosure sale may occur at a time when you are aware of material nonpublic information or otherwise are not permitted to trade in Mobileye securities, you are prohibited from holding Mobileye securities in a margin account or pledging Mobileye securities as collateral for a loan. An exception to this prohibition may be granted where you wish to pledge Mobileye securities as collateral for a loan (not including margin debt) and clearly demonstrate the financial capacity to repay the loan without resort to the pledged securities. If you wish to pledge Mobileye securities as collateral for a loan, you must submit a request for approval to the Legal Department at least two weeks prior to the proposed execution of documents evidencing the proposed pledge.</w:t>
      </w:r>
    </w:p>
    <w:p>
      <w:pPr>
        <w:spacing w:after="0" w:line="1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Short-Term Trading</w:t>
      </w:r>
      <w:r>
        <w:rPr>
          <w:rFonts w:ascii="Times New Roman" w:cs="Times New Roman" w:eastAsia="Times New Roman" w:hAnsi="Times New Roman"/>
          <w:sz w:val="17"/>
          <w:szCs w:val="17"/>
          <w:color w:val="auto"/>
        </w:rPr>
        <w:t>. If you purchase Mobileye securities in the open market, you may not sell any Mobileye securities of the same class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includes any other securities that are convertible or exchangeable into such class) during the six months following the purchase (or vice versa). Short-term trading of Mobileye securities may be distracting to the person and may unduly focus the person on Mobileye’s short-term stock market performance instead of Mobileye’s long-term business objectives.</w:t>
      </w:r>
    </w:p>
    <w:p>
      <w:pPr>
        <w:spacing w:after="0" w:line="164" w:lineRule="exact"/>
        <w:rPr>
          <w:sz w:val="20"/>
          <w:szCs w:val="20"/>
          <w:color w:val="auto"/>
        </w:rPr>
      </w:pPr>
    </w:p>
    <w:p>
      <w:pPr>
        <w:ind w:left="320" w:hanging="315"/>
        <w:spacing w:after="0"/>
        <w:tabs>
          <w:tab w:leader="none" w:pos="32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Post-Termination Transactions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Policy continues to apply to your transactions in Mobileye securities even after you have separated from service with Mobileye or a subsidiary. If you are aware of material nonpublic information when your employment or service relationship terminates, you may not trade in Mobileye securities until that information has become public or is no longer material. All applicable “blackout” periods that are pending at the time of termination of your employment or service relationship will also continue to apply after termination of that relationship, until the scheduled end of those “blackout” periods as of the time of termination of your employment or other service relationship. The pre-clearance procedures specified in the Addendum, however, will cease to apply to transactions in Mobileye securities upon the expiration of any blackout period or other Mobileye-imposed trading restrictions applicable at the time of the termination of service.</w:t>
      </w:r>
    </w:p>
    <w:p>
      <w:pPr>
        <w:spacing w:after="0" w:line="175" w:lineRule="exact"/>
        <w:rPr>
          <w:sz w:val="20"/>
          <w:szCs w:val="20"/>
          <w:color w:val="auto"/>
        </w:rPr>
      </w:pPr>
    </w:p>
    <w:p>
      <w:pPr>
        <w:ind w:left="320" w:hanging="315"/>
        <w:spacing w:after="0"/>
        <w:tabs>
          <w:tab w:leader="none" w:pos="32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Unauthorized Disclosure</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Maintaining the confidentiality of Mobileye information is essential for competitive, security and other business reasons, as well as to comply with securities laws. You should treat all information you learn about Mobileye or its business plans in connection with your employment as confidential and proprietary to Mobileye. Employees should treat all corporate information with discretion and discuss confidential data only with those Mobileye employees who have a right and a need to know. In particular, do not discuss confidential information with relatives, friends or acquaintances. Inadvertent disclosure of confidential or inside information may expose Mobileye and you to significant risk of investigation and litigation. Please consult with the Legal Department regarding Mobileye’s corporate communications policies for more details regarding Mobileye’s policy on speaking to the media, financial analysts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6304915"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4" w:right="999" w:bottom="1440" w:gutter="0" w:footer="0" w:header="0"/>
        </w:sectPr>
      </w:pPr>
    </w:p>
    <w:bookmarkStart w:id="167" w:name="page168"/>
    <w:bookmarkEnd w:id="167"/>
    <w:p>
      <w:pPr>
        <w:jc w:val="both"/>
        <w:spacing w:after="0" w:line="276" w:lineRule="auto"/>
        <w:rPr>
          <w:sz w:val="20"/>
          <w:szCs w:val="20"/>
          <w:color w:val="auto"/>
        </w:rPr>
      </w:pPr>
      <w:r>
        <w:rPr>
          <w:rFonts w:ascii="Times New Roman" w:cs="Times New Roman" w:eastAsia="Times New Roman" w:hAnsi="Times New Roman"/>
          <w:sz w:val="17"/>
          <w:szCs w:val="17"/>
          <w:color w:val="auto"/>
        </w:rPr>
        <w:t>The timing and nature of Mobileye’s disclosure of material information to outsiders is subject to legal rules, the breach of which could result in substantial liability to you, Mobileye and its management. Accordingly, it is important that responses to inquiries about Mobileye by the press, investment analysts or others in the financial community be made on Mobileye’s behalf only through authorized individuals.</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In addition, you are prohibited at </w:t>
      </w:r>
      <w:r>
        <w:rPr>
          <w:rFonts w:ascii="Times New Roman" w:cs="Times New Roman" w:eastAsia="Times New Roman" w:hAnsi="Times New Roman"/>
          <w:sz w:val="17"/>
          <w:szCs w:val="17"/>
          <w:b w:val="1"/>
          <w:bCs w:val="1"/>
          <w:i w:val="1"/>
          <w:iCs w:val="1"/>
          <w:color w:val="auto"/>
        </w:rPr>
        <w:t>all</w:t>
      </w:r>
      <w:r>
        <w:rPr>
          <w:rFonts w:ascii="Times New Roman" w:cs="Times New Roman" w:eastAsia="Times New Roman" w:hAnsi="Times New Roman"/>
          <w:sz w:val="17"/>
          <w:szCs w:val="17"/>
          <w:color w:val="auto"/>
        </w:rPr>
        <w:t xml:space="preserve"> times from posting any confidential information about Mobileye, including but not limited to confidential information about its products, its customers and partners, or its potential customers and partners, as well as any other confidential or “material” nonpublic information, in any Internet posting or discussion group. This includes, but is not limited to, Internet message boards, social media sites, blogs, chat rooms and any other website or web service that allows users to post content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Facebook, LinkedIn, Twitter, Quora, and the like).</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Please do not try to resolve uncertainties on your own, as the rules relating to insider trading are often complex and not always intuitive while violations entail severe consequences.</w:t>
      </w:r>
    </w:p>
    <w:p>
      <w:pPr>
        <w:spacing w:after="0" w:line="145" w:lineRule="exact"/>
        <w:rPr>
          <w:sz w:val="20"/>
          <w:szCs w:val="20"/>
          <w:color w:val="auto"/>
        </w:rPr>
      </w:pPr>
    </w:p>
    <w:p>
      <w:pPr>
        <w:ind w:left="320" w:hanging="315"/>
        <w:spacing w:after="0"/>
        <w:tabs>
          <w:tab w:leader="none" w:pos="3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Specific Provisions on Board Members’ Transactions in Listed Securities of Other Companies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not prohibited by this Policy, a member of the Board may freely execute transactions in listed securities of other companies.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However, in the event that it is likely that one or more members of the Board are or may be in possession of material information relating to another company whose shares are publicly traded, the Presiding Director of the Board may determine that members of the Board cannot execute transactions in the securities of that publicly traded company. In the event the Presiding Director of the Board is in possession of material nonpublic information with respect to another publicly traded company, the entire Board shall determine whether the Presiding Director may execute any proposed transaction in the securities of that company.</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 Board member who has entered into a written arrangement transferring the full management of his or her securities portfolio to an independent third party is exempt from compliance with the provisions of the foregoing paragraph.</w:t>
      </w:r>
    </w:p>
    <w:p>
      <w:pPr>
        <w:spacing w:after="0" w:line="145" w:lineRule="exact"/>
        <w:rPr>
          <w:sz w:val="20"/>
          <w:szCs w:val="20"/>
          <w:color w:val="auto"/>
        </w:rPr>
      </w:pPr>
    </w:p>
    <w:p>
      <w:pPr>
        <w:ind w:left="320" w:hanging="315"/>
        <w:spacing w:after="0"/>
        <w:tabs>
          <w:tab w:leader="none" w:pos="32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Personal Responsibility</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You should remember that the ultimate responsibility for adhering to this Policy and avoiding improper trading rests with you. If you violate this Policy, Mobileye may take disciplinary action, including dismissal.</w:t>
      </w:r>
    </w:p>
    <w:p>
      <w:pPr>
        <w:spacing w:after="0" w:line="145" w:lineRule="exact"/>
        <w:rPr>
          <w:sz w:val="20"/>
          <w:szCs w:val="20"/>
          <w:color w:val="auto"/>
        </w:rPr>
      </w:pPr>
    </w:p>
    <w:p>
      <w:pPr>
        <w:ind w:left="320" w:hanging="315"/>
        <w:spacing w:after="0"/>
        <w:tabs>
          <w:tab w:leader="none" w:pos="32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Mobileye Assistance</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Your compliance with this Policy is of the utmost importance both for you and for Mobileye. If you have any questions about this Policy or its application to any proposed transaction, you may obtain additional guidance from the Legal Department. All determinations and interpretations by the Legal Department shall be final and not subject to further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6304915"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168" w:name="page169"/>
    <w:bookmarkEnd w:id="168"/>
    <w:p>
      <w:pPr>
        <w:ind w:left="4400"/>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10B5-1 PLANS</w:t>
      </w:r>
    </w:p>
    <w:p>
      <w:pPr>
        <w:spacing w:after="0" w:line="2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Rule 10b5-1 of the SEC provides an affirmative defense from insider trading liability under the United States federal securities laws for trading plans that meet certain requirements.</w:t>
      </w:r>
    </w:p>
    <w:p>
      <w:pPr>
        <w:spacing w:after="0" w:line="1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 10b5-1 plan must be entered into while you are not aware of material nonpublic information. Once the plan is adopted, you must not exercise any influence over the number of securities to be traded, the price at which they are to be traded or the date of the trade. The plan must either:</w:t>
      </w:r>
    </w:p>
    <w:p>
      <w:pPr>
        <w:spacing w:after="0" w:line="368" w:lineRule="exact"/>
        <w:rPr>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Clearly specify in advance the amount, pricing and timing of transactions (including by formula or algorithm), or</w:t>
      </w:r>
    </w:p>
    <w:p>
      <w:pPr>
        <w:spacing w:after="0" w:line="223" w:lineRule="exact"/>
        <w:rPr>
          <w:rFonts w:ascii="Times New Roman" w:cs="Times New Roman" w:eastAsia="Times New Roman" w:hAnsi="Times New Roman"/>
          <w:sz w:val="17"/>
          <w:szCs w:val="17"/>
          <w:color w:val="auto"/>
        </w:rPr>
      </w:pPr>
    </w:p>
    <w:p>
      <w:pPr>
        <w:jc w:val="both"/>
        <w:ind w:left="640" w:hanging="320"/>
        <w:spacing w:after="0" w:line="276" w:lineRule="auto"/>
        <w:tabs>
          <w:tab w:leader="none" w:pos="6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discretion on those matters to an independent third party (such as a securities broker or investment manager). Of course, the independent third party cannot make discretionary investment decisions on your behalf while the independent third party is in possession of material nonpublic information about Mobileye.</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Trades that are executed pursuant to an approved 10b5-1 plan are not subject to the prohibition on trading on the basis of material nonpublic information contained in the Securities Trading Policy, including the restrictions relating to blackout periods. Directors and officers who adopt 10b5-1 plans must notify the Compliance Officer of this fact, including a copy of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10b5-1 plan must comply with the following requirements:</w:t>
      </w:r>
    </w:p>
    <w:p>
      <w:pPr>
        <w:spacing w:after="0" w:line="224" w:lineRule="exact"/>
        <w:rPr>
          <w:sz w:val="20"/>
          <w:szCs w:val="20"/>
          <w:color w:val="auto"/>
        </w:rPr>
      </w:pPr>
    </w:p>
    <w:p>
      <w:pPr>
        <w:ind w:left="640" w:hanging="320"/>
        <w:spacing w:after="0" w:line="296" w:lineRule="auto"/>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10b5-1 plans may not be adopted during a blackout period and may only be adopted when you are not aware of material nonpublic information,</w:t>
      </w:r>
    </w:p>
    <w:p>
      <w:pPr>
        <w:spacing w:after="0" w:line="146" w:lineRule="exact"/>
        <w:rPr>
          <w:rFonts w:ascii="Times New Roman" w:cs="Times New Roman" w:eastAsia="Times New Roman" w:hAnsi="Times New Roman"/>
          <w:sz w:val="17"/>
          <w:szCs w:val="17"/>
          <w:color w:val="auto"/>
        </w:rPr>
      </w:pPr>
    </w:p>
    <w:p>
      <w:pPr>
        <w:ind w:left="640" w:hanging="320"/>
        <w:spacing w:after="0" w:line="296" w:lineRule="auto"/>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10b5-1 plans must be adopted in “good faith” and the shareholder must act in good faith with respect to the plan throughout the duration of the plan,</w:t>
      </w:r>
    </w:p>
    <w:p>
      <w:pPr>
        <w:spacing w:after="0" w:line="146" w:lineRule="exact"/>
        <w:rPr>
          <w:rFonts w:ascii="Times New Roman" w:cs="Times New Roman" w:eastAsia="Times New Roman" w:hAnsi="Times New Roman"/>
          <w:sz w:val="17"/>
          <w:szCs w:val="17"/>
          <w:color w:val="auto"/>
        </w:rPr>
      </w:pPr>
    </w:p>
    <w:p>
      <w:pPr>
        <w:jc w:val="both"/>
        <w:ind w:left="640" w:hanging="320"/>
        <w:spacing w:after="0" w:line="276" w:lineRule="auto"/>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entered into by officers and directors must contain specific representations that such individual is not aware of material non-public information at the time the plan is entered into and that such individual is adopting the plan in good faith and not as part of a plan to evade the prohibition against illegal insider trading,</w:t>
      </w:r>
    </w:p>
    <w:p>
      <w:pPr>
        <w:spacing w:after="0" w:line="16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must not become effective until:</w:t>
      </w:r>
    </w:p>
    <w:p>
      <w:pPr>
        <w:spacing w:after="0" w:line="221" w:lineRule="exact"/>
        <w:rPr>
          <w:rFonts w:ascii="Times New Roman" w:cs="Times New Roman" w:eastAsia="Times New Roman" w:hAnsi="Times New Roman"/>
          <w:sz w:val="17"/>
          <w:szCs w:val="17"/>
          <w:color w:val="auto"/>
        </w:rPr>
      </w:pPr>
    </w:p>
    <w:p>
      <w:pPr>
        <w:jc w:val="both"/>
        <w:ind w:left="940" w:hanging="306"/>
        <w:spacing w:after="0" w:line="278" w:lineRule="auto"/>
        <w:tabs>
          <w:tab w:leader="none" w:pos="9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directors and officers, the </w:t>
      </w:r>
      <w:r>
        <w:rPr>
          <w:rFonts w:ascii="Times New Roman" w:cs="Times New Roman" w:eastAsia="Times New Roman" w:hAnsi="Times New Roman"/>
          <w:sz w:val="17"/>
          <w:szCs w:val="17"/>
          <w:i w:val="1"/>
          <w:iCs w:val="1"/>
          <w:color w:val="auto"/>
        </w:rPr>
        <w:t>later</w:t>
      </w:r>
      <w:r>
        <w:rPr>
          <w:rFonts w:ascii="Times New Roman" w:cs="Times New Roman" w:eastAsia="Times New Roman" w:hAnsi="Times New Roman"/>
          <w:sz w:val="17"/>
          <w:szCs w:val="17"/>
          <w:color w:val="auto"/>
        </w:rPr>
        <w:t xml:space="preserve"> of (1) the 91st day following the adoption or modification of the plan or (2) two business days after the filing of a Form 10-Q or Form 10-K covering the financial reporting period in which the plan was adopted or modified, but in no event later than 120 days,</w:t>
      </w:r>
    </w:p>
    <w:p>
      <w:pPr>
        <w:spacing w:after="0" w:line="160"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individuals other than directors or officers, the 31st day following the adoption or modification of the plan;</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must remain in effect for at least six months,</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enter into only one “single trade” plan in any 12-month period,</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not enter into overlapping 10b5-1 plans, subject to a few limited exceptions:</w:t>
      </w:r>
    </w:p>
    <w:p>
      <w:pPr>
        <w:spacing w:after="0" w:line="223" w:lineRule="exact"/>
        <w:rPr>
          <w:rFonts w:ascii="Times New Roman" w:cs="Times New Roman" w:eastAsia="Times New Roman" w:hAnsi="Times New Roman"/>
          <w:sz w:val="17"/>
          <w:szCs w:val="17"/>
          <w:color w:val="auto"/>
        </w:rPr>
      </w:pPr>
    </w:p>
    <w:p>
      <w:pPr>
        <w:jc w:val="both"/>
        <w:ind w:left="940" w:hanging="306"/>
        <w:spacing w:after="0" w:line="270" w:lineRule="auto"/>
        <w:tabs>
          <w:tab w:leader="none" w:pos="9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trades under a new plan do not begin until all trades under an old plan have been completed; however, where an old plan is terminated and the first trade under the new plan would have occurred during what would have been the mandatory cooling-off period assuming that the new plan had been adopted on the date the old plan was terminated (the “effective cooling-off period”), then the affirmative defense under Rule 10b5-1 would be unavailable until such cooling-off period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7"/>
          <w:szCs w:val="17"/>
          <w:color w:val="auto"/>
        </w:rPr>
        <w:t>Page 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6304915"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3" w:right="999" w:bottom="1440" w:gutter="0" w:footer="0" w:header="0"/>
        </w:sectPr>
      </w:pPr>
    </w:p>
    <w:bookmarkStart w:id="169" w:name="page170"/>
    <w:bookmarkEnd w:id="169"/>
    <w:p>
      <w:pPr>
        <w:ind w:left="940" w:hanging="306"/>
        <w:spacing w:after="0" w:line="296" w:lineRule="auto"/>
        <w:tabs>
          <w:tab w:leader="none" w:pos="9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series of separate contracts with different brokers, if the contracts, considered together, otherwise meet the requirements of a 10b5-1 plan,</w:t>
      </w:r>
    </w:p>
    <w:p>
      <w:pPr>
        <w:spacing w:after="0" w:line="146" w:lineRule="exact"/>
        <w:rPr>
          <w:rFonts w:ascii="Times New Roman" w:cs="Times New Roman" w:eastAsia="Times New Roman" w:hAnsi="Times New Roman"/>
          <w:sz w:val="17"/>
          <w:szCs w:val="17"/>
          <w:color w:val="auto"/>
        </w:rPr>
      </w:pPr>
    </w:p>
    <w:p>
      <w:pPr>
        <w:jc w:val="both"/>
        <w:ind w:left="940" w:hanging="306"/>
        <w:spacing w:after="0" w:line="276" w:lineRule="auto"/>
        <w:tabs>
          <w:tab w:leader="none" w:pos="94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separate plan is entered into for purposes of “sell-to-cover” transactions where a broker sells securities to satisfy tax withholding obligations in connection with the vesting of your awards or other incentive compensation (but not in connection with option exercises under your control);</w:t>
      </w:r>
    </w:p>
    <w:p>
      <w:pPr>
        <w:spacing w:after="0" w:line="16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not enter into any transaction in Mobileye securities outside of the Rule 10b5-1 plan while the plan is in effect, and</w:t>
      </w:r>
    </w:p>
    <w:p>
      <w:pPr>
        <w:spacing w:after="0" w:line="223"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Rule 10b5-1 plan is terminated, you must wait at least 30 days before trading outside of the plan.</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Any amendment, suspension or termination of a 10b5-1 plan must be promptly notified to the Compliance Officer so that the Company can meet its required disclosure obligations with respect to such plans. Amendments are subject to the cooling-off period; modifications that do not change the pricing, amount of securities or timing of trades will not trigger a new cooling-off period.</w:t>
      </w:r>
    </w:p>
    <w:p>
      <w:pPr>
        <w:spacing w:after="0" w:line="1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If a Board member, executive officer or other employee or consultant or a family member intends to make regular sales of Mobileye shares (for example, to diversify his or her portfolio or to meet financial commitments), then Mobileye highly recommends that a 10b5-1 plan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7"/>
          <w:szCs w:val="17"/>
          <w:color w:val="auto"/>
        </w:rPr>
        <w:t>Page 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6304915"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4" w:right="99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ADDENDUM</w:t>
      </w:r>
    </w:p>
    <w:p>
      <w:pPr>
        <w:spacing w:after="0" w:line="224" w:lineRule="exact"/>
        <w:rPr>
          <w:sz w:val="20"/>
          <w:szCs w:val="20"/>
          <w:color w:val="auto"/>
        </w:rPr>
      </w:pPr>
    </w:p>
    <w:p>
      <w:pPr>
        <w:ind w:left="320" w:hanging="315"/>
        <w:spacing w:after="0"/>
        <w:tabs>
          <w:tab w:leader="none" w:pos="32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PRE-CLEARANCE PROCEDURES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Those subject to this Addendum – (i) Mobileye’s directors, (ii) each person deemed to be an “officer” in accordance with Rule 16a-1(f) (“Officers”), plus (iii) certain others designated by Mobileye from time to time – as well as the spouses, minor children, adult family members sharing the same household and any other person or entity over whose securities trading decisions the individuals in (i) – (iii) exercise influence or control (collectively, “</w:t>
      </w:r>
      <w:r>
        <w:rPr>
          <w:rFonts w:ascii="Times New Roman" w:cs="Times New Roman" w:eastAsia="Times New Roman" w:hAnsi="Times New Roman"/>
          <w:sz w:val="17"/>
          <w:szCs w:val="17"/>
          <w:b w:val="1"/>
          <w:bCs w:val="1"/>
          <w:u w:val="single" w:color="auto"/>
          <w:color w:val="auto"/>
        </w:rPr>
        <w:t>Related Insiders</w:t>
      </w:r>
      <w:r>
        <w:rPr>
          <w:rFonts w:ascii="Times New Roman" w:cs="Times New Roman" w:eastAsia="Times New Roman" w:hAnsi="Times New Roman"/>
          <w:sz w:val="17"/>
          <w:szCs w:val="17"/>
          <w:color w:val="auto"/>
        </w:rPr>
        <w:t>”), may not engage in any transaction involving Mobileye’s securities (including, inter alia, the exercise of stock options, gifts, loans, contributions to a trust or any other transfers) without first obtaining pre-clearance of the transaction from the Compliance Officer.</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proposed transaction will be evaluated to determine if it raises insider trading or other concerns. Any advice will relate solely to the restraints imposed by law and will not constitute advice regarding the investment aspects of the transaction. Clearance, if given, will specify a time window during which the transaction must be effected. If clearance is denied, the fact itself of such denial must be kept confidential by the person requesting such clearance.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 REPORTING AND FORM FILING REQUIREMENTS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Directors and Officers of Mobileye, as well as beneficial owners of more than 10% of the outstanding shares of any class of voting Mobileye equity securities, must file forms with the U.S. Securities and Exchange Commission (the “</w:t>
      </w:r>
      <w:r>
        <w:rPr>
          <w:rFonts w:ascii="Times New Roman" w:cs="Times New Roman" w:eastAsia="Times New Roman" w:hAnsi="Times New Roman"/>
          <w:sz w:val="17"/>
          <w:szCs w:val="17"/>
          <w:b w:val="1"/>
          <w:bCs w:val="1"/>
          <w:u w:val="single" w:color="auto"/>
          <w:color w:val="auto"/>
        </w:rPr>
        <w:t>SEC</w:t>
      </w:r>
      <w:r>
        <w:rPr>
          <w:rFonts w:ascii="Times New Roman" w:cs="Times New Roman" w:eastAsia="Times New Roman" w:hAnsi="Times New Roman"/>
          <w:sz w:val="17"/>
          <w:szCs w:val="17"/>
          <w:color w:val="auto"/>
        </w:rPr>
        <w:t>”) disclosing their direct and indirect pecuniary interest in most transactions involving Mobileye’s equity securities. In this context, “equity securities” of Mobileye include shares of the classes of equity securities created under Mobileye’s governing documents, such as common stock, as well as any securities (regardless of whether issued by Mobileye) that are exchangeable for or convertible into, or that derive their value from, an equity security of Mobileye. These other securities are known as “derivative securities,” and include options, restricted share units, warrants, convertible securities and stock appreciation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Forms 3, 4 and 5</w:t>
      </w: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Legal Department will assist directors and Officers in preparing and filing the following Section 16 reports but each individual director and Officer is responsible for the timing and contents of his or her reports:</w:t>
      </w:r>
    </w:p>
    <w:p>
      <w:pPr>
        <w:spacing w:after="0" w:line="145" w:lineRule="exact"/>
        <w:rPr>
          <w:sz w:val="20"/>
          <w:szCs w:val="20"/>
          <w:color w:val="auto"/>
        </w:rPr>
      </w:pPr>
    </w:p>
    <w:p>
      <w:pPr>
        <w:jc w:val="both"/>
        <w:ind w:left="640" w:hanging="320"/>
        <w:spacing w:after="0" w:line="271" w:lineRule="auto"/>
        <w:tabs>
          <w:tab w:leader="none" w:pos="6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Form 3</w:t>
      </w:r>
      <w:r>
        <w:rPr>
          <w:rFonts w:ascii="Times New Roman" w:cs="Times New Roman" w:eastAsia="Times New Roman" w:hAnsi="Times New Roman"/>
          <w:sz w:val="17"/>
          <w:szCs w:val="17"/>
          <w:color w:val="auto"/>
        </w:rPr>
        <w:t>, Initial Beneficial Ownership Statement. A person who becomes a director or Officer of Mobileye must file a Form 3 within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 calendar days of assuming office, even if such person does not own any Mobileye equity securities at the time of assuming office. The Form 3 must disclose such person’s position and ownership of any Mobileye equity securities as of immediately prior to assuming office.</w:t>
      </w:r>
    </w:p>
    <w:p>
      <w:pPr>
        <w:spacing w:after="0" w:line="164" w:lineRule="exact"/>
        <w:rPr>
          <w:rFonts w:ascii="Times New Roman" w:cs="Times New Roman" w:eastAsia="Times New Roman" w:hAnsi="Times New Roman"/>
          <w:sz w:val="17"/>
          <w:szCs w:val="17"/>
          <w:color w:val="auto"/>
        </w:rPr>
      </w:pPr>
    </w:p>
    <w:p>
      <w:pPr>
        <w:jc w:val="both"/>
        <w:ind w:left="640" w:hanging="320"/>
        <w:spacing w:after="0" w:line="267" w:lineRule="auto"/>
        <w:tabs>
          <w:tab w:leader="none" w:pos="6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Form 4</w:t>
      </w:r>
      <w:r>
        <w:rPr>
          <w:rFonts w:ascii="Times New Roman" w:cs="Times New Roman" w:eastAsia="Times New Roman" w:hAnsi="Times New Roman"/>
          <w:sz w:val="17"/>
          <w:szCs w:val="17"/>
          <w:color w:val="auto"/>
        </w:rPr>
        <w:t>, Changes of Beneficial Ownership Statement. As long as a person remains a director or Officer, and for six months after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ceases to hold such a position with Mobileye, a Form 4 must be filed with the SEC before 10:00 p.m., Eastern, on the second business day following any transaction by that person, whether directly or indirectly, in Mobileye equity securities (e.g., a transaction undertaken on Monday must be filed by 10:00 p.m., Eastern on Wednesday). There are exceptions to this requirement for gifts and a very limited class of employee benefit plan transactions.</w:t>
      </w:r>
    </w:p>
    <w:p>
      <w:pPr>
        <w:spacing w:after="0" w:line="170" w:lineRule="exact"/>
        <w:rPr>
          <w:rFonts w:ascii="Times New Roman" w:cs="Times New Roman" w:eastAsia="Times New Roman" w:hAnsi="Times New Roman"/>
          <w:sz w:val="17"/>
          <w:szCs w:val="17"/>
          <w:color w:val="auto"/>
        </w:rPr>
      </w:pPr>
    </w:p>
    <w:p>
      <w:pPr>
        <w:ind w:left="640" w:hanging="320"/>
        <w:spacing w:after="0" w:line="299" w:lineRule="auto"/>
        <w:tabs>
          <w:tab w:leader="none" w:pos="6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Form 5</w:t>
      </w:r>
      <w:r>
        <w:rPr>
          <w:rFonts w:ascii="Times New Roman" w:cs="Times New Roman" w:eastAsia="Times New Roman" w:hAnsi="Times New Roman"/>
          <w:sz w:val="17"/>
          <w:szCs w:val="17"/>
          <w:color w:val="auto"/>
        </w:rPr>
        <w:t>, Annual Beneficial Ownership Statement. A Form 5 must be filed with the SEC by any individual who served as a director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Officer of Mobileye during any part of Mobileye’s fiscal year to report:</w:t>
      </w:r>
    </w:p>
    <w:p>
      <w:pPr>
        <w:spacing w:after="0" w:line="143"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1"/>
          <w:numId w:val="91"/>
        </w:numPr>
        <w:rPr>
          <w:rFonts w:ascii="Arial" w:cs="Arial" w:eastAsia="Arial" w:hAnsi="Arial"/>
          <w:sz w:val="17"/>
          <w:szCs w:val="17"/>
          <w:color w:val="auto"/>
        </w:rPr>
      </w:pPr>
      <w:r>
        <w:rPr>
          <w:rFonts w:ascii="Times New Roman" w:cs="Times New Roman" w:eastAsia="Times New Roman" w:hAnsi="Times New Roman"/>
          <w:sz w:val="17"/>
          <w:szCs w:val="17"/>
          <w:color w:val="auto"/>
        </w:rPr>
        <w:t>all reportable transactions in Mobileye equity securities that were specifically eligible for deferred reporting on Form 5;</w:t>
      </w:r>
    </w:p>
    <w:p>
      <w:pPr>
        <w:spacing w:after="0" w:line="222" w:lineRule="exact"/>
        <w:rPr>
          <w:rFonts w:ascii="Arial" w:cs="Arial" w:eastAsia="Arial" w:hAnsi="Arial"/>
          <w:sz w:val="17"/>
          <w:szCs w:val="17"/>
          <w:color w:val="auto"/>
        </w:rPr>
      </w:pPr>
    </w:p>
    <w:p>
      <w:pPr>
        <w:ind w:left="940" w:hanging="306"/>
        <w:spacing w:after="0"/>
        <w:tabs>
          <w:tab w:leader="none" w:pos="940" w:val="left"/>
        </w:tabs>
        <w:numPr>
          <w:ilvl w:val="1"/>
          <w:numId w:val="91"/>
        </w:numPr>
        <w:rPr>
          <w:rFonts w:ascii="Arial" w:cs="Arial" w:eastAsia="Arial" w:hAnsi="Arial"/>
          <w:sz w:val="17"/>
          <w:szCs w:val="17"/>
          <w:color w:val="auto"/>
        </w:rPr>
      </w:pPr>
      <w:r>
        <w:rPr>
          <w:rFonts w:ascii="Times New Roman" w:cs="Times New Roman" w:eastAsia="Times New Roman" w:hAnsi="Times New Roman"/>
          <w:sz w:val="17"/>
          <w:szCs w:val="17"/>
          <w:color w:val="auto"/>
        </w:rPr>
        <w:t>all transactions that should have been reported during the last fiscal year but were not (for any reason);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7"/>
          <w:szCs w:val="17"/>
          <w:color w:val="auto"/>
        </w:rPr>
        <w:t>Page 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6304915"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3" w:right="999" w:bottom="1440" w:gutter="0" w:footer="0" w:header="0"/>
        </w:sectPr>
      </w:pPr>
    </w:p>
    <w:bookmarkStart w:id="171" w:name="page172"/>
    <w:bookmarkEnd w:id="171"/>
    <w:p>
      <w:pPr>
        <w:ind w:left="940" w:hanging="306"/>
        <w:spacing w:after="0" w:line="295" w:lineRule="auto"/>
        <w:tabs>
          <w:tab w:leader="none" w:pos="940" w:val="left"/>
        </w:tabs>
        <w:numPr>
          <w:ilvl w:val="0"/>
          <w:numId w:val="92"/>
        </w:numPr>
        <w:rPr>
          <w:rFonts w:ascii="Arial" w:cs="Arial" w:eastAsia="Arial" w:hAnsi="Arial"/>
          <w:sz w:val="17"/>
          <w:szCs w:val="17"/>
          <w:color w:val="auto"/>
        </w:rPr>
      </w:pPr>
      <w:r>
        <w:rPr>
          <w:rFonts w:ascii="Times New Roman" w:cs="Times New Roman" w:eastAsia="Times New Roman" w:hAnsi="Times New Roman"/>
          <w:sz w:val="17"/>
          <w:szCs w:val="17"/>
          <w:color w:val="auto"/>
        </w:rPr>
        <w:t>with respect to an individual’s first Form 5, all transactions which should have been reported but were not for the last two fiscal years (i.e., the year just ended and the previous one).</w:t>
      </w:r>
    </w:p>
    <w:p>
      <w:pPr>
        <w:spacing w:after="0" w:line="147" w:lineRule="exact"/>
        <w:rPr>
          <w:sz w:val="20"/>
          <w:szCs w:val="20"/>
          <w:color w:val="auto"/>
        </w:rPr>
      </w:pPr>
    </w:p>
    <w:p>
      <w:pPr>
        <w:jc w:val="both"/>
        <w:ind w:left="640"/>
        <w:spacing w:after="0" w:line="270" w:lineRule="auto"/>
        <w:rPr>
          <w:sz w:val="20"/>
          <w:szCs w:val="20"/>
          <w:color w:val="auto"/>
        </w:rPr>
      </w:pPr>
      <w:r>
        <w:rPr>
          <w:rFonts w:ascii="Times New Roman" w:cs="Times New Roman" w:eastAsia="Times New Roman" w:hAnsi="Times New Roman"/>
          <w:sz w:val="17"/>
          <w:szCs w:val="17"/>
          <w:color w:val="auto"/>
        </w:rPr>
        <w:t>A Form 5 need not be filed if all transactions otherwise reportable have been previously reported. If required, Form 5 must be filed within 45 days after the end of Mobileye fiscal year, or the first business day thereafter. Common types of transactions reportable on Form 5 include gifts and certain acquisitions of less than $10,000 in any six-month period, either of which may be reported on a voluntary basis on any Form 4 filed before the Form 5 is due.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Indirect Ownership by Related Insiders</w:t>
      </w: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reports described above must also reflect any indirect ownership by directors and Officers, including all holdings and transactions by Related Insiders. This includes transactions by immediate family members living in the director’s or Officer’s household and any other person or entity over whom the individual exercises influence or control over his, her or its securities trading decisions. For this purpose, “immediate family” includes a spouse, children, stepchildren, grandchildren, parents, grandparents, stepparents and siblings, including in-laws and adoptive relationships.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Any questions concerning whether a particular transaction will necessitate filing of one of these Forms, or how or when they should be completed should be asked of the Compliance Officer, or, if you prefer, your individual legal counsel. </w:t>
      </w:r>
      <w:r>
        <w:rPr>
          <w:rFonts w:ascii="Times New Roman" w:cs="Times New Roman" w:eastAsia="Times New Roman" w:hAnsi="Times New Roman"/>
          <w:sz w:val="17"/>
          <w:szCs w:val="17"/>
          <w:b w:val="1"/>
          <w:bCs w:val="1"/>
          <w:i w:val="1"/>
          <w:iCs w:val="1"/>
          <w:color w:val="auto"/>
        </w:rPr>
        <w:t>Mobileye must disclose in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Annual Report on Form 10-K and in its Proxy Statement any delinquent filings of Forms 3, 4 or 5 by directors and Officers, and must post on its website, by the end of the business day after their filing with the SEC, any Forms 3, 4 and 5 relating to Mobileye’s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Reporting Exemptions for Certain Employee Benefit Plan Transactions</w:t>
      </w:r>
    </w:p>
    <w:p>
      <w:pPr>
        <w:spacing w:after="0" w:line="22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Rule 16b-3 under the Exchange Act provides exemptions for directors and Officers reporting of certain employee benefit plan events on Forms 4 and 5, including certain routine transactions under tax-conditioned thrift, stock purchase and excess benefit plans.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transaction that results only in a change in the form of a person’s beneficial ownership is also exempt from reporting. An exempt “change in the form of beneficial ownership” would include, for example, a distribution of benefit plan securities to an insider participant where the securities were already previously attributable to the insider. Exercises or conversions of derivative securities would not, however, be considered mere changes in beneficial ownership and would be reportable.</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vesting of most stock options, restricted stock and stock appreciation rights is also not subject to the reporting requirements, although related share-withholding transactions, if any, would give rise to Form 4 reporting obligations.</w:t>
      </w:r>
    </w:p>
    <w:p>
      <w:pPr>
        <w:spacing w:after="0" w:line="145" w:lineRule="exact"/>
        <w:rPr>
          <w:sz w:val="20"/>
          <w:szCs w:val="20"/>
          <w:color w:val="auto"/>
        </w:rPr>
      </w:pPr>
    </w:p>
    <w:p>
      <w:pPr>
        <w:ind w:right="5020" w:firstLine="5"/>
        <w:spacing w:after="0" w:line="515" w:lineRule="auto"/>
        <w:tabs>
          <w:tab w:leader="none" w:pos="314"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SHORT-SWING TRADING PROFITS AND SHORT SALES A. Short-Swing Trading Profits</w:t>
      </w:r>
    </w:p>
    <w:p>
      <w:pPr>
        <w:spacing w:after="0" w:line="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order to discourage directors and Officers from profiting through short-term trading transactions in equity Mobileye securities, Section 16(b) of the Exchange Act requires that any “short-swing profits” be disgorged to Mobileye. (This is in addition to the reporting requirements described above.)</w:t>
      </w:r>
    </w:p>
    <w:p>
      <w:pPr>
        <w:spacing w:after="0" w:line="1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“Short-swing profits” are the profits, whether real or notional, that result from any purchase and sale (or sale and purchase) of Mobileye’s equity securities within a six-month period, unless there is an applicable exemption for either transaction. It is important to note that this rule applies to any matched transactions in Mobileye’s securities (including derivative securities), not only a purchase and sale (or sale and purchase) of the same shares, or even of the same class of securities. Furthermore, pursuant to the SEC’s rules, profit is determined so as to maximize the amount that the director or Officer must disgorge, and this amount may not be offset by any losses realized. “Short-swing profits” may exceed economic profits.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Short-Swing Exemptions for Employee Benefit Plan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7"/>
          <w:szCs w:val="17"/>
          <w:color w:val="auto"/>
        </w:rPr>
        <w:t>Page 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6304915"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172" w:name="page173"/>
    <w:bookmarkEnd w:id="172"/>
    <w:p>
      <w:pPr>
        <w:jc w:val="both"/>
        <w:spacing w:after="0" w:line="270" w:lineRule="auto"/>
        <w:rPr>
          <w:sz w:val="20"/>
          <w:szCs w:val="20"/>
          <w:color w:val="auto"/>
        </w:rPr>
      </w:pPr>
      <w:r>
        <w:rPr>
          <w:rFonts w:ascii="Times New Roman" w:cs="Times New Roman" w:eastAsia="Times New Roman" w:hAnsi="Times New Roman"/>
          <w:sz w:val="17"/>
          <w:szCs w:val="17"/>
          <w:color w:val="auto"/>
        </w:rPr>
        <w:t>As indicated, to come within the short-swing rules, a purchase and sale (or sale and purchase) within any period of less than six months are matched to determine whether a director or Officer has realized profit subject to the shortswing profit rule described above, but Rule 16b-3 creates an exemption for, or permits Mobileye’s board of directors or a qualifying committee to exempt, certain transactions between (i) a director or Officer and (ii) Mobileye or certain benefit plans sponsored by Mobileye.</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Under this Rule certain transactions involving acquisitions of equity securities under employee benefit plans are not counted as “purchases” for purposes of the short-swing profit rule, provided that the benefit plan meets various statutory requirements.</w:t>
      </w:r>
    </w:p>
    <w:p>
      <w:pPr>
        <w:spacing w:after="0" w:line="1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Mobileye’s employee equity incentive plan meets these requirements, and therefore an ordinary-course acquisition of equity securities under such plan is not generally treated as a “purchase” subject to the short-swing profit rule.</w:t>
      </w:r>
    </w:p>
    <w:p>
      <w:pPr>
        <w:spacing w:after="0" w:line="39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7"/>
          <w:szCs w:val="17"/>
          <w:color w:val="auto"/>
        </w:rPr>
        <w:t>Page 13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6304915" cy="24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63049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2877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ectPr>
          <w:pgSz w:w="11900" w:h="16838" w:orient="portrait"/>
          <w:cols w:equalWidth="0" w:num="1">
            <w:col w:w="9920"/>
          </w:cols>
          <w:pgMar w:left="980" w:top="855" w:right="9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List of the Subsidiaries of the Registrant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Cyclops Holdings Corporation (Delaware)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Mobileye B.V. (Netherlands)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Mobileye Inc. (Delaware)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Mobileye Technologies Limited (Cyprus)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Mobileye Vision Technologies Ltd. (Israel)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Mobileye Japan Ltd. (Japan)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Mobileye Germany GmbH (Germany)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Mobileye Intelligent Technology (Shanghai) Co., Ltd. (f/k/a Mobileye Automotive Products &amp; Services (Shanghai)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206" w:lineRule="exact"/>
        <w:rPr>
          <w:sz w:val="20"/>
          <w:szCs w:val="20"/>
          <w:color w:val="auto"/>
        </w:rPr>
      </w:pPr>
    </w:p>
    <w:p>
      <w:pPr>
        <w:ind w:right="7660" w:firstLine="5"/>
        <w:spacing w:after="0" w:line="534" w:lineRule="auto"/>
        <w:tabs>
          <w:tab w:leader="none" w:pos="29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Ltd. (Israel) Moovit App Global Ltd. (Israel) Moovit,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6304915" cy="247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6" w:lineRule="exact"/>
        <w:rPr>
          <w:sz w:val="20"/>
          <w:szCs w:val="20"/>
          <w:color w:val="auto"/>
        </w:rPr>
      </w:pPr>
    </w:p>
    <w:p>
      <w:pPr>
        <w:jc w:val="both"/>
        <w:ind w:right="160"/>
        <w:spacing w:after="0" w:line="276"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333-277937) and Form S-8 (No. 333-268012) of Mobileye Global Inc. of our report dated February 13, 2025 relating to the financial statements and the effectiveness of internal control over financial reporting, which appears in this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Kesselman &amp; Kesselman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 (Isr.)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member firm of PricewaterhouseCoopers International Limited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Aviv, Israel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502920</wp:posOffset>
            </wp:positionV>
            <wp:extent cx="6304915"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Professor </w:t>
      </w:r>
      <w:r>
        <w:rPr>
          <w:rFonts w:ascii="Times New Roman" w:cs="Times New Roman" w:eastAsia="Times New Roman" w:hAnsi="Times New Roman"/>
          <w:sz w:val="17"/>
          <w:szCs w:val="17"/>
          <w:color w:val="231F20"/>
        </w:rPr>
        <w:t>Amnon Shashua</w:t>
      </w:r>
      <w:r>
        <w:rPr>
          <w:rFonts w:ascii="Times New Roman" w:cs="Times New Roman" w:eastAsia="Times New Roman" w:hAnsi="Times New Roman"/>
          <w:sz w:val="17"/>
          <w:szCs w:val="17"/>
          <w:color w:val="auto"/>
        </w:rPr>
        <w:t>, certify that:</w:t>
      </w:r>
    </w:p>
    <w:p>
      <w:pPr>
        <w:spacing w:after="0" w:line="224" w:lineRule="exact"/>
        <w:rPr>
          <w:sz w:val="20"/>
          <w:szCs w:val="20"/>
          <w:color w:val="auto"/>
        </w:rPr>
      </w:pPr>
    </w:p>
    <w:p>
      <w:pPr>
        <w:ind w:left="640" w:hanging="320"/>
        <w:spacing w:after="0"/>
        <w:tabs>
          <w:tab w:leader="none" w:pos="6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Mobileye Global Inc.;</w:t>
      </w:r>
    </w:p>
    <w:p>
      <w:pPr>
        <w:spacing w:after="0" w:line="223" w:lineRule="exact"/>
        <w:rPr>
          <w:rFonts w:ascii="Times New Roman" w:cs="Times New Roman" w:eastAsia="Times New Roman" w:hAnsi="Times New Roman"/>
          <w:sz w:val="17"/>
          <w:szCs w:val="17"/>
          <w:color w:val="auto"/>
        </w:rPr>
      </w:pPr>
    </w:p>
    <w:p>
      <w:pPr>
        <w:ind w:left="640" w:right="140" w:hanging="320"/>
        <w:spacing w:after="0" w:line="276" w:lineRule="auto"/>
        <w:tabs>
          <w:tab w:leader="none" w:pos="6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640" w:right="60" w:hanging="320"/>
        <w:spacing w:after="0" w:line="289" w:lineRule="auto"/>
        <w:tabs>
          <w:tab w:leader="none" w:pos="6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7" w:lineRule="exact"/>
        <w:rPr>
          <w:rFonts w:ascii="Times New Roman" w:cs="Times New Roman" w:eastAsia="Times New Roman" w:hAnsi="Times New Roman"/>
          <w:sz w:val="17"/>
          <w:szCs w:val="17"/>
          <w:color w:val="auto"/>
        </w:rPr>
      </w:pPr>
    </w:p>
    <w:p>
      <w:pPr>
        <w:ind w:left="640" w:right="140" w:hanging="320"/>
        <w:spacing w:after="0" w:line="276" w:lineRule="auto"/>
        <w:tabs>
          <w:tab w:leader="none" w:pos="6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580" w:right="160" w:hanging="631"/>
        <w:spacing w:after="0" w:line="270" w:lineRule="auto"/>
        <w:tabs>
          <w:tab w:leader="none" w:pos="15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ind w:left="1580" w:right="80" w:hanging="631"/>
        <w:spacing w:after="0" w:line="276" w:lineRule="auto"/>
        <w:tabs>
          <w:tab w:leader="none" w:pos="15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1580" w:right="240" w:hanging="631"/>
        <w:spacing w:after="0" w:line="276" w:lineRule="auto"/>
        <w:tabs>
          <w:tab w:leader="none" w:pos="15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580" w:right="80" w:hanging="631"/>
        <w:spacing w:after="0" w:line="270" w:lineRule="auto"/>
        <w:tabs>
          <w:tab w:leader="none" w:pos="15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640" w:right="200" w:hanging="320"/>
        <w:spacing w:after="0" w:line="276" w:lineRule="auto"/>
        <w:tabs>
          <w:tab w:leader="none" w:pos="68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580" w:right="420" w:hanging="631"/>
        <w:spacing w:after="0" w:line="276" w:lineRule="auto"/>
        <w:tabs>
          <w:tab w:leader="none" w:pos="15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580" w:right="240" w:hanging="631"/>
        <w:spacing w:after="0" w:line="296" w:lineRule="auto"/>
        <w:tabs>
          <w:tab w:leader="none" w:pos="158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70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[Signature Page Follows]</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13, 2025</w:t>
            </w:r>
          </w:p>
        </w:tc>
        <w:tc>
          <w:tcPr>
            <w:tcW w:w="702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By:/s/ Professor Amnon Shashua</w:t>
            </w:r>
          </w:p>
        </w:tc>
      </w:tr>
      <w:tr>
        <w:trPr>
          <w:trHeight w:val="184"/>
        </w:trPr>
        <w:tc>
          <w:tcPr>
            <w:tcW w:w="2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6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231F20"/>
              </w:rPr>
              <w:t>Professor Amnon Shashua</w:t>
            </w:r>
          </w:p>
        </w:tc>
      </w:tr>
      <w:tr>
        <w:trPr>
          <w:trHeight w:val="210"/>
        </w:trPr>
        <w:tc>
          <w:tcPr>
            <w:tcW w:w="2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President, and</w:t>
            </w:r>
          </w:p>
        </w:tc>
      </w:tr>
      <w:tr>
        <w:trPr>
          <w:trHeight w:val="210"/>
        </w:trPr>
        <w:tc>
          <w:tcPr>
            <w:tcW w:w="2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28"/>
        </w:trPr>
        <w:tc>
          <w:tcPr>
            <w:tcW w:w="2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753"/>
        </w:trPr>
        <w:tc>
          <w:tcPr>
            <w:tcW w:w="2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 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Moran Shemesh Rojansky, certify that:</w:t>
      </w:r>
    </w:p>
    <w:p>
      <w:pPr>
        <w:spacing w:after="0" w:line="224" w:lineRule="exact"/>
        <w:rPr>
          <w:sz w:val="20"/>
          <w:szCs w:val="20"/>
          <w:color w:val="auto"/>
        </w:rPr>
      </w:pPr>
    </w:p>
    <w:p>
      <w:pPr>
        <w:ind w:left="640" w:hanging="320"/>
        <w:spacing w:after="0"/>
        <w:tabs>
          <w:tab w:leader="none" w:pos="6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Mobileye Global Inc.;</w:t>
      </w:r>
    </w:p>
    <w:p>
      <w:pPr>
        <w:spacing w:after="0" w:line="223" w:lineRule="exact"/>
        <w:rPr>
          <w:rFonts w:ascii="Times New Roman" w:cs="Times New Roman" w:eastAsia="Times New Roman" w:hAnsi="Times New Roman"/>
          <w:sz w:val="17"/>
          <w:szCs w:val="17"/>
          <w:color w:val="auto"/>
        </w:rPr>
      </w:pPr>
    </w:p>
    <w:p>
      <w:pPr>
        <w:ind w:left="640" w:right="140" w:hanging="320"/>
        <w:spacing w:after="0" w:line="276" w:lineRule="auto"/>
        <w:tabs>
          <w:tab w:leader="none" w:pos="6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640" w:right="60" w:hanging="320"/>
        <w:spacing w:after="0" w:line="289" w:lineRule="auto"/>
        <w:tabs>
          <w:tab w:leader="none" w:pos="6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7" w:lineRule="exact"/>
        <w:rPr>
          <w:rFonts w:ascii="Times New Roman" w:cs="Times New Roman" w:eastAsia="Times New Roman" w:hAnsi="Times New Roman"/>
          <w:sz w:val="17"/>
          <w:szCs w:val="17"/>
          <w:color w:val="auto"/>
        </w:rPr>
      </w:pPr>
    </w:p>
    <w:p>
      <w:pPr>
        <w:ind w:left="640" w:right="140" w:hanging="320"/>
        <w:spacing w:after="0" w:line="276" w:lineRule="auto"/>
        <w:tabs>
          <w:tab w:leader="none" w:pos="6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580" w:right="160" w:hanging="631"/>
        <w:spacing w:after="0" w:line="270" w:lineRule="auto"/>
        <w:tabs>
          <w:tab w:leader="none" w:pos="158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ind w:left="1580" w:right="80" w:hanging="631"/>
        <w:spacing w:after="0" w:line="276" w:lineRule="auto"/>
        <w:tabs>
          <w:tab w:leader="none" w:pos="158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1580" w:right="240" w:hanging="631"/>
        <w:spacing w:after="0" w:line="276" w:lineRule="auto"/>
        <w:tabs>
          <w:tab w:leader="none" w:pos="158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left="1580" w:right="80" w:hanging="631"/>
        <w:spacing w:after="0" w:line="270" w:lineRule="auto"/>
        <w:tabs>
          <w:tab w:leader="none" w:pos="158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640" w:right="200" w:hanging="320"/>
        <w:spacing w:after="0" w:line="276" w:lineRule="auto"/>
        <w:tabs>
          <w:tab w:leader="none" w:pos="68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7"/>
          <w:szCs w:val="17"/>
          <w:color w:val="auto"/>
        </w:rPr>
      </w:pPr>
    </w:p>
    <w:p>
      <w:pPr>
        <w:ind w:left="1580" w:right="420" w:hanging="631"/>
        <w:spacing w:after="0" w:line="276" w:lineRule="auto"/>
        <w:tabs>
          <w:tab w:leader="none" w:pos="158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left="1580" w:right="240" w:hanging="631"/>
        <w:spacing w:after="0" w:line="296" w:lineRule="auto"/>
        <w:tabs>
          <w:tab w:leader="none" w:pos="158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704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tc>
      </w:tr>
      <w:tr>
        <w:trPr>
          <w:trHeight w:val="432"/>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13, 2025</w:t>
            </w:r>
          </w:p>
        </w:tc>
        <w:tc>
          <w:tcPr>
            <w:tcW w:w="7040" w:type="dxa"/>
            <w:vAlign w:val="bottom"/>
            <w:gridSpan w:val="2"/>
          </w:tcPr>
          <w:p>
            <w:pPr>
              <w:ind w:left="2060"/>
              <w:spacing w:after="0"/>
              <w:rPr>
                <w:sz w:val="20"/>
                <w:szCs w:val="20"/>
                <w:color w:val="auto"/>
              </w:rPr>
            </w:pPr>
            <w:r>
              <w:rPr>
                <w:rFonts w:ascii="Times New Roman" w:cs="Times New Roman" w:eastAsia="Times New Roman" w:hAnsi="Times New Roman"/>
                <w:sz w:val="17"/>
                <w:szCs w:val="17"/>
                <w:color w:val="auto"/>
              </w:rPr>
              <w:t>By:/s/ Moran Shemesh Rojansky</w:t>
            </w:r>
          </w:p>
        </w:tc>
      </w:tr>
      <w:tr>
        <w:trPr>
          <w:trHeight w:val="184"/>
        </w:trPr>
        <w:tc>
          <w:tcPr>
            <w:tcW w:w="2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7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231F20"/>
              </w:rPr>
              <w:t>Moran Shemesh Rojansky</w:t>
            </w:r>
          </w:p>
        </w:tc>
      </w:tr>
      <w:tr>
        <w:trPr>
          <w:trHeight w:val="210"/>
        </w:trPr>
        <w:tc>
          <w:tcPr>
            <w:tcW w:w="2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231F20"/>
              </w:rPr>
              <w:t>Chief Financial Officer</w:t>
            </w:r>
          </w:p>
        </w:tc>
      </w:tr>
      <w:tr>
        <w:trPr>
          <w:trHeight w:val="228"/>
        </w:trPr>
        <w:tc>
          <w:tcPr>
            <w:tcW w:w="28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753"/>
        </w:trPr>
        <w:tc>
          <w:tcPr>
            <w:tcW w:w="28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177" w:name="page178"/>
    <w:bookmarkEnd w:id="177"/>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ind w:right="20"/>
        <w:spacing w:after="0" w:line="299" w:lineRule="auto"/>
        <w:rPr>
          <w:sz w:val="20"/>
          <w:szCs w:val="20"/>
          <w:color w:val="auto"/>
        </w:rPr>
      </w:pPr>
      <w:r>
        <w:rPr>
          <w:rFonts w:ascii="Times New Roman" w:cs="Times New Roman" w:eastAsia="Times New Roman" w:hAnsi="Times New Roman"/>
          <w:sz w:val="17"/>
          <w:szCs w:val="17"/>
          <w:b w:val="1"/>
          <w:bCs w:val="1"/>
          <w:color w:val="auto"/>
        </w:rPr>
        <w:t>Certificate of the Chief Executive Officer of Mobileye Global Inc. pursuant to 18 U.S.C. § 1350 as adopted pursuant to Section 906 of the Sarbanes-Oxley Act of 2002.</w:t>
      </w:r>
    </w:p>
    <w:p>
      <w:pPr>
        <w:spacing w:after="0" w:line="144" w:lineRule="exact"/>
        <w:rPr>
          <w:sz w:val="20"/>
          <w:szCs w:val="20"/>
          <w:color w:val="auto"/>
        </w:rPr>
      </w:pPr>
    </w:p>
    <w:p>
      <w:pPr>
        <w:ind w:right="140" w:hanging="8"/>
        <w:spacing w:after="0" w:line="276" w:lineRule="auto"/>
        <w:rPr>
          <w:sz w:val="20"/>
          <w:szCs w:val="20"/>
          <w:color w:val="auto"/>
        </w:rPr>
      </w:pPr>
      <w:r>
        <w:rPr>
          <w:rFonts w:ascii="Times New Roman" w:cs="Times New Roman" w:eastAsia="Times New Roman" w:hAnsi="Times New Roman"/>
          <w:sz w:val="17"/>
          <w:szCs w:val="17"/>
          <w:color w:val="auto"/>
        </w:rPr>
        <w:t xml:space="preserve">In connection with the Annual Report on Form 10-K of Mobileye Global Inc. for the year ended December 28, 2024 as filed with the Securities and Exchange Commission on the date hereof (the “Report”), I, </w:t>
      </w:r>
      <w:r>
        <w:rPr>
          <w:rFonts w:ascii="Times New Roman" w:cs="Times New Roman" w:eastAsia="Times New Roman" w:hAnsi="Times New Roman"/>
          <w:sz w:val="17"/>
          <w:szCs w:val="17"/>
          <w:color w:val="231F20"/>
        </w:rPr>
        <w:t>Professor Amnon Shashua</w:t>
      </w:r>
      <w:r>
        <w:rPr>
          <w:rFonts w:ascii="Times New Roman" w:cs="Times New Roman" w:eastAsia="Times New Roman" w:hAnsi="Times New Roman"/>
          <w:sz w:val="17"/>
          <w:szCs w:val="17"/>
          <w:color w:val="auto"/>
        </w:rPr>
        <w:t>, certify, pursuant to 18 U.S.C. § 1350, as adopted pursuant to § 906 of the Sarbanes-Oxley Act of 2002, that:</w:t>
      </w:r>
    </w:p>
    <w:p>
      <w:pPr>
        <w:spacing w:after="0" w:line="164" w:lineRule="exact"/>
        <w:rPr>
          <w:sz w:val="20"/>
          <w:szCs w:val="20"/>
          <w:color w:val="auto"/>
        </w:rPr>
      </w:pPr>
    </w:p>
    <w:p>
      <w:pPr>
        <w:ind w:left="1240" w:hanging="626"/>
        <w:spacing w:after="0"/>
        <w:tabs>
          <w:tab w:leader="none" w:pos="1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7"/>
          <w:szCs w:val="17"/>
          <w:color w:val="auto"/>
        </w:rPr>
      </w:pPr>
    </w:p>
    <w:p>
      <w:pPr>
        <w:ind w:left="-20" w:right="560" w:firstLine="634"/>
        <w:spacing w:after="0" w:line="296" w:lineRule="auto"/>
        <w:tabs>
          <w:tab w:leader="none" w:pos="123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Mobileye Global Inc.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2025</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By:/s/ Professor Amnon Shashua</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231F20"/>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-123190</wp:posOffset>
            </wp:positionV>
            <wp:extent cx="29362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Executive Officer, President, and</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Director</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474980</wp:posOffset>
            </wp:positionV>
            <wp:extent cx="6304915"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6304915" cy="24765"/>
                    </a:xfrm>
                    <a:prstGeom prst="rect">
                      <a:avLst/>
                    </a:prstGeom>
                    <a:noFill/>
                  </pic:spPr>
                </pic:pic>
              </a:graphicData>
            </a:graphic>
          </wp:anchor>
        </w:drawing>
      </w:r>
    </w:p>
    <w:p>
      <w:pPr>
        <w:sectPr>
          <w:pgSz w:w="11900" w:h="16838" w:orient="portrait"/>
          <w:cols w:equalWidth="0" w:num="1">
            <w:col w:w="9900"/>
          </w:cols>
          <w:pgMar w:left="1000" w:top="119" w:right="999" w:bottom="1440" w:gutter="0" w:footer="0" w:header="0"/>
        </w:sectPr>
      </w:pPr>
    </w:p>
    <w:bookmarkStart w:id="178" w:name="page179"/>
    <w:bookmarkEnd w:id="178"/>
    <w:p>
      <w:pPr>
        <w:ind w:left="90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ind w:left="1000" w:right="220"/>
        <w:spacing w:after="0" w:line="299" w:lineRule="auto"/>
        <w:rPr>
          <w:sz w:val="20"/>
          <w:szCs w:val="20"/>
          <w:color w:val="auto"/>
        </w:rPr>
      </w:pPr>
      <w:r>
        <w:rPr>
          <w:rFonts w:ascii="Times New Roman" w:cs="Times New Roman" w:eastAsia="Times New Roman" w:hAnsi="Times New Roman"/>
          <w:sz w:val="17"/>
          <w:szCs w:val="17"/>
          <w:b w:val="1"/>
          <w:bCs w:val="1"/>
          <w:color w:val="auto"/>
        </w:rPr>
        <w:t>Ex. 32.2: Certificate of the Chief Financial Officer of Mobileye Global Inc. pursuant to 18 U.S.C. § 1350 as adopted pursuant to Section 906 of the Sarbanes-Oxley Act of 2002.</w:t>
      </w:r>
    </w:p>
    <w:p>
      <w:pPr>
        <w:spacing w:after="0" w:line="144" w:lineRule="exact"/>
        <w:rPr>
          <w:sz w:val="20"/>
          <w:szCs w:val="20"/>
          <w:color w:val="auto"/>
        </w:rPr>
      </w:pPr>
    </w:p>
    <w:p>
      <w:pPr>
        <w:ind w:left="20" w:right="140" w:hanging="8"/>
        <w:spacing w:after="0" w:line="276" w:lineRule="auto"/>
        <w:rPr>
          <w:sz w:val="20"/>
          <w:szCs w:val="20"/>
          <w:color w:val="auto"/>
        </w:rPr>
      </w:pPr>
      <w:r>
        <w:rPr>
          <w:rFonts w:ascii="Times New Roman" w:cs="Times New Roman" w:eastAsia="Times New Roman" w:hAnsi="Times New Roman"/>
          <w:sz w:val="17"/>
          <w:szCs w:val="17"/>
          <w:color w:val="auto"/>
        </w:rPr>
        <w:t xml:space="preserve">In connection with the Annual Report on Form 10-K of Mobileye Global Inc. for the year ended December 28, 2024 as filed with the Securities and Exchange Commission on the date hereof (the “Report”), I, </w:t>
      </w:r>
      <w:r>
        <w:rPr>
          <w:rFonts w:ascii="Times New Roman" w:cs="Times New Roman" w:eastAsia="Times New Roman" w:hAnsi="Times New Roman"/>
          <w:sz w:val="17"/>
          <w:szCs w:val="17"/>
          <w:color w:val="231F20"/>
        </w:rPr>
        <w:t>Moran Shemesh Rojansky</w:t>
      </w:r>
      <w:r>
        <w:rPr>
          <w:rFonts w:ascii="Times New Roman" w:cs="Times New Roman" w:eastAsia="Times New Roman" w:hAnsi="Times New Roman"/>
          <w:sz w:val="17"/>
          <w:szCs w:val="17"/>
          <w:color w:val="auto"/>
        </w:rPr>
        <w:t>, certify, pursuant to 18 U.S.C. § 1350, as adopted pursuant to § 906 of the Sarbanes-Oxley Act of 2002, that:</w:t>
      </w:r>
    </w:p>
    <w:p>
      <w:pPr>
        <w:spacing w:after="0" w:line="164" w:lineRule="exact"/>
        <w:rPr>
          <w:sz w:val="20"/>
          <w:szCs w:val="20"/>
          <w:color w:val="auto"/>
        </w:rPr>
      </w:pPr>
    </w:p>
    <w:p>
      <w:pPr>
        <w:ind w:left="1260" w:hanging="626"/>
        <w:spacing w:after="0"/>
        <w:tabs>
          <w:tab w:leader="none" w:pos="12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7"/>
          <w:szCs w:val="17"/>
          <w:color w:val="auto"/>
        </w:rPr>
      </w:pPr>
    </w:p>
    <w:p>
      <w:pPr>
        <w:ind w:right="560" w:firstLine="634"/>
        <w:spacing w:after="0" w:line="296" w:lineRule="auto"/>
        <w:tabs>
          <w:tab w:leader="none" w:pos="125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Mobileye Global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13, 2025</w:t>
            </w:r>
          </w:p>
        </w:tc>
        <w:tc>
          <w:tcPr>
            <w:tcW w:w="6600" w:type="dxa"/>
            <w:vAlign w:val="bottom"/>
            <w:gridSpan w:val="3"/>
          </w:tcPr>
          <w:p>
            <w:pPr>
              <w:ind w:left="1640"/>
              <w:spacing w:after="0"/>
              <w:rPr>
                <w:sz w:val="20"/>
                <w:szCs w:val="20"/>
                <w:color w:val="auto"/>
              </w:rPr>
            </w:pPr>
            <w:r>
              <w:rPr>
                <w:rFonts w:ascii="Times New Roman" w:cs="Times New Roman" w:eastAsia="Times New Roman" w:hAnsi="Times New Roman"/>
                <w:sz w:val="17"/>
                <w:szCs w:val="17"/>
                <w:color w:val="auto"/>
              </w:rPr>
              <w:t>By:/s/ Moran Shemesh Rojansky</w:t>
            </w:r>
          </w:p>
        </w:tc>
      </w:tr>
      <w:tr>
        <w:trPr>
          <w:trHeight w:val="185"/>
        </w:trPr>
        <w:tc>
          <w:tcPr>
            <w:tcW w:w="3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231F20"/>
              </w:rPr>
              <w:t>Moran Shemesh Rojansky</w:t>
            </w:r>
          </w:p>
        </w:tc>
        <w:tc>
          <w:tcPr>
            <w:tcW w:w="20" w:type="dxa"/>
            <w:vAlign w:val="bottom"/>
          </w:tcPr>
          <w:p>
            <w:pPr>
              <w:spacing w:after="0"/>
              <w:rPr>
                <w:sz w:val="16"/>
                <w:szCs w:val="16"/>
                <w:color w:val="auto"/>
              </w:rPr>
            </w:pPr>
          </w:p>
        </w:tc>
      </w:tr>
      <w:tr>
        <w:trPr>
          <w:trHeight w:val="210"/>
        </w:trPr>
        <w:tc>
          <w:tcPr>
            <w:tcW w:w="3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Chief Financial Officer</w:t>
            </w:r>
          </w:p>
        </w:tc>
      </w:tr>
      <w:tr>
        <w:trPr>
          <w:trHeight w:val="228"/>
        </w:trPr>
        <w:tc>
          <w:tcPr>
            <w:tcW w:w="3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753"/>
        </w:trPr>
        <w:tc>
          <w:tcPr>
            <w:tcW w:w="3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lvl w:ilvl="1">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1)"/>
      <w:numFmt w:val="lowerRoman"/>
      <w:start w:val="2"/>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1)"/>
      <w:numFmt w:val="lowerRoman"/>
      <w:start w:val="4"/>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2"/>
    </w:lvl>
  </w:abstractNum>
  <w:abstractNum w:abstractNumId="36">
    <w:nsid w:val="1381823A"/>
    <w:multiLevelType w:val="hybridMultilevel"/>
    <w:lvl w:ilvl="0">
      <w:lvlJc w:val="left"/>
      <w:lvlText w:val="%1."/>
      <w:numFmt w:val="decimal"/>
      <w:start w:val="3"/>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2"/>
    </w:lvl>
  </w:abstractNum>
  <w:abstractNum w:abstractNumId="41">
    <w:nsid w:val="5F5E7FD0"/>
    <w:multiLevelType w:val="hybridMultilevel"/>
    <w:lvl w:ilvl="0">
      <w:lvlJc w:val="left"/>
      <w:lvlText w:val="%1."/>
      <w:numFmt w:val="decimal"/>
      <w:start w:val="3"/>
    </w:lvl>
  </w:abstractNum>
  <w:abstractNum w:abstractNumId="42">
    <w:nsid w:val="98A3148"/>
    <w:multiLevelType w:val="hybridMultilevel"/>
    <w:lvl w:ilvl="0">
      <w:lvlJc w:val="left"/>
      <w:lvlText w:val="%1."/>
      <w:numFmt w:val="decimal"/>
      <w:start w:val="4"/>
    </w:lvl>
  </w:abstractNum>
  <w:abstractNum w:abstractNumId="43">
    <w:nsid w:val="799D0247"/>
    <w:multiLevelType w:val="hybridMultilevel"/>
    <w:lvl w:ilvl="0">
      <w:lvlJc w:val="left"/>
      <w:lvlText w:val="%1."/>
      <w:numFmt w:val="decimal"/>
      <w:start w:val="5"/>
    </w:lvl>
  </w:abstractNum>
  <w:abstractNum w:abstractNumId="44">
    <w:nsid w:val="6B94764"/>
    <w:multiLevelType w:val="hybridMultilevel"/>
    <w:lvl w:ilvl="0">
      <w:lvlJc w:val="left"/>
      <w:lvlText w:val="%1."/>
      <w:numFmt w:val="decimal"/>
      <w:start w:val="6"/>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4"/>
    </w:lvl>
  </w:abstractNum>
  <w:abstractNum w:abstractNumId="51">
    <w:nsid w:val="7BD3EE7B"/>
    <w:multiLevelType w:val="hybridMultilevel"/>
    <w:lvl w:ilvl="0">
      <w:lvlJc w:val="left"/>
      <w:lvlText w:val="%1."/>
      <w:numFmt w:val="decimal"/>
      <w:start w:val="5"/>
    </w:lvl>
  </w:abstractNum>
  <w:abstractNum w:abstractNumId="52">
    <w:nsid w:val="51D9C564"/>
    <w:multiLevelType w:val="hybridMultilevel"/>
    <w:lvl w:ilvl="0">
      <w:lvlJc w:val="left"/>
      <w:lvlText w:val="%1."/>
      <w:numFmt w:val="decimal"/>
      <w:start w:val="7"/>
    </w:lvl>
  </w:abstractNum>
  <w:abstractNum w:abstractNumId="53">
    <w:nsid w:val="613EFDC5"/>
    <w:multiLevelType w:val="hybridMultilevel"/>
    <w:lvl w:ilvl="0">
      <w:lvlJc w:val="left"/>
      <w:lvlText w:val="%1."/>
      <w:numFmt w:val="decimal"/>
      <w:start w:val="9"/>
    </w:lvl>
    <w:lvl w:ilvl="1">
      <w:lvlJc w:val="left"/>
      <w:lvlText w:val="(%2)"/>
      <w:numFmt w:val="lowerLetter"/>
      <w:start w:val="1"/>
    </w:lvl>
  </w:abstractNum>
  <w:abstractNum w:abstractNumId="54">
    <w:nsid w:val="BF72B14"/>
    <w:multiLevelType w:val="hybridMultilevel"/>
    <w:lvl w:ilvl="0">
      <w:lvlJc w:val="left"/>
      <w:lvlText w:val="%1."/>
      <w:numFmt w:val="decimal"/>
      <w:start w:val="11"/>
    </w:lvl>
  </w:abstractNum>
  <w:abstractNum w:abstractNumId="55">
    <w:nsid w:val="11447B73"/>
    <w:multiLevelType w:val="hybridMultilevel"/>
    <w:lvl w:ilvl="0">
      <w:lvlJc w:val="left"/>
      <w:lvlText w:val="%1."/>
      <w:numFmt w:val="decimal"/>
      <w:start w:val="14"/>
    </w:lvl>
    <w:lvl w:ilvl="1">
      <w:lvlJc w:val="left"/>
      <w:lvlText w:val="(%2)"/>
      <w:numFmt w:val="lowerLetter"/>
      <w:start w:val="1"/>
    </w:lvl>
  </w:abstractNum>
  <w:abstractNum w:abstractNumId="56">
    <w:nsid w:val="42963E5A"/>
    <w:multiLevelType w:val="hybridMultilevel"/>
    <w:lvl w:ilvl="0">
      <w:lvlJc w:val="left"/>
      <w:lvlText w:val="%1"/>
      <w:numFmt w:val="decimal"/>
      <w:start w:val="1"/>
    </w:lvl>
    <w:lvl w:ilvl="1">
      <w:lvlJc w:val="left"/>
      <w:lvlText w:val="(%2)"/>
      <w:numFmt w:val="lowerLetter"/>
      <w:start w:val="5"/>
    </w:lvl>
  </w:abstractNum>
  <w:abstractNum w:abstractNumId="57">
    <w:nsid w:val="A0382C5"/>
    <w:multiLevelType w:val="hybridMultilevel"/>
    <w:lvl w:ilvl="0">
      <w:lvlJc w:val="left"/>
      <w:lvlText w:val="(%1)"/>
      <w:numFmt w:val="decimal"/>
      <w:start w:val="6"/>
    </w:lvl>
    <w:lvl w:ilvl="1">
      <w:lvlJc w:val="left"/>
      <w:lvlText w:val="%2"/>
      <w:numFmt w:val="lowerLetter"/>
      <w:start w:val="1"/>
    </w:lvl>
  </w:abstractNum>
  <w:abstractNum w:abstractNumId="58">
    <w:nsid w:val="8F2B15E"/>
    <w:multiLevelType w:val="hybridMultilevel"/>
    <w:lvl w:ilvl="0">
      <w:lvlJc w:val="left"/>
      <w:lvlText w:val="%1"/>
      <w:numFmt w:val="decimal"/>
      <w:start w:val="1"/>
    </w:lvl>
    <w:lvl w:ilvl="1">
      <w:lvlJc w:val="left"/>
      <w:lvlText w:val="(%2)"/>
      <w:numFmt w:val="lowerLetter"/>
      <w:start w:val="12"/>
    </w:lvl>
    <w:lvl w:ilvl="2">
      <w:lvlJc w:val="left"/>
      <w:lvlText w:val="*"/>
      <w:numFmt w:val="bullet"/>
      <w:start w:val="1"/>
    </w:lvl>
  </w:abstractNum>
  <w:abstractNum w:abstractNumId="59">
    <w:nsid w:val="1A32234B"/>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60">
    <w:nsid w:val="3B0FD37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1">
    <w:nsid w:val="68EB2F63"/>
    <w:multiLevelType w:val="hybridMultilevel"/>
    <w:lvl w:ilvl="0">
      <w:lvlJc w:val="left"/>
      <w:lvlText w:val="%1"/>
      <w:numFmt w:val="decimal"/>
      <w:start w:val="1"/>
    </w:lvl>
    <w:lvl w:ilvl="1">
      <w:lvlJc w:val="left"/>
      <w:lvlText w:val="(%2)"/>
      <w:numFmt w:val="lowerLetter"/>
      <w:start w:val="3"/>
    </w:lvl>
  </w:abstractNum>
  <w:abstractNum w:abstractNumId="62">
    <w:nsid w:val="4962813B"/>
    <w:multiLevelType w:val="hybridMultilevel"/>
    <w:lvl w:ilvl="0">
      <w:lvlJc w:val="left"/>
      <w:lvlText w:val="%1."/>
      <w:numFmt w:val="decimal"/>
      <w:start w:val="2"/>
    </w:lvl>
    <w:lvl w:ilvl="1">
      <w:lvlJc w:val="left"/>
      <w:lvlText w:val="%2"/>
      <w:numFmt w:val="lowerLetter"/>
      <w:start w:val="1"/>
    </w:lvl>
  </w:abstractNum>
  <w:abstractNum w:abstractNumId="63">
    <w:nsid w:val="60B6DF70"/>
    <w:multiLevelType w:val="hybridMultilevel"/>
    <w:lvl w:ilvl="0">
      <w:lvlJc w:val="left"/>
      <w:lvlText w:val="%1"/>
      <w:numFmt w:val="upperLetter"/>
      <w:start w:val="1"/>
    </w:lvl>
    <w:lvl w:ilvl="1">
      <w:lvlJc w:val="left"/>
      <w:lvlText w:val="%2."/>
      <w:numFmt w:val="decimal"/>
      <w:start w:val="4"/>
    </w:lvl>
  </w:abstractNum>
  <w:abstractNum w:abstractNumId="64">
    <w:nsid w:val="6A5EE64"/>
    <w:multiLevelType w:val="hybridMultilevel"/>
    <w:lvl w:ilvl="0">
      <w:lvlJc w:val="left"/>
      <w:lvlText w:val="%1."/>
      <w:numFmt w:val="upperLetter"/>
      <w:start w:val="2"/>
    </w:lvl>
    <w:lvl w:ilvl="1">
      <w:lvlJc w:val="left"/>
      <w:lvlText w:val="%2"/>
      <w:numFmt w:val="decimal"/>
      <w:start w:val="1"/>
    </w:lvl>
  </w:abstractNum>
  <w:abstractNum w:abstractNumId="65">
    <w:nsid w:val="14330624"/>
    <w:multiLevelType w:val="hybridMultilevel"/>
    <w:lvl w:ilvl="0">
      <w:lvlJc w:val="left"/>
      <w:lvlText w:val="(%1)"/>
      <w:numFmt w:val="lowerLetter"/>
      <w:start w:val="3"/>
    </w:lvl>
  </w:abstractNum>
  <w:abstractNum w:abstractNumId="66">
    <w:nsid w:val="7FFFCA11"/>
    <w:multiLevelType w:val="hybridMultilevel"/>
    <w:lvl w:ilvl="0">
      <w:lvlJc w:val="left"/>
      <w:lvlText w:val="%1."/>
      <w:numFmt w:val="upperLetter"/>
      <w:start w:val="1"/>
    </w:lvl>
  </w:abstractNum>
  <w:abstractNum w:abstractNumId="67">
    <w:nsid w:val="1A27709E"/>
    <w:multiLevelType w:val="hybridMultilevel"/>
    <w:lvl w:ilvl="0">
      <w:lvlJc w:val="left"/>
      <w:lvlText w:val="(%1)"/>
      <w:numFmt w:val="lowerRoman"/>
      <w:start w:val="1"/>
    </w:lvl>
  </w:abstractNum>
  <w:abstractNum w:abstractNumId="68">
    <w:nsid w:val="71EA1109"/>
    <w:multiLevelType w:val="hybridMultilevel"/>
    <w:lvl w:ilvl="0">
      <w:lvlJc w:val="left"/>
      <w:lvlText w:val="%1."/>
      <w:numFmt w:val="upperLetter"/>
      <w:start w:val="2"/>
    </w:lvl>
  </w:abstractNum>
  <w:abstractNum w:abstractNumId="69">
    <w:nsid w:val="100F59DC"/>
    <w:multiLevelType w:val="hybridMultilevel"/>
    <w:lvl w:ilvl="0">
      <w:lvlJc w:val="left"/>
      <w:lvlText w:val="%1."/>
      <w:numFmt w:val="upperLetter"/>
      <w:start w:val="3"/>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1."/>
      <w:numFmt w:val="upperLetter"/>
      <w:start w:val="3"/>
    </w:lvl>
    <w:lvl w:ilvl="1">
      <w:lvlJc w:val="left"/>
      <w:lvlText w:val="●"/>
      <w:numFmt w:val="bullet"/>
      <w:start w:val="1"/>
    </w:lvl>
  </w:abstractNum>
  <w:abstractNum w:abstractNumId="73">
    <w:nsid w:val="94211F2"/>
    <w:multiLevelType w:val="hybridMultilevel"/>
    <w:lvl w:ilvl="0">
      <w:lvlJc w:val="left"/>
      <w:lvlText w:val="%1."/>
      <w:numFmt w:val="upperLetter"/>
      <w:start w:val="5"/>
    </w:lvl>
  </w:abstractNum>
  <w:abstractNum w:abstractNumId="74">
    <w:nsid w:val="885E1B"/>
    <w:multiLevelType w:val="hybridMultilevel"/>
    <w:lvl w:ilvl="0">
      <w:lvlJc w:val="left"/>
      <w:lvlText w:val="%1."/>
      <w:numFmt w:val="upperLetter"/>
      <w:start w:val="6"/>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1)"/>
      <w:numFmt w:val="lowerRoman"/>
      <w:start w:val="3"/>
    </w:lvl>
  </w:abstractNum>
  <w:abstractNum w:abstractNumId="78">
    <w:nsid w:val="14E17E33"/>
    <w:multiLevelType w:val="hybridMultilevel"/>
    <w:lvl w:ilvl="0">
      <w:lvlJc w:val="left"/>
      <w:lvlText w:val="%1."/>
      <w:numFmt w:val="upperLetter"/>
      <w:start w:val="7"/>
    </w:lvl>
  </w:abstractNum>
  <w:abstractNum w:abstractNumId="79">
    <w:nsid w:val="3222E7CD"/>
    <w:multiLevelType w:val="hybridMultilevel"/>
    <w:lvl w:ilvl="0">
      <w:lvlJc w:val="left"/>
      <w:lvlText w:val="%1."/>
      <w:numFmt w:val="upperLetter"/>
      <w:start w:val="8"/>
    </w:lvl>
  </w:abstractNum>
  <w:abstractNum w:abstractNumId="80">
    <w:nsid w:val="74DE0EE3"/>
    <w:multiLevelType w:val="hybridMultilevel"/>
    <w:lvl w:ilvl="0">
      <w:lvlJc w:val="left"/>
      <w:lvlText w:val="%1."/>
      <w:numFmt w:val="upperLetter"/>
      <w:start w:val="9"/>
    </w:lvl>
  </w:abstractNum>
  <w:abstractNum w:abstractNumId="81">
    <w:nsid w:val="68EBC550"/>
    <w:multiLevelType w:val="hybridMultilevel"/>
    <w:lvl w:ilvl="0">
      <w:lvlJc w:val="left"/>
      <w:lvlText w:val="%1."/>
      <w:numFmt w:val="upperLetter"/>
      <w:start w:val="10"/>
    </w:lvl>
  </w:abstractNum>
  <w:abstractNum w:abstractNumId="82">
    <w:nsid w:val="2DF6D648"/>
    <w:multiLevelType w:val="hybridMultilevel"/>
    <w:lvl w:ilvl="0">
      <w:lvlJc w:val="left"/>
      <w:lvlText w:val="%1."/>
      <w:numFmt w:val="upperLetter"/>
      <w:start w:val="11"/>
    </w:lvl>
  </w:abstractNum>
  <w:abstractNum w:abstractNumId="83">
    <w:nsid w:val="46B7D447"/>
    <w:multiLevelType w:val="hybridMultilevel"/>
    <w:lvl w:ilvl="0">
      <w:lvlJc w:val="left"/>
      <w:lvlText w:val="%1."/>
      <w:numFmt w:val="upperLetter"/>
      <w:start w:val="12"/>
    </w:lvl>
  </w:abstractNum>
  <w:abstractNum w:abstractNumId="84">
    <w:nsid w:val="4A2AC315"/>
    <w:multiLevelType w:val="hybridMultilevel"/>
    <w:lvl w:ilvl="0">
      <w:lvlJc w:val="left"/>
      <w:lvlText w:val="%1."/>
      <w:numFmt w:val="upperLetter"/>
      <w:start w:val="13"/>
    </w:lvl>
  </w:abstractNum>
  <w:abstractNum w:abstractNumId="85">
    <w:nsid w:val="39EE015C"/>
    <w:multiLevelType w:val="hybridMultilevel"/>
    <w:lvl w:ilvl="0">
      <w:lvlJc w:val="left"/>
      <w:lvlText w:val="%1."/>
      <w:numFmt w:val="upperLetter"/>
      <w:start w:val="14"/>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lvl w:ilvl="1">
      <w:lvlJc w:val="left"/>
      <w:lvlText w:val="●"/>
      <w:numFmt w:val="bullet"/>
      <w:start w:val="1"/>
    </w:lvl>
  </w:abstractNum>
  <w:abstractNum w:abstractNumId="88">
    <w:nsid w:val="43F18422"/>
    <w:multiLevelType w:val="hybridMultilevel"/>
    <w:lvl w:ilvl="0">
      <w:lvlJc w:val="left"/>
      <w:lvlText w:val="●"/>
      <w:numFmt w:val="bullet"/>
      <w:start w:val="1"/>
    </w:lvl>
    <w:lvl w:ilvl="1">
      <w:lvlJc w:val="left"/>
      <w:lvlText w:val="●"/>
      <w:numFmt w:val="bullet"/>
      <w:start w:val="1"/>
    </w:lvl>
  </w:abstractNum>
  <w:abstractNum w:abstractNumId="89">
    <w:nsid w:val="60EF0119"/>
    <w:multiLevelType w:val="hybridMultilevel"/>
    <w:lvl w:ilvl="0">
      <w:lvlJc w:val="left"/>
      <w:lvlText w:val="%1."/>
      <w:numFmt w:val="upperLetter"/>
      <w:start w:val="9"/>
    </w:lvl>
  </w:abstractNum>
  <w:abstractNum w:abstractNumId="90">
    <w:nsid w:val="26F324BA"/>
    <w:multiLevelType w:val="hybridMultilevel"/>
    <w:lvl w:ilvl="0">
      <w:lvlJc w:val="left"/>
      <w:lvlText w:val="●"/>
      <w:numFmt w:val="bullet"/>
      <w:start w:val="1"/>
    </w:lvl>
    <w:lvl w:ilvl="1">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1."/>
      <w:numFmt w:val="upperLetter"/>
      <w:start w:val="61"/>
    </w:lvl>
  </w:abstractNum>
  <w:abstractNum w:abstractNumId="93">
    <w:nsid w:val="7055A5F5"/>
    <w:multiLevelType w:val="hybridMultilevel"/>
    <w:lvl w:ilvl="0">
      <w:lvlJc w:val="left"/>
      <w:lvlText w:val="%1"/>
      <w:numFmt w:val="upperLetter"/>
      <w:start w:val="33"/>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165" Type="http://schemas.openxmlformats.org/officeDocument/2006/relationships/hyperlink" Target="https://www.sec.gov/Archives/edgar/data/1910139/000110465922112427/tm227410d28_ex3-1.htm" TargetMode="External"/><Relationship Id="rId166" Type="http://schemas.openxmlformats.org/officeDocument/2006/relationships/hyperlink" Target="https://www.sec.gov/Archives/edgar/data/1910139/000110465922112427/tm227410d28_ex3-2.htm" TargetMode="External"/><Relationship Id="rId167" Type="http://schemas.openxmlformats.org/officeDocument/2006/relationships/hyperlink" Target="https://www.sec.gov/Archives/edgar/data/1910139/000110465923030588/mbly-20221231xex4d1.htm" TargetMode="External"/><Relationship Id="rId168" Type="http://schemas.openxmlformats.org/officeDocument/2006/relationships/hyperlink" Target="https://www.sec.gov/Archives/edgar/data/1910139/000110465922104640/tm227410d16_ex10-1.htm" TargetMode="External"/><Relationship Id="rId169" Type="http://schemas.openxmlformats.org/officeDocument/2006/relationships/hyperlink" Target="https://www.sec.gov/Archives/edgar/data/1910139/000110465923030588/mbly-20221231xex10d2.htm" TargetMode="External"/><Relationship Id="rId170" Type="http://schemas.openxmlformats.org/officeDocument/2006/relationships/hyperlink" Target="https://www.sec.gov/Archives/edgar/data/1910139/000110465923030588/mbly-20221231xex10d3.htm" TargetMode="External"/><Relationship Id="rId171" Type="http://schemas.openxmlformats.org/officeDocument/2006/relationships/hyperlink" Target="https://www.sec.gov/Archives/edgar/data/1910139/000110465923030588/mbly-20221231xex10d4.htm" TargetMode="External"/><Relationship Id="rId172" Type="http://schemas.openxmlformats.org/officeDocument/2006/relationships/hyperlink" Target="https://www.sec.gov/Archives/edgar/data/1910139/000110465923030588/mbly-20221231xex10d5.htm" TargetMode="External"/><Relationship Id="rId173" Type="http://schemas.openxmlformats.org/officeDocument/2006/relationships/hyperlink" Target="https://www.sec.gov/Archives/edgar/data/1910139/000141057824001734/mbly-20240928xex10d7.htm" TargetMode="External"/><Relationship Id="rId174" Type="http://schemas.openxmlformats.org/officeDocument/2006/relationships/hyperlink" Target="https://www.sec.gov/Archives/edgar/data/1910139/000110465923030588/mbly-20221231xex10d8.htm" TargetMode="External"/><Relationship Id="rId175" Type="http://schemas.openxmlformats.org/officeDocument/2006/relationships/hyperlink" Target="https://www.sec.gov/Archives/edgar/data/1910139/000110465922104640/tm227410d16_ex10-9.htm" TargetMode="External"/><Relationship Id="rId176" Type="http://schemas.openxmlformats.org/officeDocument/2006/relationships/hyperlink" Target="https://www.sec.gov/Archives/edgar/data/1910139/000110465922104640/tm227410d16_ex10-11.htm" TargetMode="External"/><Relationship Id="rId177" Type="http://schemas.openxmlformats.org/officeDocument/2006/relationships/hyperlink" Target="https://www.sec.gov/Archives/edgar/data/1910139/000110465922104640/tm227410d16_ex10-12.htm" TargetMode="External"/><Relationship Id="rId178" Type="http://schemas.openxmlformats.org/officeDocument/2006/relationships/hyperlink" Target="https://www.sec.gov/Archives/edgar/data/1910139/000110465922104640/tm227410d16_ex10-13.htm" TargetMode="External"/><Relationship Id="rId179" Type="http://schemas.openxmlformats.org/officeDocument/2006/relationships/hyperlink" Target="https://www.sec.gov/Archives/edgar/data/1910139/000110465922104640/tm227410d16_ex10-16.htm" TargetMode="External"/><Relationship Id="rId180" Type="http://schemas.openxmlformats.org/officeDocument/2006/relationships/hyperlink" Target="https://www.sec.gov/Archives/edgar/data/1910139/000110465922104640/tm227410d16_ex10-17.htm" TargetMode="External"/><Relationship Id="rId181" Type="http://schemas.openxmlformats.org/officeDocument/2006/relationships/hyperlink" Target="https://www.sec.gov/Archives/edgar/data/1910139/000110465923030588/mbly-20221231xex10d18.htm" TargetMode="External"/><Relationship Id="rId182" Type="http://schemas.openxmlformats.org/officeDocument/2006/relationships/hyperlink" Target="https://www.sec.gov/Archives/edgar/data/1910139/000110465922104640/tm227410d16_ex10-18.htm" TargetMode="External"/><Relationship Id="rId183" Type="http://schemas.openxmlformats.org/officeDocument/2006/relationships/hyperlink" Target="https://www.sec.gov/Archives/edgar/data/1910139/000110465922104640/tm227410d16_ex10-19.htm" TargetMode="External"/><Relationship Id="rId184" Type="http://schemas.openxmlformats.org/officeDocument/2006/relationships/hyperlink" Target="https://www.sec.gov/Archives/edgar/data/1910139/000110465922104640/tm227410d16_ex10-20.htm" TargetMode="External"/><Relationship Id="rId185" Type="http://schemas.openxmlformats.org/officeDocument/2006/relationships/hyperlink" Target="https://www.sec.gov/Archives/edgar/data/1910139/000110465922104640/tm227410d16_ex10-21.htm" TargetMode="External"/><Relationship Id="rId186" Type="http://schemas.openxmlformats.org/officeDocument/2006/relationships/hyperlink" Target="https://www.sec.gov/Archives/edgar/data/1910139/000110465922104640/tm227410d16_ex10-22.htm" TargetMode="External"/><Relationship Id="rId187" Type="http://schemas.openxmlformats.org/officeDocument/2006/relationships/hyperlink" Target="https://www.sec.gov/Archives/edgar/data/1910139/000110465924026792/mbly-20231230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2025-02-13T15:46:46Z</dcterms:created>
  <dcterms:modified xsi:type="dcterms:W3CDTF">2025-02-13T15:46:46Z</dcterms:modified>
</cp:coreProperties>
</file>