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25,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72"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Har Hotzvim, Shlomo Momo HaLevi Street 1</w:t>
      </w:r>
    </w:p>
    <w:p>
      <w:pPr>
        <w:spacing w:after="0" w:line="2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Jerusalem, Israel</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9777015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76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MBLY</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April 25, 2024 Mobileye Global Inc. issued a press release announcing its financial results for the quarter ended March 30, 2024.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60" w:type="dxa"/>
            <w:vAlign w:val="bottom"/>
          </w:tcPr>
          <w:p>
            <w:pPr>
              <w:spacing w:after="0"/>
              <w:rPr>
                <w:sz w:val="20"/>
                <w:szCs w:val="20"/>
                <w:color w:val="auto"/>
              </w:rPr>
            </w:pPr>
          </w:p>
        </w:tc>
        <w:tc>
          <w:tcPr>
            <w:tcW w:w="5320" w:type="dxa"/>
            <w:vAlign w:val="bottom"/>
          </w:tcPr>
          <w:p>
            <w:pPr>
              <w:spacing w:after="0"/>
              <w:rPr>
                <w:sz w:val="20"/>
                <w:szCs w:val="20"/>
                <w:color w:val="auto"/>
              </w:rPr>
            </w:pP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April 25, 2024</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Moran Shemesh Rojansky</w:t>
      </w:r>
    </w:p>
    <w:p>
      <w:pPr>
        <w:spacing w:after="0" w:line="9"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Releases First Quarter 2024 Results and Provides Business Overview</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48% year over year to $239 million in the first quarter due to the significant drawdown of inventory at our Tier 1 customers announced earlier this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(GAAP) was $(0.27) and Adjusted Diluted EPS (Non-GAAP) was $(0.07) in the first quarter.</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Inventory consumption and the expected quarterly cadence of EyeQ</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SoC deliveries over the course of 2024 remains on-track with our prior guidance.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Volkswagen Group of a wide-ranging production award for our advanced products in the first quarter led to an expansion of the pipeline of advanced discussions with other global OEMs.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net cash from operating activities of $40 million in the first quarter. Our balance sheet is strong with $1.2 billion of cash and cash equivalents and zero debt as of March 30, 2024.</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JERUSALEM – April 25, 2024 – Mobileye Global Inc. (Nasdaq: MBLY) (“Mobileye”) today released its financial results for the three months ended March 30, 2024.</w:t>
      </w:r>
    </w:p>
    <w:p>
      <w:pPr>
        <w:spacing w:after="0" w:line="16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 financial results in the first quarter reflect a supply chain reset as the excess inventory held by our customers is consumed. We are encouraged that the inventory draw-down and associated recovery in revenue appears to be on-track to what we laid out in January,” said Mobileye President and CEO Prof. Amnon Shashua. “From a business development and strategy perspective, Q1 was very productive in generating traction across our multiple waves of future growth. In base and cloud-enhanced ADAS, we achieved a record level of design wins in terms of future projected volume, in part due to new</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features and technology embedded in the EyeQ6L product. Our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and Chauffeur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development pipeline expanded during the quarter, reflecting 1) the key announcement of the Volkswagen Group design win and 2) an increasing consensus across automotive OEMs that eyes-on / hands-off</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systems (on a scalable path to eyes-off) are critical features necessary for mainstream vehicles of the near future. For Mobileye Drive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we continue to build an eco-system of vehicle manufacturers and network operators that view our self-driving system as the enabler of more convenient and efficient modes of transportation. Our main focus in 2024 is to successfully execute our current advanced programs and to convert the unprecedented opportunity set currently on the table into series production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2024 Business Highlights</w:t>
      </w:r>
    </w:p>
    <w:p>
      <w:pPr>
        <w:spacing w:after="0" w:line="229" w:lineRule="exact"/>
        <w:rPr>
          <w:sz w:val="20"/>
          <w:szCs w:val="20"/>
          <w:color w:val="auto"/>
        </w:rPr>
      </w:pPr>
    </w:p>
    <w:p>
      <w:pPr>
        <w:jc w:val="both"/>
        <w:ind w:left="660" w:hanging="328"/>
        <w:spacing w:after="0" w:line="26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ADAS and Cloud-Enhanced ADAS offerings are now bolstered by the EyeQ6L System-on-Chip, which recently achieved the milestone of first production-candidate shipments to global customers. This system includes incremental advanced features and technology for a similar price to prior generations, and will be in production vehicles during 2024. Our core ADAS business remains strong, as projected future volume for design wins awarded in Q1 totaled over 26 million units, a record amount that is approximately 80% of the EyeQ unit volume we project to deliver in all of 2024.</w:t>
      </w:r>
      <w:r>
        <w:rPr>
          <w:rFonts w:ascii="Times New Roman" w:cs="Times New Roman" w:eastAsia="Times New Roman" w:hAnsi="Times New Roman"/>
          <w:sz w:val="29"/>
          <w:szCs w:val="29"/>
          <w:color w:val="auto"/>
          <w:vertAlign w:val="superscript"/>
        </w:rPr>
        <w:t>1</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Volkswagen Group of our wide-ranging production award for SuperVision, Chauffeur, and Drive products, a potential multi-billion dollar nomination, was a milestone achievement for Mobileye. Importantly, we believe this was a key driver of the Q1 expansion of our pipeline of advanced discussions with OEMs from around the globe. Overall, we are seeing a solidified consensus view among many OEMs, including mainstream brands, that a SuperVision-type feature set is critical to being competitive over the medium and long-term in a software-defined, recurring revenue world. As well as that Mobileye’s SuperVision technology supports an optimized balance of performance and cost while providing a scalable platform to pursue Level 3 eyes-off and beyond.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Mobility-as-a-Service front, we continue to make progress creating an ecosystem of multiple vehicle platforms pre-engineered to integrate our self-driving system and a set of customers to deploy the vehicles in transportation networks. This includes production awards from Volkswagen and P3 announced this quarter, in addition to existing programs with Schaeffler / VDL and Holon. On the technical side, we expect to deliver first samples of the Drive 64 ECU during 2024. This represents a meaningful step forward from previous EyeQ5-based systems on the path to a scalable self-driving system.</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on track to deploy B-samples of our EyeQ6H-based ECUs for the next generation SuperVision and for Chauffeur and Drive products during the third quarter of this year. The software stack to be embedded in these systems includes state-of-the-art novel Artificial Intelligence (AI) systems including end-to-end perception and end-to-end actuation running in parallel, for purposes of redundancy, to the networks powering our current generation of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Summary and Key Explanations (Unaudited)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152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Y/Y</w:t>
            </w:r>
          </w:p>
        </w:tc>
        <w:tc>
          <w:tcPr>
            <w:tcW w:w="0" w:type="dxa"/>
            <w:vAlign w:val="bottom"/>
          </w:tcPr>
          <w:p>
            <w:pPr>
              <w:spacing w:after="0"/>
              <w:rPr>
                <w:sz w:val="1"/>
                <w:szCs w:val="1"/>
                <w:color w:val="auto"/>
              </w:rPr>
            </w:pP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(2,260)bps</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(81)</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(8,190)bps</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(79)</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4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4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42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152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Y/Y</w:t>
            </w:r>
          </w:p>
        </w:tc>
        <w:tc>
          <w:tcPr>
            <w:tcW w:w="0" w:type="dxa"/>
            <w:vAlign w:val="bottom"/>
          </w:tcPr>
          <w:p>
            <w:pPr>
              <w:spacing w:after="0"/>
              <w:rPr>
                <w:sz w:val="1"/>
                <w:szCs w:val="1"/>
                <w:color w:val="auto"/>
              </w:rPr>
            </w:pP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324</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(876)bps</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124</w:t>
            </w:r>
          </w:p>
        </w:tc>
        <w:tc>
          <w:tcPr>
            <w:tcW w:w="1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115</w:t>
            </w:r>
          </w:p>
        </w:tc>
        <w:tc>
          <w:tcPr>
            <w:tcW w:w="1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0.14</w:t>
            </w:r>
          </w:p>
        </w:tc>
        <w:tc>
          <w:tcPr>
            <w:tcW w:w="1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0.14</w:t>
            </w:r>
          </w:p>
        </w:tc>
        <w:tc>
          <w:tcPr>
            <w:tcW w:w="1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jc w:val="both"/>
        <w:ind w:left="66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operating metrics in the first quarter of 2024 were impacted by significantly lower volume of EyeQ shipments which was the result of the expected large drawdown of inventory at our Tier 1 customers, as reflected in our guidance provided earlier this year. In addition to the revenue impact, gross margin was impacted by the higher percentage of revenue attributed to our SuperVision product which was not impacted by the inventory drawdown. While SuperVision generates significantly more gross profit dollars per unit, it carries lower percentage gross margin than basic ADAS products due to higher hardware content. Operating margin was impacted by lower gross profit without an associated reduction in operating expenses as we remain confident in our business outlook and continue to execute on our long-term strategy. Given our expectation that volumes and revenue will normalize over the course of 2024 we would expect all these metrics to improve significantly as compared to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$239 million decreased 48% compared to the first quarter of 2023 due to a 58% decrease in EyeQ SoC-related revenue primarily attributable to the usage of meaningful inventory at our Tier 1 customers to satisfy demand. This was partially offset by an increase in SuperVision related revenue.</w:t>
      </w:r>
    </w:p>
    <w:p>
      <w:pPr>
        <w:spacing w:after="0" w:line="179" w:lineRule="exact"/>
        <w:rPr>
          <w:rFonts w:ascii="Times New Roman" w:cs="Times New Roman" w:eastAsia="Times New Roman" w:hAnsi="Times New Roman"/>
          <w:sz w:val="18"/>
          <w:szCs w:val="18"/>
          <w:color w:val="auto"/>
        </w:rPr>
      </w:pPr>
    </w:p>
    <w:p>
      <w:pPr>
        <w:ind w:left="328" w:hanging="328"/>
        <w:spacing w:after="0" w:line="188" w:lineRule="auto"/>
        <w:tabs>
          <w:tab w:leader="none" w:pos="328"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Average System Price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was $61.0 in first quarter of 2024 as compared to $53.9 in the prior year period primarily due to the higher percentage of SuperVision-related revenue as compared to the first quarter of 2023.</w:t>
      </w:r>
    </w:p>
    <w:p>
      <w:pPr>
        <w:spacing w:after="0" w:line="198" w:lineRule="exact"/>
        <w:rPr>
          <w:rFonts w:ascii="Times New Roman" w:cs="Times New Roman" w:eastAsia="Times New Roman" w:hAnsi="Times New Roman"/>
          <w:sz w:val="36"/>
          <w:szCs w:val="36"/>
          <w:color w:val="auto"/>
          <w:vertAlign w:val="superscript"/>
        </w:rPr>
      </w:pPr>
    </w:p>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declined by nearly 23 percentage points in the first quarter of 2024 as compared to the prior year period. The decrease was primarily due to the increase in percentage of revenue attributable to SuperVision, as well as similar levels of amortization of intangible assets cost on a significantly lower revenue base.</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declined by nearly 9 percentage points in the first quarter of 2024 as compared to the prior year period. The decrease was primarily due to the increase in percentage of revenue attributable to SuperVision.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declined to a negative margin in the first quarter of 2024 as compared to the prior year period. The decrease was primarily due to lower Gross Margin and operating expenses that were similar to the prior year but on a significantly lower revenue base.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declined to a negative margin in the first quarter of 2024 as compared to the prior year period. In addition to lower Adjusted Gross Margin, the most significant impact was higher operating expenses as a percentage of revenue due to the unusually low revenue base.</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for the three months ended March 30, 2024 was $40 million. Cash used in purchases of property and equipment was $22 million for that same period.</w:t>
      </w:r>
    </w:p>
    <w:p>
      <w:pPr>
        <w:spacing w:after="0" w:line="202" w:lineRule="exact"/>
        <w:rPr>
          <w:sz w:val="20"/>
          <w:szCs w:val="20"/>
          <w:color w:val="auto"/>
        </w:rPr>
      </w:pPr>
    </w:p>
    <w:p>
      <w:pPr>
        <w:jc w:val="both"/>
        <w:ind w:left="8" w:hanging="8"/>
        <w:spacing w:after="0" w:line="210"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Mobileye’s revenue for the periods presented represent estimated volumes based on projections of future production volumes that were provided by our current and prospective OEMs at the time of sourcing the design wins for the models related to those design wins. See the disclaimer under the heading “Forward-Looking Statements” below for important limitations applicable to these estimates.</w:t>
      </w:r>
    </w:p>
    <w:p>
      <w:pPr>
        <w:spacing w:after="0" w:line="130" w:lineRule="exact"/>
        <w:rPr>
          <w:sz w:val="20"/>
          <w:szCs w:val="20"/>
          <w:color w:val="auto"/>
        </w:rPr>
      </w:pPr>
    </w:p>
    <w:p>
      <w:pPr>
        <w:ind w:left="108" w:hanging="108"/>
        <w:spacing w:after="0"/>
        <w:tabs>
          <w:tab w:leader="none" w:pos="108"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Average System Price is calculated as the sum of revenue related to EyeQ and SuperVision systems, divided by the number of systems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Financial Guidance for the 2024 Fiscal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reflects Mobileye’s expectations for Revenue, Operating Loss and Adjusted Operating Income results for the year ending December 28, 2024 which is unchanged from the expectations first disclosed on January 4, 2024 and reaffirmed in our January 25, 2024 press release.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and, 2) Share-based compensation expense. These statements represent forward-looking information and may not represent a financial outlook, and actual results may vary. Please see the risks and assumptions referred to in the Forward-Looking Statements section of this release.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Full Year 2024</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High</w:t>
            </w:r>
          </w:p>
        </w:tc>
        <w:tc>
          <w:tcPr>
            <w:tcW w:w="100" w:type="dxa"/>
            <w:vAlign w:val="bottom"/>
            <w:tcBorders>
              <w:bottom w:val="single" w:sz="8" w:color="CCEEFF"/>
            </w:tcBorders>
          </w:tcPr>
          <w:p>
            <w:pPr>
              <w:spacing w:after="0"/>
              <w:rPr>
                <w:sz w:val="19"/>
                <w:szCs w:val="19"/>
                <w:color w:val="auto"/>
              </w:rPr>
            </w:pPr>
          </w:p>
        </w:tc>
      </w:tr>
      <w:tr>
        <w:trPr>
          <w:trHeight w:val="22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1,830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w:t>
            </w:r>
          </w:p>
        </w:tc>
        <w:tc>
          <w:tcPr>
            <w:tcW w:w="100" w:type="dxa"/>
            <w:vAlign w:val="bottom"/>
            <w:shd w:val="clear" w:color="auto" w:fill="CCEEFF"/>
          </w:tcPr>
          <w:p>
            <w:pPr>
              <w:spacing w:after="0"/>
              <w:rPr>
                <w:sz w:val="19"/>
                <w:szCs w:val="19"/>
                <w:color w:val="auto"/>
              </w:rPr>
            </w:pPr>
          </w:p>
        </w:tc>
      </w:tr>
      <w:tr>
        <w:trPr>
          <w:trHeight w:val="209"/>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tcPr>
          <w:p>
            <w:pPr>
              <w:spacing w:after="0"/>
              <w:rPr>
                <w:sz w:val="18"/>
                <w:szCs w:val="18"/>
                <w:color w:val="auto"/>
              </w:rPr>
            </w:pPr>
          </w:p>
        </w:tc>
        <w:tc>
          <w:tcPr>
            <w:tcW w:w="82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60" w:type="dxa"/>
            <w:vAlign w:val="bottom"/>
            <w:gridSpan w:val="2"/>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gridSpan w:val="2"/>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09"/>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8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Mobileye will host a conference call today, April 25, 2024, at 8:00 am ET (3:00pm IT) to review its results and provide a general business update. The conference call will be accessible live via a webcast on Mobileye’s investor relations site, which can be found at ir.mobileye.com, and a replay of the webcast will be made available shortly after the event’s conclusion.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share-based compensation expenses.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approximately 170 million vehicles worldwide have been built with Mobileye technology inside. In 2022 Mobileye listed as an independent company separate from Intel (Nasdaq: INTC), which retains majority ownership. For more information, visit https://www.mobileye.com.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2024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that may materially affect such forward-looking statements and projections include the following: 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future products and technology, and the expected availability and benefits of such products and technology; development of regulatory frameworks for current and future technology;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effects of the COVID-19 pandemic and responses to future pandemics;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Detailed information regarding these and other factors that could affect Mobileye’s business and results is included in Mobileye’s SEC filings, including the company’s Annual Report on Form 10-K for the year ended December 30, 2023, particularly in the section entitled “Item 1A. Risk Factors”. Copies of these filings may be obtained by visiting our Investor Relations website at ir.mobileye.com or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Results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Operations (unaudited)</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amounts</w:t>
            </w:r>
          </w:p>
        </w:tc>
        <w:tc>
          <w:tcPr>
            <w:tcW w:w="240" w:type="dxa"/>
            <w:vAlign w:val="bottom"/>
          </w:tcPr>
          <w:p>
            <w:pPr>
              <w:spacing w:after="0"/>
              <w:rPr>
                <w:sz w:val="19"/>
                <w:szCs w:val="19"/>
                <w:color w:val="auto"/>
              </w:rPr>
            </w:pPr>
          </w:p>
        </w:tc>
        <w:tc>
          <w:tcPr>
            <w:tcW w:w="144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100" w:type="dxa"/>
            <w:vAlign w:val="bottom"/>
          </w:tcPr>
          <w:p>
            <w:pPr>
              <w:spacing w:after="0"/>
              <w:rPr>
                <w:sz w:val="19"/>
                <w:szCs w:val="19"/>
                <w:color w:val="auto"/>
              </w:rPr>
            </w:pPr>
          </w:p>
        </w:tc>
      </w:tr>
      <w:tr>
        <w:trPr>
          <w:trHeight w:val="209"/>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w:t>
            </w:r>
          </w:p>
        </w:tc>
      </w:tr>
      <w:tr>
        <w:trPr>
          <w:trHeight w:val="209"/>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r>
      <w:tr>
        <w:trPr>
          <w:trHeight w:val="209"/>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18"/>
                <w:szCs w:val="18"/>
                <w:color w:val="auto"/>
              </w:rPr>
            </w:pP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8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 per share (in millions):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802</w:t>
            </w:r>
          </w:p>
        </w:tc>
      </w:tr>
      <w:tr>
        <w:trPr>
          <w:trHeight w:val="675"/>
        </w:trPr>
        <w:tc>
          <w:tcPr>
            <w:tcW w:w="8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14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30, 2023</w:t>
            </w:r>
          </w:p>
        </w:tc>
      </w:tr>
      <w:tr>
        <w:trPr>
          <w:trHeight w:val="209"/>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10,895</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10,895</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15,342</w:t>
            </w: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100" w:type="dxa"/>
            <w:vAlign w:val="bottom"/>
            <w:tcBorders>
              <w:bottom w:val="single" w:sz="8" w:color="CCEEFF"/>
            </w:tcBorders>
          </w:tcPr>
          <w:p>
            <w:pPr>
              <w:spacing w:after="0"/>
              <w:rPr>
                <w:sz w:val="22"/>
                <w:szCs w:val="22"/>
                <w:color w:val="auto"/>
              </w:rPr>
            </w:pPr>
          </w:p>
        </w:tc>
      </w:tr>
      <w:tr>
        <w:trPr>
          <w:trHeight w:val="197"/>
        </w:trPr>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Borders>
              <w:bottom w:val="single" w:sz="8" w:color="CCEEFF"/>
            </w:tcBorders>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100" w:type="dxa"/>
            <w:vAlign w:val="bottom"/>
            <w:shd w:val="clear" w:color="auto" w:fill="CCEEFF"/>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14,763</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14,924</w:t>
            </w:r>
          </w:p>
        </w:tc>
        <w:tc>
          <w:tcPr>
            <w:tcW w:w="100" w:type="dxa"/>
            <w:vAlign w:val="bottom"/>
            <w:tcBorders>
              <w:bottom w:val="single" w:sz="8" w:color="CCEEFF"/>
            </w:tcBorders>
          </w:tcPr>
          <w:p>
            <w:pPr>
              <w:spacing w:after="0"/>
              <w:rPr>
                <w:sz w:val="18"/>
                <w:szCs w:val="18"/>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15,342</w:t>
            </w: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40" w:type="dxa"/>
            <w:vAlign w:val="bottom"/>
          </w:tcPr>
          <w:p>
            <w:pPr>
              <w:spacing w:after="0"/>
              <w:rPr>
                <w:sz w:val="19"/>
                <w:szCs w:val="19"/>
                <w:color w:val="auto"/>
              </w:rPr>
            </w:pPr>
          </w:p>
        </w:tc>
        <w:tc>
          <w:tcPr>
            <w:tcW w:w="144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100" w:type="dxa"/>
            <w:vAlign w:val="bottom"/>
          </w:tcPr>
          <w:p>
            <w:pPr>
              <w:spacing w:after="0"/>
              <w:rPr>
                <w:sz w:val="19"/>
                <w:szCs w:val="19"/>
                <w:color w:val="auto"/>
              </w:rPr>
            </w:pPr>
          </w:p>
        </w:tc>
      </w:tr>
      <w:tr>
        <w:trPr>
          <w:trHeight w:val="209"/>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with related party, net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long term assets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long-term liabilities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1,035</w:t>
            </w:r>
          </w:p>
        </w:tc>
      </w:tr>
      <w:tr>
        <w:trPr>
          <w:trHeight w:val="210"/>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c>
          <w:tcPr>
            <w:tcW w:w="100" w:type="dxa"/>
            <w:vAlign w:val="bottom"/>
            <w:tcBorders>
              <w:top w:val="single" w:sz="8" w:color="CCEEFF"/>
            </w:tcBorders>
            <w:shd w:val="clear" w:color="auto" w:fill="CCEEFF"/>
          </w:tcPr>
          <w:p>
            <w:pPr>
              <w:spacing w:after="0"/>
              <w:rPr>
                <w:sz w:val="18"/>
                <w:szCs w:val="18"/>
                <w:color w:val="auto"/>
              </w:rPr>
            </w:pPr>
          </w:p>
        </w:tc>
      </w:tr>
      <w:tr>
        <w:trPr>
          <w:trHeight w:val="669"/>
        </w:trPr>
        <w:tc>
          <w:tcPr>
            <w:tcW w:w="8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220" w:type="dxa"/>
            <w:vAlign w:val="bottom"/>
          </w:tcPr>
          <w:p>
            <w:pPr>
              <w:spacing w:after="0"/>
              <w:rPr>
                <w:sz w:val="19"/>
                <w:szCs w:val="19"/>
                <w:color w:val="auto"/>
              </w:rPr>
            </w:pPr>
          </w:p>
        </w:tc>
        <w:tc>
          <w:tcPr>
            <w:tcW w:w="260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16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4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60" w:type="dxa"/>
            <w:vAlign w:val="bottom"/>
            <w:tcBorders>
              <w:bottom w:val="single" w:sz="8" w:color="CCEEFF"/>
            </w:tcBorders>
          </w:tcPr>
          <w:p>
            <w:pPr>
              <w:spacing w:after="0"/>
              <w:rPr>
                <w:sz w:val="19"/>
                <w:szCs w:val="19"/>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16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320" w:type="dxa"/>
            <w:vAlign w:val="bottom"/>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w w:val="88"/>
              </w:rPr>
              <w:t>62</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320" w:type="dxa"/>
            <w:vAlign w:val="bottom"/>
          </w:tcPr>
          <w:p>
            <w:pPr>
              <w:spacing w:after="0"/>
              <w:rPr>
                <w:sz w:val="18"/>
                <w:szCs w:val="18"/>
                <w:color w:val="auto"/>
              </w:rPr>
            </w:pPr>
          </w:p>
        </w:tc>
        <w:tc>
          <w:tcPr>
            <w:tcW w:w="126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w w:val="88"/>
              </w:rPr>
              <w:t>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and Margin to Non-GAAP Adjusted Operating Income and Margin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200" w:type="dxa"/>
            <w:vAlign w:val="bottom"/>
          </w:tcPr>
          <w:p>
            <w:pPr>
              <w:spacing w:after="0"/>
              <w:rPr>
                <w:sz w:val="19"/>
                <w:szCs w:val="19"/>
                <w:color w:val="auto"/>
              </w:rPr>
            </w:pPr>
          </w:p>
        </w:tc>
      </w:tr>
      <w:tr>
        <w:trPr>
          <w:trHeight w:val="223"/>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of Revenue</w:t>
            </w:r>
          </w:p>
        </w:tc>
        <w:tc>
          <w:tcPr>
            <w:tcW w:w="200" w:type="dxa"/>
            <w:vAlign w:val="bottom"/>
            <w:tcBorders>
              <w:bottom w:val="single" w:sz="8" w:color="CCEEFF"/>
            </w:tcBorders>
          </w:tcPr>
          <w:p>
            <w:pPr>
              <w:spacing w:after="0"/>
              <w:rPr>
                <w:sz w:val="19"/>
                <w:szCs w:val="19"/>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111</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62</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Adjusted operating margin is calculated as adjusted operating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to Non-GAAP Adjusted Net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220" w:type="dxa"/>
            <w:vAlign w:val="bottom"/>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220" w:type="dxa"/>
            <w:vAlign w:val="bottom"/>
          </w:tcPr>
          <w:p>
            <w:pPr>
              <w:spacing w:after="0"/>
              <w:rPr>
                <w:sz w:val="19"/>
                <w:szCs w:val="19"/>
                <w:color w:val="auto"/>
              </w:rPr>
            </w:pP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111</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62</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 - Average System Price (unaudited)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14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Q2 2023</w:t>
            </w:r>
          </w:p>
        </w:tc>
        <w:tc>
          <w:tcPr>
            <w:tcW w:w="14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2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2024</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EyeQ and SuperVision revenue (U.S. dollars in millions)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2024-04-25T05:43:41Z</dcterms:created>
  <dcterms:modified xsi:type="dcterms:W3CDTF">2024-04-25T05:43:41Z</dcterms:modified>
</cp:coreProperties>
</file>