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60" w:hanging="251"/>
        <w:spacing w:after="0"/>
        <w:tabs>
          <w:tab w:leader="none" w:pos="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 w:hanging="251"/>
        <w:spacing w:after="0"/>
        <w:tabs>
          <w:tab w:leader="none" w:pos="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4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9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organization)</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 Mobileye B.V.</w:t>
            </w:r>
          </w:p>
        </w:tc>
        <w:tc>
          <w:tcPr>
            <w:tcW w:w="4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 Hotzvim, 1 Shlomo Momo HaLevi Street</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Jerusalem 9777015, Israel</w:t>
            </w:r>
          </w:p>
        </w:tc>
        <w:tc>
          <w:tcPr>
            <w:tcW w:w="4440" w:type="dxa"/>
            <w:vAlign w:val="bottom"/>
          </w:tcPr>
          <w:p>
            <w:pPr>
              <w:spacing w:after="0"/>
              <w:rPr>
                <w:sz w:val="18"/>
                <w:szCs w:val="18"/>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40" w:type="dxa"/>
            <w:vAlign w:val="bottom"/>
          </w:tcPr>
          <w:p>
            <w:pPr>
              <w:spacing w:after="0"/>
              <w:rPr>
                <w:sz w:val="24"/>
                <w:szCs w:val="24"/>
                <w:color w:val="auto"/>
              </w:rPr>
            </w:pPr>
          </w:p>
        </w:tc>
      </w:tr>
    </w:tbl>
    <w:p>
      <w:pPr>
        <w:spacing w:after="0" w:line="99" w:lineRule="exact"/>
        <w:rPr>
          <w:sz w:val="24"/>
          <w:szCs w:val="24"/>
          <w:color w:val="auto"/>
        </w:rPr>
      </w:pPr>
    </w:p>
    <w:p>
      <w:pPr>
        <w:sectPr>
          <w:pgSz w:w="11900" w:h="16838" w:orient="portrait"/>
          <w:cols w:equalWidth="0" w:num="1">
            <w:col w:w="9920"/>
          </w:cols>
          <w:pgMar w:left="980" w:top="661" w:right="999" w:bottom="1440" w:gutter="0" w:footer="0" w:header="0"/>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620" w:hanging="323"/>
        <w:spacing w:after="0" w:line="283"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99,548,127 shares of Class A common stock, $0.01 par value, outstanding at October 24, 2024</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1105535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231140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28, 2024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40" w:type="dxa"/>
            <w:vAlign w:val="bottom"/>
            <w:gridSpan w:val="11"/>
            <w:vMerge w:val="restart"/>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40" w:type="dxa"/>
            <w:vAlign w:val="bottom"/>
            <w:gridSpan w:val="11"/>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980" w:type="dxa"/>
            <w:vAlign w:val="bottom"/>
            <w:gridSpan w:val="9"/>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40" w:type="dxa"/>
            <w:vAlign w:val="bottom"/>
            <w:gridSpan w:val="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40" w:type="dxa"/>
            <w:vAlign w:val="bottom"/>
            <w:gridSpan w:val="2"/>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80" w:type="dxa"/>
            <w:vAlign w:val="bottom"/>
            <w:gridSpan w:val="6"/>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40" w:type="dxa"/>
            <w:vAlign w:val="bottom"/>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40" w:type="dxa"/>
            <w:vAlign w:val="bottom"/>
            <w:gridSpan w:val="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60" w:type="dxa"/>
            <w:vAlign w:val="bottom"/>
            <w:gridSpan w:val="1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060" w:type="dxa"/>
            <w:vAlign w:val="bottom"/>
            <w:gridSpan w:val="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00" w:type="dxa"/>
            <w:vAlign w:val="bottom"/>
            <w:gridSpan w:val="1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40" w:type="dxa"/>
            <w:vAlign w:val="bottom"/>
            <w:gridSpan w:val="17"/>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00" w:right="11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 2023 was a 52-week fiscal year; fiscal year 2024 is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12,603</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99,548,127 as of September 28, 2024 and 94,652,348 as of December 30, 2023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711,500,000 as of September 28, 2024 and December 30, 2023</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12,078</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7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per share amounts</w:t>
            </w:r>
          </w:p>
        </w:tc>
        <w:tc>
          <w:tcPr>
            <w:tcW w:w="9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 attributed to Class A and Class B stockholders (in millions):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41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U.S. dollars in millions, except number of 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29, 2024</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809</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(2,715)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28, 2024</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15,059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12,078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July 1, 2023</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14,842</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(50)</w:t>
            </w:r>
          </w:p>
        </w:tc>
        <w:tc>
          <w:tcPr>
            <w:tcW w:w="1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2023</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14,873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30, 2023</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28, 2024</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15,059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12,078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802</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14,737</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gridSpan w:val="2"/>
            <w:shd w:val="clear" w:color="auto" w:fill="CCEEFF"/>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Secondary offering</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30, 2023</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*Rounding of Class A and Class B share amounts due to Secondary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(3,019)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with related party, net</w:t>
            </w:r>
          </w:p>
        </w:tc>
        <w:tc>
          <w:tcPr>
            <w:tcW w:w="24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trade accounts receivable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inventories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accounts payable, accrued expenses and related party payable</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employee-related accrued expenses and long term benefits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other current liabilities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other long term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Increase (decrease) in other long term liabilities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196</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of debt and equity investments</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Maturities and sales of debt and equity investments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1,306</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purchase of property and equipment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share based compensation recharge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received (paid) for income taxes, net of refunds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received from related party</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 all of the Class B common stock of Mobileye, which as of September 28, 2024, represents approximately 87.7% of our outstanding common stock and 98.6% of the voting power of our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and Central Israel, to which the Israel Defense Forces have responded. In addition, both Hezbollah and the Houthi movement have attacked military and civilian targets in Northern Israel, to which Israel has responded, including through increased air and ground operations in Lebanon. In addition, the Houthi movement has attacked international shipping lanes in the red sea. Further, on April 13, 2024, and on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and financial results have not been materially affected, although as of October 24, 2024 approximately 8.3% of our employees have been called to reserve duty in the Israel Defense Forces. We expect that the current conflict in the Gaza Strip, Lebanon and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business, results of operations and financial condition.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events during the reporting period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18, 2024, the Company announced the winding down of the Aftermarket Solutions Unit that provides retrofitted advanced driver assistance technology. This decision was made following a thorough review of this unit’s business prospects and investment needs showing that since automakers and other vehicle manufacturers have steadily increased the rate at which integrated ADAS solutions are installed on new vehicles, the demand and future addressable market for retrofitted ADAS solutions has declined. As a result, this division has seen its revenues decline meaningfully, and in recent years has not positively contributed to Mobileye’s profitability. The plan for winding down of the Aftermarket Solutions Unit resulted in a reduction in workforce of over 100 employees worldwide. The termination costs are in the amount of approximately $4 million, which was recognized as an expense in the nine months ended September 28, 2024.</w:t>
      </w:r>
    </w:p>
    <w:p>
      <w:pPr>
        <w:spacing w:after="0" w:line="19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On September 9, 2024, the Company announced the winding down of the Lidar R&amp;D Unit by the end of 2024 and the cessation of internal development of next-generation frequency modulated continuous wave (FMCW) lidars for use in autonomous and highly automated driving systems. The decision was based on a variety of factors, including substantial progress on the Company’s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6-based computer vision perception, increased clarity on the performance of the Company’s internally developed imaging radar, and continued better-than-expected cost reductions in third-party time-of-flight lidar units. The plan for winding down of the Lidar R&amp;D Unit includes a reduction in workforce of approximately 90 employees worldwide. The affected employees are entitled to additional termination costs in the amount of approximately $4.6 million which was recognized as an R&amp;D expense in the three months ended September 28,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2023 was a 52 week fiscal year; fiscal year 2024 is also a 52 week fiscal year.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28, 2024 shown in this report are not necessarily indicative of the results to be expected for the full year ending 2024. The condensed consolidated financial statements should be read in conjunction with the audited consolidated financial statements for the fiscal year ended December 30,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30, 2023, except as detailed below regarding accounting for investments. For further detail, see Note 2 in the audited consolidated financial statements for the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Equity investments consist of investments in marketable equity securities. Equity investments are measured and recorded at fair value with changes in fair value, whether realized or unrealized, recorded in the statement of operations. Equity investments are classified within other 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15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4"/>
        </w:trPr>
        <w:tc>
          <w:tcPr>
            <w:tcW w:w="7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 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September 28, 2024 and September 30, 2023 amounted to $12 million and $15 million, respectively; and $36 million and $35 million for the nine months ended September 28, 2024 and September 30, 2023, respectively.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marketable equity investments are measured at fair value within Level 1 of the fair value hierarchy because they consist of investments in marketable equity securities for which quoted prices are available in an active market.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$24 million and $24 million were offset against research and development costs in the three months ended September 28, 2024 and September 30, 2023, respectively; and $72 million and $57 million were offset in the nine months ended September 28, 2024 and September 30,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hedges forecasted cash flows denominated in Israeli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2022, the Company de-designated its remaining cash flow hedges for forecasted operating expenses denominated in ILS and no longer participates in the hedging services agreement with Intel.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Amounts reclassified out of accumulated other</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effects</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(see also Note 7).</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reflects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money market funds and U.S. government bonds; and also trade accounts receivable.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 money market funds and are readily redeemable to cash, and the U.S. government bonds are also highly liquid. Accordingly, management believes that these bank deposits, money market funds and U.S. government bonds, have minimal credit risk.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September 28, 2024 and December 30, 2023, the credit loss allowance of trade accounts receivable was not material. For the three and nine months ended September 28, 2024 and September 30, 2023, the charge-offs and recoveries in relation to the credit losses were not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During the fiscal years 2022 and 2021, the semiconductor industry experienced widespread shortages of substrates and other components and available foundry manufacturing capacity. Furthermore, STMicroelectronics, the Company’s sole supplier, was not able to meet our demand for EyeQ™ SoCs during 2022, causing a significant reduction in the Company’s inventory levels.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Although we cannot fully predict the length and the severity of the impact these pressures would have on a long-term basis, we do not anticipate that our current supply chain constraints would materially adversely affect our results of operations, capital resources, sales, profits, and liquidity on a long-term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ASU improves reportable segments disclosure requirements, primarily through enhanced disclosures about significant segment expenses. The ASU is effective for fiscal years beginning after December 15, 2023, and interim periods within fiscal years beginning after December 15, 2024. Early adoption is permitted. The Company is evaluating the potential impact of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totaled $1 million and $2 million for the three and nine months ended September 28, 2024 and were not material for the three and nine months ended September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expenses totaled $16 million and $9 million for the three months ended September 28, 2024 and September 30, 2023, respectively; and $46 million and $24 million for the nine months ended September 28, 2024 and September 30, 2023, respectively. During the nine months ended September 28, 2024, the Company derecognized the cost and accumulated depreciation of fully depreciated assets in the amount of $7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nine months ended September 28, 2024 for RSUs granted to Company’s employees under the 2022 Plan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3"/>
                <w:szCs w:val="13"/>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28, 2024</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September 28, 2024 for RSUs granted to Company’s employees under the 2022 Plan was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29,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28,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2024, the unrecognized compensation cost related to all unvested RSUs granted under the 2022 Plan, was $454 million, which is expected to be recognized as expense over a weighted-average period of 2.22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September 28,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2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6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2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$ 4.0 - 21.6</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option activity for the nine months ended September 28, 2024 for options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5"/>
                <w:szCs w:val="15"/>
                <w:color w:val="auto"/>
              </w:rPr>
            </w:pP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30,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September 28,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September 28, 2024</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60" w:type="dxa"/>
            <w:vAlign w:val="bottom"/>
          </w:tcPr>
          <w:p>
            <w:pPr>
              <w:spacing w:after="0"/>
              <w:rPr>
                <w:sz w:val="24"/>
                <w:szCs w:val="24"/>
                <w:color w:val="auto"/>
              </w:rPr>
            </w:pPr>
          </w:p>
        </w:tc>
        <w:tc>
          <w:tcPr>
            <w:tcW w:w="11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option activity for the three months ended September 28, 2024 for options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June 29,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September 28, 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7"/>
        </w:trPr>
        <w:tc>
          <w:tcPr>
            <w:tcW w:w="45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September 28, 2024</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8"/>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Intel’s ordinary share. On September 28, 2024, Intel’s ordinary share price was $23.9. This represents the potential pre-tax amount receivable by the option holders had all option holders exercised their options as of such date.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September 28, 2024 are 3 thousand options with an average weighted exercise price of $21.6.</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nine months ended September 28, 2024 for RSUs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28,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September 28, 2024 for RSUs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29,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28,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28, 2024, the unrecognized compensation cost related to stock options and RSUs granted under the Intel 2006 Plan was $19 million, which will be recognized over a weighted average period of 0.3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4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3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equity incentive awards</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28, 2024 and September 30, 2023, the computation of diluted earnings (loss) per share attributable to common stockholders does not include 20.4 million and 5.5 million potential common shares, respectively; and 17.0 million and 14.9 million potential common shares for the nine months ended September 28, 2024 and September 30, 2023, respectively, related to restricted stock units granted under the 2022 plan to the Company’s employees, as the effect of their inclusion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income tax benefit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based on the separate return method, a valuation allowance is required for deferred tax assets for which no benefit can be currently realized.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 for income tax in the nine months ended September 28, 2024 was $76 million compared to a provision of $22 million in the nine months ended September 30, 2023, mainly due to the deferred tax effect of goodwill impairment to the Mobileye reporting unit and a higher loss before income taxes in the nine months ended September 28, 2024 compared to prior year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benefit for income tax in the three months ended September 28, 2024, was $78 million compared to a provision for income tax of $6 million in the three months ended September 30, 2023, mainly due to the deferred tax effect of goodwill impairment to the Mobileye reporting unit.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30,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$5 million and $7 million for the three months ended September 28, 2024 and September 30, 2023, respectively and $30 million and $29 million for the nine months ended September 28, 2024 and September 30, 2023,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September 28, 2024 and September 30, 2023, were $0.9 million and $1.2 million, respectively and $2.1 million and $3.6 million for the nine months ended September 28, 2024 and September 30, 2023,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related reimbursements totaled $0.3 million and $0.5 million for the three months ended September 28, 2024 and September 30, 2023, respectively and $1.4 million and $1.7 million for the nine months ended September 28, 2024 and September 30, 2023,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September 28, 2024 and September 30, 2023 were $0.6 million and $1.7 million, respectively and $2.3 million and $2.9 million for the nine months ended September 28, 2024 and September 30,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 incurred under this agreement for the three months ended September 28, 2024 and September 30, 2023 were $1.1 million and $1.4 million, respectively and $3.3 million and $3.8 million for the nine months ended September 28, 2024 and September 30, 2023,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LiDAR Product Collaboration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provided the terms that applied to the Company’s collaboration with Intel for the development and manufacture of a Lidar sensor system for ADAS and AV in automobiles (“LiDAR Projects”). On some of the LiDAR programs joint funding applied between Intel and Mobileye until the end of 2027 whereby Mobileye would bear its own Lidar sensor system development costs up to the first $40 million per year and Intel would bear up to $20 million per year of Mobileye’s Lidar sensor system development costs that are greater than $40 million per year.</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further provided that Intel would manufacture certain components for the Company to market and sell as part of a FMCW (frequency-modulated continuous wave) lidar sensor system solely for external environment sensing for ADAS and AV in automobiles. The price for the components Intel would manufacture for the Company would have been based on a cost-plus model. In addition, the agreement also included a profit-sharing model under which Mobileye would pay Intel a share of the gross profit for each LiDAR sensor system or components thereof, based on Intel technology, sold by Mobileye.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9, 2024, Mobileye announced the cessation of further internal development of FMCW lidar and the wind down of the Lidar R&amp;D Unit. In connection with Mobileye’s decision, Mobileye and Intel terminated the LiDAR Product Collaboration Agreement as of October 2, 2024.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amounts received or receivable from Intel under this agreement for the three and nine months ended September 28,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On August 14, 2024, Mobileye and Intel entered into an Amended and Restated Tax Sharing Agreement, which incorporated certain clarifying amendments into the original Tax Sharing Agreement. As of September 28, 2024 and December 30, 2023, the related party payable to Intel, pursuant to the Tax Sharing Agreement was $37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Intel Sublicense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362</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performance is the operating income/(loss) reported excluding the amortization of acquisition-related intangible assets and impairment of goodwill.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reviewed by the CODM.</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8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financial income (expense), net</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8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60"/>
        </w:trPr>
        <w:tc>
          <w:tcPr>
            <w:tcW w:w="3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864"/>
        </w:trPr>
        <w:tc>
          <w:tcPr>
            <w:tcW w:w="3880" w:type="dxa"/>
            <w:vAlign w:val="bottom"/>
          </w:tcPr>
          <w:p>
            <w:pPr>
              <w:spacing w:after="0"/>
              <w:rPr>
                <w:sz w:val="24"/>
                <w:szCs w:val="24"/>
                <w:color w:val="auto"/>
              </w:rPr>
            </w:pP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30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4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financial income (expense), net</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4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4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530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right="20" w:firstLine="324"/>
        <w:spacing w:after="0" w:line="21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86% and 89% of our revenue for each of the three months ended September 28, 2024 and September 30, 2023, respectively and 83% and 90% of our revenue for each of the nine months ended September 28, 2024 and September 30, 2023,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gridSpan w:val="5"/>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4"/>
        </w:trPr>
        <w:tc>
          <w:tcPr>
            <w:tcW w:w="54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80" w:type="dxa"/>
            <w:vAlign w:val="bottom"/>
            <w:tcBorders>
              <w:top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040" w:type="dxa"/>
            <w:vAlign w:val="bottom"/>
            <w:tcBorders>
              <w:top w:val="single" w:sz="8" w:color="auto"/>
            </w:tcBorders>
            <w:gridSpan w:val="4"/>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r>
      <w:tr>
        <w:trPr>
          <w:trHeight w:val="173"/>
        </w:trPr>
        <w:tc>
          <w:tcPr>
            <w:tcW w:w="546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11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27 %</w:t>
            </w:r>
          </w:p>
        </w:tc>
        <w:tc>
          <w:tcPr>
            <w:tcW w:w="1040" w:type="dxa"/>
            <w:vAlign w:val="bottom"/>
            <w:gridSpan w:val="4"/>
          </w:tcPr>
          <w:p>
            <w:pPr>
              <w:jc w:val="center"/>
              <w:ind w:left="556"/>
              <w:spacing w:after="0"/>
              <w:rPr>
                <w:sz w:val="20"/>
                <w:szCs w:val="20"/>
                <w:color w:val="auto"/>
              </w:rPr>
            </w:pPr>
            <w:r>
              <w:rPr>
                <w:rFonts w:ascii="Times New Roman" w:cs="Times New Roman" w:eastAsia="Times New Roman" w:hAnsi="Times New Roman"/>
                <w:sz w:val="18"/>
                <w:szCs w:val="18"/>
                <w:color w:val="auto"/>
              </w:rPr>
              <w:t>26 %</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14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26 %</w:t>
            </w:r>
          </w:p>
        </w:tc>
        <w:tc>
          <w:tcPr>
            <w:tcW w:w="1040" w:type="dxa"/>
            <w:vAlign w:val="bottom"/>
            <w:gridSpan w:val="4"/>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18 %</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1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15 %</w:t>
            </w:r>
          </w:p>
        </w:tc>
        <w:tc>
          <w:tcPr>
            <w:tcW w:w="1040" w:type="dxa"/>
            <w:vAlign w:val="bottom"/>
            <w:gridSpan w:val="4"/>
          </w:tcPr>
          <w:p>
            <w:pPr>
              <w:jc w:val="center"/>
              <w:ind w:left="556"/>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4"/>
          </w:tcPr>
          <w:p>
            <w:pPr>
              <w:jc w:val="center"/>
              <w:ind w:left="556"/>
              <w:spacing w:after="0"/>
              <w:rPr>
                <w:sz w:val="20"/>
                <w:szCs w:val="20"/>
                <w:color w:val="auto"/>
              </w:rPr>
            </w:pPr>
            <w:r>
              <w:rPr>
                <w:rFonts w:ascii="Times New Roman" w:cs="Times New Roman" w:eastAsia="Times New Roman" w:hAnsi="Times New Roman"/>
                <w:sz w:val="18"/>
                <w:szCs w:val="18"/>
                <w:color w:val="auto"/>
              </w:rPr>
              <w:t>12 %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78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5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7"/>
        </w:trPr>
        <w:tc>
          <w:tcPr>
            <w:tcW w:w="5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5"/>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960" w:type="dxa"/>
            <w:vAlign w:val="bottom"/>
            <w:gridSpan w:val="2"/>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gridSpan w:val="2"/>
          </w:tcPr>
          <w:p>
            <w:pPr>
              <w:spacing w:after="0"/>
              <w:rPr>
                <w:sz w:val="10"/>
                <w:szCs w:val="10"/>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2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2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405"/>
        </w:trPr>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2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2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equity investments which were purchased during the period and classified within other current assets, was $10 million as of September 28, 2024. Unrealized gains recorded in other financial income (expense), net for the three and nine months ended September 28, 2024 amounted to $1 million and zero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On July 12, 2024, the court consolidated the McAuliffe case with a substantively identical case, Le v. Mobileye Global Inc., et al., 1:24-CV-01390 (S.D.N.Y.), appointed a lead plaintiff, and set an initial schedule for the consolidated case. On September 13, 2024, the lead plaintiff filed an amended complaint, which among other actions named another current officer as a defendant and modified the class period to January 26, 2023 until August 8, 2024. On October 25, 2024, Mobileye and the other named defendants jointly filed a motion to dismiss. We intend to defend the matter vigorously. No provision was recorded in the financial statements as of September 28, 2024.</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September 28,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by segment as of September 28, 2024 and December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10"/>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performed an interim quantitative goodwill impairment analysis for the “Mobileye” reporting unit, due to a recent decline (from August) in the price of the Company’s Class A common stock, and corresponding market capitalization, as well as macroeconomic and industry factors. The quantitative assessment was performed by measuring the reporting unit’s fair value (which substantially constitutes the entire value of the Company) using the income approach, based on the expected present value of estimated future cash flows.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measurement is categorized as Level 3 within the fair value hierarchy due to the use of unobservable inputs such as financial projections, terminal growth rate, and discount rate. The results of the impairment analysis indicated that the carrying value of the Mobileye reporting unit was in excess of its fair value. Therefore, the Company has recorded a non-cash impairment loss of $2,695 million ($2,613 million, net of tax), under “goodwill impairment”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was identified for the “other”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of September 28, 2024, our solutions had been installed in approximately 800 vehicle models (including local country, year, and other vehicle model variations), and our System-on-Chips (“SoCs”) had been deployed in approximately 190 million vehicles. We are actively working with more than 50 Original Equipment Manufacturers (“OEMs”) worldwide on the implementation of our ADAS solutions. In the nine months ended September 28, 2024, we shipped approximately 19.8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 decrease from the approximately 25.9 million of our systems that we shipped in the nine months ended September 30, 2023.</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Further, on April 13, 2024 and on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October 24, 2024 approximately 8.3% of our employees have been called to reserve duty in the Israel Defense Forces. We expect that the current conflict in the Gaza Strip, Lebanon and the security escalation in Israel will not have a material impact on our business results in the short term. However, since these are events beyond our control, their continuation or cessation may affect our expectations. We continue to monitor political and military developments closely and examine the consequences for our operations and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9"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w:t>
      </w:r>
    </w:p>
    <w:p>
      <w:pPr>
        <w:spacing w:after="0" w:line="3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1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and weakness in the global automotive market, including macro-factors impacting our sales to OEMs in China, and the extent of the adverse effect that such weakness and volatility will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that our customers used the vast majority of this excess customer inventory in the first and second quarters of 2024, in accordance with our expectations, but there is no guarantee that orders will continue to normalize. ADAS volumes have grown faster in recent years than the overall automotive market as ADAS penetration rates have increased, and we believe that we will continue to benefit from that trend. However, our revenue of $1,164 million in the nine months ended September 28, 2024 was down 19% year-over-year, primarily due to the aforementioned utilization of excess inventory by our customers during the first half of 2024. Continued or future constraint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at least a major portion of production for their 001 model going forward.</w:t>
      </w:r>
    </w:p>
    <w:p>
      <w:pPr>
        <w:spacing w:after="0" w:line="14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13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during 2022, causing further a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ECUs on hand.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4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recently public company, we have implemented and will continue to implement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86% and 89% of our revenue for the three months ended September 28, 2024 and September 30, 2023, respectively, and 83% and 90% of our revenue in the nine months ended September 28, 2024 and September 30, 2023, respectively. Sales of our SuperVision™ product represented the majority of the remainder of our revenue for the three and nine months ended September 28, 2024 and also for the three and nine months ended September 30, 2023.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related expenses, including share-based compensation, facilities, equipment and supplies for research and development activities, materials, parts and other prototype development, cloud computing services, consulting, and other professional services, including data labeling, quality assurance within the development programs, and allocated overhead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In the near term, we expect that our research and development expenses will increase compared to 2023, also as a percentage of total revenue,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productization of our AV solutions and active sensor suite.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as well as legal and accounting fees, litigation expenses, and fees for professional and contract services.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moderately in absolute dollars but to decrease as a percentage of total revenue as our business grows. The expected increase is mainly associated with the costs related to being a public company, including the need to hire more personnel to support compliance with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Goodwill impairment expenses consist of a non-cash impairment loss recognized for the goodwill of the "Mobileye" reporting unit in the three and nine months ended September 28, 2024, as a result of the impairment analysis the Company performed during the third quarter of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Income (Expense),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income (expense), net, consists primarily of income related to investments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we operate in.</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periods presented in our condensed consolidated financial statements, certain components of our business operations were included in the consolidated U.S. tax return filed by Intel.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 to U.S. branch deferred tax assets not currently expected to be realized given that we have sustained recent losses based on the separate return method.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40" w:type="dxa"/>
            <w:vAlign w:val="bottom"/>
            <w:gridSpan w:val="3"/>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40" w:type="dxa"/>
            <w:vAlign w:val="bottom"/>
            <w:gridSpan w:val="3"/>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vMerge w:val="continue"/>
          </w:tcPr>
          <w:p>
            <w:pPr>
              <w:spacing w:after="0"/>
              <w:rPr>
                <w:sz w:val="15"/>
                <w:szCs w:val="15"/>
                <w:color w:val="auto"/>
              </w:rPr>
            </w:pPr>
          </w:p>
        </w:tc>
        <w:tc>
          <w:tcPr>
            <w:tcW w:w="9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gridSpan w:val="2"/>
            <w:vMerge w:val="continue"/>
          </w:tcPr>
          <w:p>
            <w:pPr>
              <w:spacing w:after="0"/>
              <w:rPr>
                <w:sz w:val="15"/>
                <w:szCs w:val="15"/>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vMerge w:val="continue"/>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56 %</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40" w:type="dxa"/>
            <w:vAlign w:val="bottom"/>
            <w:vMerge w:val="continue"/>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30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2"/>
                <w:szCs w:val="12"/>
                <w:color w:val="auto"/>
              </w:rPr>
            </w:pPr>
          </w:p>
        </w:tc>
        <w:tc>
          <w:tcPr>
            <w:tcW w:w="12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2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28, 2024 and September 30,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07" w:lineRule="auto"/>
        <w:rPr>
          <w:sz w:val="20"/>
          <w:szCs w:val="20"/>
          <w:color w:val="auto"/>
        </w:rPr>
      </w:pPr>
      <w:r>
        <w:rPr>
          <w:rFonts w:ascii="Times New Roman" w:cs="Times New Roman" w:eastAsia="Times New Roman" w:hAnsi="Times New Roman"/>
          <w:sz w:val="18"/>
          <w:szCs w:val="18"/>
          <w:color w:val="auto"/>
        </w:rPr>
        <w:t>In the three months ended September 28, 2024, revenue decreased by $44 million, or 8%, compared to the three months ended September 30, 2023. This decrease in revenue was primarily due to a decrease of $51 million or 11%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mostly attributable to a 9% reduction in volume resulting from a reduction in units shipped to China OEM's, as well as modest declines in overall global vehicle production.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1%, due to a modestly unfavorable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feature bundles as compared to the third quarter of 2023.</w:t>
      </w:r>
    </w:p>
    <w:p>
      <w:pPr>
        <w:spacing w:after="0" w:line="176" w:lineRule="exact"/>
        <w:rPr>
          <w:sz w:val="20"/>
          <w:szCs w:val="20"/>
          <w:color w:val="auto"/>
        </w:rPr>
      </w:pPr>
    </w:p>
    <w:p>
      <w:pPr>
        <w:jc w:val="both"/>
        <w:ind w:firstLine="324"/>
        <w:spacing w:after="0" w:line="202" w:lineRule="auto"/>
        <w:rPr>
          <w:sz w:val="20"/>
          <w:szCs w:val="20"/>
          <w:color w:val="auto"/>
        </w:rPr>
      </w:pPr>
      <w:r>
        <w:rPr>
          <w:rFonts w:ascii="Times New Roman" w:cs="Times New Roman" w:eastAsia="Times New Roman" w:hAnsi="Times New Roman"/>
          <w:sz w:val="18"/>
          <w:szCs w:val="18"/>
          <w:color w:val="auto"/>
        </w:rPr>
        <w:t>In the nine months ended September 28, 2024, revenue decreased by $278 million, or 19%, compared to the nine months ended September 30, 2023. This decrease was primarily due to a decrease of $325 million, or 25%,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attributable mainly to a 24% decrease in volume resulting from the usage of meaningful excess inventory previously accumulated at our Tier 1 customers to satisfy demand in the first half of 2024. This was partially offset by an increase of $39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increased by 4%, due to the higher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first nine months ended September 30, 2023.</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three months ended September 28, 2024, our cost of revenue decreased by $9 million, or 3% compared to the three months ended September 30, 2023. This is due to a decrease of $9 million in manufacturing costs, mainly resulting from a decrease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as well as a cost reduction in manufacturing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32"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In the nine months ended September 28, 2024, our cost of revenue decreased by $75 million, or 10%, compared to the nine months ended September 30, 2023. This decrease was primarily due to a decrease of $42 million in manufacturing costs mainly resulting from the decrease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a cost reduction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as well as a decrease of $29 million in amortization of intangible assets.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the three months ended September 28 2024, our gross profit decreased by $35 million, or 13% compared to the three months ended September 30, 2023. This decrease was primarily due to the reduction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partially offset by an increase in gross profit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given the reduction in manufacturing costs.</w:t>
      </w:r>
    </w:p>
    <w:p>
      <w:pPr>
        <w:spacing w:after="0" w:line="5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the nine months ended September 28 2024, our gross profit decreased by $203 million, or 29%, compared to the nine months ended September 30, 2023. This decrease was primarily due to reduction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partially offset by an increase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as well as a decrease in amortization of intangible assets.</w:t>
      </w:r>
    </w:p>
    <w:p>
      <w:pPr>
        <w:spacing w:after="0" w:line="4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In the three months ended September 28 2024, our gross margin has decreased to 49% compared to 51% in the three months ended September 30, 2023. This decrease was primarily due to the impact of the flat cost attributable to amortization of intangible assets as a percentage of revenue, as well as higher EyeQ-related costs per unit given a different mix of EyeQ generations sold. This was partially offset by an increased profitability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given the reduction in manufacturing costs.</w:t>
      </w:r>
    </w:p>
    <w:p>
      <w:pPr>
        <w:spacing w:after="0" w:line="24"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the nine months ended September 28, 2024, our gross margin has decreased to 43% compared to 49% in the nine months ended September 30, 2023. This was mainly due to the increase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well as a higher impact of amortization of intangible assets as a percentage of revenue. In addition, there was an increase in the average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compared to the nine months ended September 30, 2023 since we entered 2023 with an opening balance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that we previously acquired at lower-than-current prices.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September 28, 2024, increased by $85 million, or 39%, compared to the three months ended September 30, 2023. This increase was primarily due to an increase in payroll and related expenses, resulting from an increase in average research and development headcount of 369 employees, including an increase in share-based compensation, which was partially offset by military duty reserve refunds from the state of Israel. In addition, there was an increase related to investments attributable to new product development and also an increase in depreciation costs associated with the new campus and additional sites.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net, in the nine months ended September 28, 2024 increased by $138 million, or 21%, compared to the nine months ended September 30, 2023. This increase was mainly due to an increase in payroll and related expenses, resulting from an increase in average research and development headcount of 362 employees, including an increase in share-based compensation, which was partially offset by the military duty reserve refunds from the state of Israel. In addition, there was an increase related to investments attributable to new product development and also an increase in depreciation costs associated with the new campus and additional sites, partially offset by higher NRE reimbursements.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remained flat in both the three and nine months ended September 28, 2024 compared to the three and nine months ended September 30,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remained flat in the three months ended September 28, 2024 compared to the three months ended September 30,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September 28, 2024 decreased by $3 million or 5%, compared to the nine months ended September 30, 2023. This decrease was mainly due to a decrease in share-based compensation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impairment expenses were $2,695 million in the three and nine months ended September 28, 2024 and zero in the three and nine months ended September 30, 2023. During the third quarter of 2024, the Company performed an interim quantitative goodwill impairment analysis for the "Mobileye" reporting unit, resulting in a non-cash impairment loss. For further details, refer to Note 12 to the Condensed Consolidated Financial Statements included in this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Income (expense), net</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income, net, in the three months ended September 28, 2024 decreased by $1 million, or 7%, compared to the three months ended September 30, 2023. This decrease was mainly due to exchange rate differences expense, partially offset by interest earned on short term bank deposits and fair value revaluation of equity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income, net, in the nine months ended September 28, 2024 increased by $6 million, or 16%, compared to the nine months ended September 30, 2023. This increase was mainly due to interest earned on short term bank deposits and a slight increase in interest earned on investment in money market funds.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28, 2024 benefit for income tax was $78 million, compared to a $6 million provision for income tax in the three months ended September 30, 2023. The change is mainly due to the deferred tax effect of goodwill impairment to the Mobileye reporting unit.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28, 2024, benefit for income tax was $76 million, compared to a $22 million provision for income tax in the nine months ended September 30, 2023. The change is mainly due to the deferred tax effect of goodwill impairment to the Mobileye reporting unit, as well as higher loss before income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research and development projects related equipment and the construction of our new sites and campus and were $68 million and $75 million for the nine months ended September 28, 2024 and September 30, 2023,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2024 to be relatively flat compared to our total capital expenditures in 2023.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560" w:type="dxa"/>
            <w:vAlign w:val="bottom"/>
          </w:tcPr>
          <w:p>
            <w:pPr>
              <w:spacing w:after="0"/>
              <w:rPr>
                <w:sz w:val="15"/>
                <w:szCs w:val="15"/>
                <w:color w:val="auto"/>
              </w:rPr>
            </w:pPr>
          </w:p>
        </w:tc>
        <w:tc>
          <w:tcPr>
            <w:tcW w:w="276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6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5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56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28, 2024 compared to the nine months ended September 30, 2023, the $89 million decrease in cash provided by operating activities was mainly due to an increase of $2,929 million in net loss, partially offset by $2,695 million of non-cash goodwill impairment loss as well as a decrease in accounts receivable due to reduction in revenue and a lower increase in inventories compared to prior year period during which the company rebuilt its strategic inventory of EyeQ chips.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28, 2024 was $98 million, consisting mostly of capital expenditures and purchases of debt and equity investments.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30, 2023 was $75 million consisting of capital expenditures.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September 28, 2024 and the nine months ended September 30, 2023 was $16 million and $29 million, respectively, consisting of share-based compensation recharge payments made to Intel.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Severance pay liability increased from $56 million as of December 30, 2023, to $62 million as of September 28, 2024, reflecting mainly the impact of annual salary increases.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$51 million as of December 30, 2023 to $53 million as of September 28, 2024, reflecting mainly new lease contracts and amendments to existing agreements, partially offset by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$10 million as of September 28, 2024 (denominated in New Israeli Shekels) mainly in connection with lease agreements and import of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2"/>
                <w:szCs w:val="12"/>
                <w:color w:val="auto"/>
              </w:rPr>
            </w:pPr>
          </w:p>
        </w:tc>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20" w:type="dxa"/>
            <w:vAlign w:val="bottom"/>
          </w:tcPr>
          <w:p>
            <w:pPr>
              <w:spacing w:after="0"/>
              <w:rPr>
                <w:sz w:val="12"/>
                <w:szCs w:val="12"/>
                <w:color w:val="auto"/>
              </w:rPr>
            </w:pPr>
          </w:p>
        </w:tc>
        <w:tc>
          <w:tcPr>
            <w:tcW w:w="154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gross profit and</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6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60" w:type="dxa"/>
            <w:vAlign w:val="bottom"/>
          </w:tcPr>
          <w:p>
            <w:pPr>
              <w:spacing w:after="0"/>
              <w:rPr>
                <w:sz w:val="15"/>
                <w:szCs w:val="15"/>
                <w:color w:val="auto"/>
              </w:rPr>
            </w:pPr>
          </w:p>
        </w:tc>
        <w:tc>
          <w:tcPr>
            <w:tcW w:w="12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68 % $</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40" w:type="dxa"/>
            <w:vAlign w:val="bottom"/>
          </w:tcPr>
          <w:p>
            <w:pPr>
              <w:spacing w:after="0"/>
              <w:rPr>
                <w:sz w:val="15"/>
                <w:szCs w:val="15"/>
                <w:color w:val="auto"/>
              </w:rPr>
            </w:pPr>
          </w:p>
        </w:tc>
        <w:tc>
          <w:tcPr>
            <w:tcW w:w="1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69 %$</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140" w:type="dxa"/>
            <w:vAlign w:val="bottom"/>
          </w:tcPr>
          <w:p>
            <w:pPr>
              <w:spacing w:after="0"/>
              <w:rPr>
                <w:sz w:val="15"/>
                <w:szCs w:val="15"/>
                <w:color w:val="auto"/>
              </w:rPr>
            </w:pPr>
          </w:p>
        </w:tc>
        <w:tc>
          <w:tcPr>
            <w:tcW w:w="12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67 %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40" w:type="dxa"/>
            <w:vAlign w:val="bottom"/>
          </w:tcPr>
          <w:p>
            <w:pPr>
              <w:spacing w:after="0"/>
              <w:rPr>
                <w:sz w:val="15"/>
                <w:szCs w:val="15"/>
                <w:color w:val="auto"/>
              </w:rPr>
            </w:pPr>
          </w:p>
        </w:tc>
        <w:tc>
          <w:tcPr>
            <w:tcW w:w="1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70 %</w:t>
            </w:r>
          </w:p>
        </w:tc>
        <w:tc>
          <w:tcPr>
            <w:tcW w:w="0" w:type="dxa"/>
            <w:vAlign w:val="bottom"/>
          </w:tcPr>
          <w:p>
            <w:pPr>
              <w:spacing w:after="0"/>
              <w:rPr>
                <w:sz w:val="1"/>
                <w:szCs w:val="1"/>
                <w:color w:val="auto"/>
              </w:rPr>
            </w:pPr>
          </w:p>
        </w:tc>
      </w:tr>
      <w:tr>
        <w:trPr>
          <w:trHeight w:val="225"/>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Our Adjusted Gross Margin decreased from 69% for the three months ended September 30, 2023 to 68% for the three months ended September 28, 2024, primarily due to higher EyeQ-related costs per unit given a different mix of EyeQ generations sold. In addition, an increase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partially offset by an increase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gross margin given the reduction in manufacturing costs.</w:t>
      </w:r>
    </w:p>
    <w:p>
      <w:pPr>
        <w:spacing w:after="0" w:line="198" w:lineRule="exact"/>
        <w:rPr>
          <w:sz w:val="20"/>
          <w:szCs w:val="20"/>
          <w:color w:val="auto"/>
        </w:rPr>
      </w:pPr>
    </w:p>
    <w:p>
      <w:pPr>
        <w:jc w:val="both"/>
        <w:ind w:firstLine="324"/>
        <w:spacing w:after="0" w:line="207" w:lineRule="auto"/>
        <w:rPr>
          <w:sz w:val="20"/>
          <w:szCs w:val="20"/>
          <w:color w:val="auto"/>
        </w:rPr>
      </w:pPr>
      <w:r>
        <w:rPr>
          <w:rFonts w:ascii="Times New Roman" w:cs="Times New Roman" w:eastAsia="Times New Roman" w:hAnsi="Times New Roman"/>
          <w:sz w:val="18"/>
          <w:szCs w:val="18"/>
          <w:color w:val="auto"/>
        </w:rPr>
        <w:t>Our Adjusted Gross Margin decreased from 70% for the nine months ended September 30, 2023 to 67% for the nine months ended September 28, 2024. The decrease was primarily due to the increase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In addition there was an increase in the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compared to the nine months ended September 30, 2023 since we entered 2023 with an opening balance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that we previously acquired at lower-than-current prices. This cost increase was partially offset by an increase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gross margin given the reduction in manufacturing costs.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(Loss) divided by total revenue.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5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Operating income (loss) and</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(2,807)</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(106)</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c>
          <w:tcPr>
            <w:tcW w:w="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operating income and</w:t>
            </w: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40" w:type="dxa"/>
            <w:vAlign w:val="bottom"/>
            <w:vMerge w:val="continue"/>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4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6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three months ended September 28, 2024 ended with an operating loss of $2,807 million compared to a $8 million operating income in the three months ended September 30, 2023. The increase in operating loss was mainly due to the goodwill impairment loss recognized this quarter.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nine months ended September 28, 2024 ended with an operating loss higher by $3,033 million compared to the nine months ended September 30, 2023, mainly due to the goodwill impairment loss recognized this quarter.</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decreased by $104 million in the three months ended September 28, 2024 compared to the three months ended September 30, 2023, and by $354 million in the nine months ended September 28, 2024 compared to the nine months ended September 30, 2023. The decrease in both periods was mainly due to an increase in operating expenses and a reduction in revenue.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Operating Margin decreased from 34% for the three months ended September 30, 2023 to 16% for the three months ended September 28, 2024. Our Adjusted Operating Margin decreased from 31% for the nine months ended September 30, 2023 to 8% for the nine months ended September 28, 2024. The decrease in both periods is mainly due to higher operating expenses on a lower revenue base, in addition to the lower Adjusted Gross Margin.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share-based compensation expense, and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and impairment of goodwill.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20" w:type="dxa"/>
            <w:vAlign w:val="bottom"/>
            <w:gridSpan w:val="3"/>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5"/>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20" w:type="dxa"/>
            <w:vAlign w:val="bottom"/>
            <w:gridSpan w:val="3"/>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8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gridSpan w:val="5"/>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   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three months ended September 28, 2024 ended with a net loss of $2,715 million compared to a $17 million net income in three months ended September 30, 2023. Our net loss increased by $2,929 million in the nine months ended September 28, 2024, compared to the nine months ended September 30, 2023. The increase in net loss in both periods is mainly due to the goodwill impairment loss recognized this quarter.</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Net Income decreased by $104 million in the three months ended September 28, 2024, compared to the three months ended September 30, 2023. Our Adjusted Net Income decreased by $333 million in the nine months ended September 28, 2024, compared to the nine months ended September 30, 2023. The decrease in both periods is primarily due to higher operating expense and lower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2023 Annual Report on Form 10-K, as filed with the SEC on February 23, 2024 (the “2023 Form 10-K”) describe the significant accounting policies and methods used in the preparation of the Company’s condensed consolidated financial statements. There have been no material changes to the Company’s critical accounting estimates since the 2023 Form 10-K.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in the 2023 Form 10-K critical accounting policies, we regularly test our goodwill and intangible assets to make a judgment on whether facts and circumstances indicate that the carrying amount may not be recoverable and an impairment may be required. These reviews can be affected by various factors, including external factors such as industry and economic trends, and internal factors such as changes in our business strategy and our forecasts for specific product lines.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performed an interim quantitative goodwill impairment analysis for the "Mobileye" reporting unit due to the recent decline in the share price of the Company's Class A common stock and the corresponding decline in market capitalization, as well as macroeconomic and industry factors. The quantitative impairment test estimates the fair value of the reporting unit using an income approach. Significant inputs and assumptions incorporated in the valuation include business projections, estimated costs, terminal growth rate, and discount rate based on the reporting unit’s weighted average cost of capital.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assesses the reasonableness of the estimated fair value of the reporting unit by comparison to its market capitalization, including consideration of expected acquirer synergies, control premium, and the current market.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the impairment analysis indicate that the fair value of the Mobileye reporting unit is below its carrying amount and therefore a non-cash impairment loss of $2,695 million ($2,613 million, net of tax), was recognized in the Condensed Consolidated Statements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1% increase in the discount rate and a 0.5% decrease in terminal growth rate would result in an additional impairment of $1,493 million and $465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COVID-19 pandemic and responses to future pandemics;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the Israeli military operations in response to the October 7, 2023 terrorist attacks,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2023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2023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2023 Form 10 - 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investments in money market funds, U.S. government bonds and short term deposits are subject to market risk due to changes in interest rates, which may affect our interest income and fair market value of our investments. To minimize this risk, we invest in highly liquid short term U.S. government bonds and in institutional investors money market funds, which consist of high-grade securities. Our short term deposits are redeemable upon demand and held in banks domiciled in the U.S. and Europe, as well as in Israel. As of September 28, 2024 and December 30, 2023, our investment in money market funds was $934 million and $932 million, respectively; our U.S. government bonds were $20 million and $0 million, respectively; and our short term deposits were $294 million and $222 million, respectively.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$51 million in the nine months ended September 28, 2024. If the New Israeli Shekel had strengthened by 10% against the U.S. dollar, it would have decreased our cash flows by approximately $29 million in the nine months ended September 30, 2023. This exposure to U.S. dollar / New Israeli Shekel exchange rates in comparative period results from the second and third quarters of 2023, since in the first quarter of 2023 we were still affected by the hedging program with Intel and therefore the effect of the exchange rates would not have had a material impact on our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September 28, 2024 that have materially affected, or are reasonably likely to materially affect, our internal control over financial reporting.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12, 2024, the court consolidated the McAuliffe case with a substantively identical case, Le v. Mobileye Global Inc., et 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1:24-CV-01390 (S.D.N.Y.), appointed a lead plaintiff, and set an initial schedule for the consolidated case. On September 13, 2024,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plaintiff filed an amended complaint, which among other actions named another current officer as a defendant and modified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period to January 26, 2023 until August 8, 2024. On October 25, 2024, Mobileye and the other named defendants jointly filed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to dismiss. We intend to defend the matter vigorously. No provision was recorded in the financial statements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2024.</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9th,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September 28, 2024.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We have moved to dismiss the complaint for improper venue and await a ruling. We intend to defend the matter vigorously. No provision was recorded in the financial statements as of September 28, 2024.</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2023 Form 10-K. The risks described in the section entitled “Item 1A. Risk Factors” in our 2023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September 28,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10.7</w:t>
            </w:r>
          </w:p>
        </w:tc>
        <w:tc>
          <w:tcPr>
            <w:tcW w:w="8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Amended and Restated Tax Sharing Agreement between Mobileye Global Inc. and Intel Corporation dated August 14,</w:t>
            </w:r>
          </w:p>
        </w:tc>
      </w:tr>
      <w:tr>
        <w:trPr>
          <w:trHeight w:val="196"/>
        </w:trPr>
        <w:tc>
          <w:tcPr>
            <w:tcW w:w="9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2024.</w:t>
            </w:r>
          </w:p>
        </w:tc>
        <w:tc>
          <w:tcPr>
            <w:tcW w:w="30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8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4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140" w:type="dxa"/>
            <w:vAlign w:val="bottom"/>
            <w:gridSpan w:val="2"/>
          </w:tcPr>
          <w:p>
            <w:pPr>
              <w:spacing w:after="0"/>
              <w:rPr>
                <w:sz w:val="17"/>
                <w:szCs w:val="17"/>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8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Executive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8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Financial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8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218"/>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101*</w:t>
            </w: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statements from Mobileye Global Inc.’s Quarterly Report on Form 10-Q for the three months</w:t>
            </w:r>
          </w:p>
        </w:tc>
      </w:tr>
      <w:tr>
        <w:trPr>
          <w:trHeight w:val="216"/>
        </w:trPr>
        <w:tc>
          <w:tcPr>
            <w:tcW w:w="980" w:type="dxa"/>
            <w:vAlign w:val="bottom"/>
          </w:tcPr>
          <w:p>
            <w:pPr>
              <w:spacing w:after="0"/>
              <w:rPr>
                <w:sz w:val="18"/>
                <w:szCs w:val="18"/>
                <w:color w:val="auto"/>
              </w:rPr>
            </w:pP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ended September 28, 2024, filed with the Securities and Exchange Commission on October 31, 2024, formatted in</w:t>
            </w:r>
          </w:p>
        </w:tc>
      </w:tr>
      <w:tr>
        <w:trPr>
          <w:trHeight w:val="216"/>
        </w:trPr>
        <w:tc>
          <w:tcPr>
            <w:tcW w:w="980" w:type="dxa"/>
            <w:vAlign w:val="bottom"/>
          </w:tcPr>
          <w:p>
            <w:pPr>
              <w:spacing w:after="0"/>
              <w:rPr>
                <w:sz w:val="18"/>
                <w:szCs w:val="18"/>
                <w:color w:val="auto"/>
              </w:rPr>
            </w:pP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iXBRL (Inline eXtensible Business Reporting Language): (i) the Consolidated Balance Sheets, (ii) the Consolidated</w:t>
            </w:r>
          </w:p>
        </w:tc>
      </w:tr>
      <w:tr>
        <w:trPr>
          <w:trHeight w:val="216"/>
        </w:trPr>
        <w:tc>
          <w:tcPr>
            <w:tcW w:w="980" w:type="dxa"/>
            <w:vAlign w:val="bottom"/>
          </w:tcPr>
          <w:p>
            <w:pPr>
              <w:spacing w:after="0"/>
              <w:rPr>
                <w:sz w:val="18"/>
                <w:szCs w:val="18"/>
                <w:color w:val="auto"/>
              </w:rPr>
            </w:pP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Statements of Operations and Comprehensive Income (Loss), (iii) the Consolidated Statements of Changes in Equity,</w:t>
            </w:r>
          </w:p>
        </w:tc>
      </w:tr>
      <w:tr>
        <w:trPr>
          <w:trHeight w:val="216"/>
        </w:trPr>
        <w:tc>
          <w:tcPr>
            <w:tcW w:w="980" w:type="dxa"/>
            <w:vAlign w:val="bottom"/>
          </w:tcPr>
          <w:p>
            <w:pPr>
              <w:spacing w:after="0"/>
              <w:rPr>
                <w:sz w:val="18"/>
                <w:szCs w:val="18"/>
                <w:color w:val="auto"/>
              </w:rPr>
            </w:pP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the Consolidated Statements of Cash Flows and (v) the Notes to Consolidated Financial Statements.</w:t>
            </w:r>
          </w:p>
        </w:tc>
      </w:tr>
      <w:tr>
        <w:trPr>
          <w:trHeight w:val="234"/>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w:t>
            </w:r>
          </w:p>
        </w:tc>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640" w:type="dxa"/>
            <w:vAlign w:val="bottom"/>
          </w:tcPr>
          <w:p>
            <w:pPr>
              <w:spacing w:after="0"/>
              <w:rPr>
                <w:sz w:val="18"/>
                <w:szCs w:val="18"/>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Moran Shemesh Rojansky</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AMENDED AND RESTATED</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8"/>
          <w:szCs w:val="28"/>
          <w:b w:val="1"/>
          <w:bCs w:val="1"/>
          <w:color w:val="auto"/>
        </w:rPr>
        <w:t>TAX SHARING AGREEMENT</w:t>
      </w: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by and among</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INTEL CORPORATION</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and</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Dated</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858520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33" w:right="9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86"/>
        </w:trPr>
        <w:tc>
          <w:tcPr>
            <w:tcW w:w="1120" w:type="dxa"/>
            <w:vAlign w:val="bottom"/>
          </w:tcPr>
          <w:p>
            <w:pPr>
              <w:spacing w:after="0"/>
              <w:rPr>
                <w:sz w:val="24"/>
                <w:szCs w:val="24"/>
                <w:color w:val="auto"/>
              </w:rPr>
            </w:pPr>
          </w:p>
        </w:tc>
        <w:tc>
          <w:tcPr>
            <w:tcW w:w="6680" w:type="dxa"/>
            <w:vAlign w:val="bottom"/>
          </w:tcPr>
          <w:p>
            <w:pPr>
              <w:ind w:left="26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1.</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2.</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Preparation and Filing of Tax Returns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Intel’s Responsibility</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Mobileye’s Responsibility</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Agent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Manner of Tax Return Preparation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3.</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Liability for 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Mobileye’s Liability for Taxes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Intel’s Liability for Taxes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3.03.</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Other Taxes, Refunds and Credits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 of Tax Liability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4.</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Deconsolidation Events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General</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Continuing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5.</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Distribution 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Liability for Distribution Taxes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Continuing Covenants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6.</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 General</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Inaccurate or Incomplete Information</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Indemnification for Tax Items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7.</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Estimated Tax Payments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True-Up Payments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7.03.</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Redetermination Amounts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7.04.</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Payments of Refunds, Credits and Reimbursements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7.05.</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Payments Under This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8.</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 Proceedings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General</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Notice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Control of Distribution Tax Proceedings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47"/>
        </w:trPr>
        <w:tc>
          <w:tcPr>
            <w:tcW w:w="11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Section 9.</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Miscellaneous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Effectiveness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9.02.</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Cooperation and Exchange of Information</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9.03.</w:t>
            </w:r>
          </w:p>
        </w:tc>
        <w:tc>
          <w:tcPr>
            <w:tcW w:w="6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Dispute Resolution</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2"/>
        </w:trPr>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9.04.</w:t>
            </w:r>
          </w:p>
        </w:tc>
        <w:tc>
          <w:tcPr>
            <w:tcW w:w="6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7" w:name="page48"/>
    <w:bookmarkEnd w:id="47"/>
    <w:tbl>
      <w:tblPr>
        <w:tblLayout w:type="fixed"/>
        <w:tblInd w:w="20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9.05.</w:t>
            </w:r>
          </w:p>
        </w:tc>
        <w:tc>
          <w:tcPr>
            <w:tcW w:w="5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Changes in Law</w:t>
            </w:r>
          </w:p>
        </w:tc>
        <w:tc>
          <w:tcPr>
            <w:tcW w:w="3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9.06.</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9.07.</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Successors</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9.08.</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Affiliates</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9.09.</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Authorization, Etc.</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9.10.</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6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9.11. Applicable Law: Jurisdiction</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9.12.</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9.13.</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9.14.</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9.15.</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Waivers, Etc.</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9.16.</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Setoff</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9.17.</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Other Remedies</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9.18.</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Amendment and Modification</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9.19.</w:t>
            </w:r>
          </w:p>
        </w:tc>
        <w:tc>
          <w:tcPr>
            <w:tcW w:w="5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3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9.20.</w:t>
            </w:r>
          </w:p>
        </w:tc>
        <w:tc>
          <w:tcPr>
            <w:tcW w:w="5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Interpretations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2" w:right="99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TAX SHARING AGREEMENT</w:t>
      </w:r>
    </w:p>
    <w:p>
      <w:pPr>
        <w:spacing w:after="0" w:line="20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color w:val="auto"/>
        </w:rPr>
        <w:t>THIS AMENDED AND RESTATED TAX SHARING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14, 2024, is entered into by and among Intel Corporation, a Delaware corporation (“</w:t>
      </w:r>
      <w:r>
        <w:rPr>
          <w:rFonts w:ascii="Times New Roman" w:cs="Times New Roman" w:eastAsia="Times New Roman" w:hAnsi="Times New Roman"/>
          <w:sz w:val="22"/>
          <w:szCs w:val="22"/>
          <w:b w:val="1"/>
          <w:bCs w:val="1"/>
          <w:color w:val="auto"/>
        </w:rPr>
        <w:t>Intel</w:t>
      </w:r>
      <w:r>
        <w:rPr>
          <w:rFonts w:ascii="Times New Roman" w:cs="Times New Roman" w:eastAsia="Times New Roman" w:hAnsi="Times New Roman"/>
          <w:sz w:val="22"/>
          <w:szCs w:val="22"/>
          <w:color w:val="auto"/>
        </w:rPr>
        <w:t>”), and Mobileye Global Inc., a Delaware corporation and an indirect, wholly-owned subsidiary of Intel (“</w:t>
      </w:r>
      <w:r>
        <w:rPr>
          <w:rFonts w:ascii="Times New Roman" w:cs="Times New Roman" w:eastAsia="Times New Roman" w:hAnsi="Times New Roman"/>
          <w:sz w:val="22"/>
          <w:szCs w:val="22"/>
          <w:b w:val="1"/>
          <w:bCs w:val="1"/>
          <w:color w:val="auto"/>
        </w:rPr>
        <w:t>Mobileye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WHEREAS, as of the date hereof, Intel and its direct and indirect domestic subsidiaries are members of a Consolidated Group (as defined below), of which Intel is the common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Intel indirectly owns all of the issued and outstanding shares of Mobileye stock;</w:t>
      </w:r>
    </w:p>
    <w:p>
      <w:pPr>
        <w:spacing w:after="0" w:line="206"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WHEREAS, on October 26, 2022 Intel effected the initial public offering by Mobileye of Mobileye common stock (the “</w:t>
      </w:r>
      <w:r>
        <w:rPr>
          <w:rFonts w:ascii="Times New Roman" w:cs="Times New Roman" w:eastAsia="Times New Roman" w:hAnsi="Times New Roman"/>
          <w:sz w:val="22"/>
          <w:szCs w:val="22"/>
          <w:b w:val="1"/>
          <w:bCs w:val="1"/>
          <w:color w:val="auto"/>
        </w:rPr>
        <w:t>IPO</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21"/>
          <w:szCs w:val="21"/>
          <w:color w:val="auto"/>
        </w:rPr>
        <w:t>WHEREAS, in contemplation of the IPO, the parties hereto entered into the Tax Sharing Agreement on October 25, 2022 (the “</w:t>
      </w:r>
      <w:r>
        <w:rPr>
          <w:rFonts w:ascii="Times New Roman" w:cs="Times New Roman" w:eastAsia="Times New Roman" w:hAnsi="Times New Roman"/>
          <w:sz w:val="21"/>
          <w:szCs w:val="21"/>
          <w:b w:val="1"/>
          <w:bCs w:val="1"/>
          <w:color w:val="auto"/>
        </w:rPr>
        <w:t>Initial Agreement</w:t>
      </w:r>
      <w:r>
        <w:rPr>
          <w:rFonts w:ascii="Times New Roman" w:cs="Times New Roman" w:eastAsia="Times New Roman" w:hAnsi="Times New Roman"/>
          <w:sz w:val="21"/>
          <w:szCs w:val="21"/>
          <w:color w:val="auto"/>
        </w:rPr>
        <w:t>”), setting forth their agreement with respect to certain tax matters; and</w:t>
      </w:r>
    </w:p>
    <w:p>
      <w:pPr>
        <w:spacing w:after="0" w:line="13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hereto wish to amend and restate the Initial Agreement and for this Agreement to be treated as effective as of October 25, 2022.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herein, the parties hereto hereby agree as follows:</w:t>
      </w:r>
    </w:p>
    <w:p>
      <w:pPr>
        <w:spacing w:after="0" w:line="15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As used in this Agreement, capitalized terms shall have the following meanings (such meanings to be equally applicable to both the singular and the plural forms of the terms defined):</w:t>
      </w:r>
    </w:p>
    <w:p>
      <w:pPr>
        <w:spacing w:after="0" w:line="15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After Tax Amount</w:t>
      </w:r>
      <w:r>
        <w:rPr>
          <w:rFonts w:ascii="Times New Roman" w:cs="Times New Roman" w:eastAsia="Times New Roman" w:hAnsi="Times New Roman"/>
          <w:sz w:val="22"/>
          <w:szCs w:val="22"/>
          <w:color w:val="auto"/>
        </w:rPr>
        <w:t>” means any additional amount necessary to reflect the hypothetical Tax consequences of the receipt or accrual of any payment required to be made under this Agreement (including payment of an additional amount or amounts hereunder and the effect of the deductions available for interest paid or accrued and for Taxes such as state and local Income Taxes), determined by using the highest applicable statutory corporate Income Tax rate (or rates, in the case of an item that affects more than one Tax) for the relevant taxable period (or portion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Entity</w:t>
      </w:r>
      <w:r>
        <w:rPr>
          <w:rFonts w:ascii="Times New Roman" w:cs="Times New Roman" w:eastAsia="Times New Roman" w:hAnsi="Times New Roman"/>
          <w:sz w:val="22"/>
          <w:szCs w:val="22"/>
          <w:color w:val="auto"/>
        </w:rPr>
        <w:t>” means any of Cyclops Holdings Corporation, a Delaware corporation (formerly known as Cyclops Holdings, LLC, a Delaware limited liability company), GG Acquisition Ltd, a corporation duly organized under the state of Israel, or Moovit App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1017905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9" w:name="page50"/>
    <w:bookmarkEnd w:id="49"/>
    <w:p>
      <w:pPr>
        <w:ind w:right="200"/>
        <w:spacing w:after="0" w:line="244" w:lineRule="auto"/>
        <w:rPr>
          <w:sz w:val="20"/>
          <w:szCs w:val="20"/>
          <w:color w:val="auto"/>
        </w:rPr>
      </w:pPr>
      <w:r>
        <w:rPr>
          <w:rFonts w:ascii="Times New Roman" w:cs="Times New Roman" w:eastAsia="Times New Roman" w:hAnsi="Times New Roman"/>
          <w:sz w:val="22"/>
          <w:szCs w:val="22"/>
          <w:color w:val="auto"/>
        </w:rPr>
        <w:t>Ltd., a corporation duly organized under the state of Israel. For the avoidance of doubt, the term “Acquired Entities” shall include only the three entities listed in the prior sentence and shall not include any subsidiaries of such entities (except to the extent such subsidiary is explicitly listed in the prior sentence).</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Audit</w:t>
      </w:r>
      <w:r>
        <w:rPr>
          <w:rFonts w:ascii="Times New Roman" w:cs="Times New Roman" w:eastAsia="Times New Roman" w:hAnsi="Times New Roman"/>
          <w:sz w:val="22"/>
          <w:szCs w:val="22"/>
          <w:color w:val="auto"/>
        </w:rPr>
        <w:t>” means any audit, assessment of Taxes, other examination by any Taxing Authority, proceeding, or appeal of such a proceeding relating to Taxes, whether administrative or judicial, including proceedings relating to competent authority determinations.</w:t>
      </w:r>
    </w:p>
    <w:p>
      <w:pPr>
        <w:spacing w:after="0" w:line="167"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that is not a Saturday, a Sunday or any other day on which commercial banks in Santa Clara, California, are required or authorized by law to be closed.</w:t>
      </w:r>
    </w:p>
    <w:p>
      <w:pPr>
        <w:spacing w:after="0" w:line="15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Calculation Due Dates</w:t>
      </w:r>
      <w:r>
        <w:rPr>
          <w:rFonts w:ascii="Times New Roman" w:cs="Times New Roman" w:eastAsia="Times New Roman" w:hAnsi="Times New Roman"/>
          <w:sz w:val="22"/>
          <w:szCs w:val="22"/>
          <w:color w:val="auto"/>
        </w:rPr>
        <w:t>” means, with respect to any taxable period, May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August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and November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of such taxable period and February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of the following taxable period.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Combined Return</w:t>
      </w:r>
      <w:r>
        <w:rPr>
          <w:rFonts w:ascii="Times New Roman" w:cs="Times New Roman" w:eastAsia="Times New Roman" w:hAnsi="Times New Roman"/>
          <w:sz w:val="22"/>
          <w:szCs w:val="22"/>
          <w:color w:val="auto"/>
        </w:rPr>
        <w:t>” means any Tax Return, other than with respect to United States federal Income Taxes, filed on a consolidated, combined (including nexus combination, worldwide combination, domestic combination, line of business combination or any other form of combination) or unitary basis wherein Mobileye or one or more Mobileye Affiliates join in the filing of such Tax Return (for any taxable period or portion thereof) with Intel or one or more Intel Affiliates.</w:t>
      </w:r>
    </w:p>
    <w:p>
      <w:pPr>
        <w:spacing w:after="0" w:line="177"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Group</w:t>
      </w:r>
      <w:r>
        <w:rPr>
          <w:rFonts w:ascii="Times New Roman" w:cs="Times New Roman" w:eastAsia="Times New Roman" w:hAnsi="Times New Roman"/>
          <w:sz w:val="22"/>
          <w:szCs w:val="22"/>
          <w:color w:val="auto"/>
        </w:rPr>
        <w:t>” means an affiliated group of corporations within the meaning of Section 1504(a) of the Code that files a consolidated return for United States federal Income Tax purposes.</w:t>
      </w:r>
    </w:p>
    <w:p>
      <w:pPr>
        <w:spacing w:after="0" w:line="150"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Return</w:t>
      </w:r>
      <w:r>
        <w:rPr>
          <w:rFonts w:ascii="Times New Roman" w:cs="Times New Roman" w:eastAsia="Times New Roman" w:hAnsi="Times New Roman"/>
          <w:sz w:val="22"/>
          <w:szCs w:val="22"/>
          <w:color w:val="auto"/>
        </w:rPr>
        <w:t>” means any Tax Return with respect to United States federal Income Taxes filed on a consolidated basis wherein Mobileye or one or more Mobileye Affiliates join in the filing of such Tax Return (for any taxable period or portion thereof) with Intel or one or more Intel Affiliates.</w:t>
      </w:r>
    </w:p>
    <w:p>
      <w:pPr>
        <w:spacing w:after="0" w:line="16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Deconsolidation Event</w:t>
      </w:r>
      <w:r>
        <w:rPr>
          <w:rFonts w:ascii="Times New Roman" w:cs="Times New Roman" w:eastAsia="Times New Roman" w:hAnsi="Times New Roman"/>
          <w:sz w:val="22"/>
          <w:szCs w:val="22"/>
          <w:color w:val="auto"/>
        </w:rPr>
        <w:t>” means, with respect to Mobileye and each Mobileye Affiliate, any event or transaction that causes Mobileye and/or one or more Mobileye Affiliates to no longer be eligible to join with Intel or one or more Intel Affiliates in the filing of a Consolidated Return or a Combined Return.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 Firm</w:t>
      </w:r>
      <w:r>
        <w:rPr>
          <w:rFonts w:ascii="Times New Roman" w:cs="Times New Roman" w:eastAsia="Times New Roman" w:hAnsi="Times New Roman"/>
          <w:sz w:val="22"/>
          <w:szCs w:val="22"/>
          <w:color w:val="auto"/>
        </w:rPr>
        <w:t>” has the meaning set forth in Section 9.03 of this Agreement.</w:t>
      </w:r>
    </w:p>
    <w:p>
      <w:pPr>
        <w:spacing w:after="0" w:line="20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w:t>
      </w:r>
      <w:r>
        <w:rPr>
          <w:rFonts w:ascii="Times New Roman" w:cs="Times New Roman" w:eastAsia="Times New Roman" w:hAnsi="Times New Roman"/>
          <w:sz w:val="21"/>
          <w:szCs w:val="21"/>
          <w:color w:val="auto"/>
        </w:rPr>
        <w:t>” means any distribution by Intel of issued and outstanding shares of Mobileye stock (and securities, if any) that Intel holds at such time to Intel shareholders and/or securityholders, and/or exchange by Intel of its issued and outstanding shares of Mobileye stock (and securities, if any) with Intel shareholders and/or securityholders, in a transaction intended to qualify as a distribution under Section 355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84" w:right="1019" w:bottom="1440" w:gutter="0" w:footer="0" w:header="0"/>
        </w:sectPr>
      </w:pPr>
    </w:p>
    <w:bookmarkStart w:id="50" w:name="page51"/>
    <w:bookmarkEnd w:id="50"/>
    <w:p>
      <w:pPr>
        <w:ind w:right="20"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Taxes</w:t>
      </w:r>
      <w:r>
        <w:rPr>
          <w:rFonts w:ascii="Times New Roman" w:cs="Times New Roman" w:eastAsia="Times New Roman" w:hAnsi="Times New Roman"/>
          <w:sz w:val="21"/>
          <w:szCs w:val="21"/>
          <w:color w:val="auto"/>
        </w:rPr>
        <w:t>” means any Taxes imposed on, or increase in Taxes incurred by, Intel or any Intel Affiliate (determined for these purposes without regard to whether such Taxes are offset or reduced by any Tax Asset, Tax Item, or otherwise) resulting from, or arising in connection with, the failure of a Distribution to qualify as a tax-free transaction under Section 355 of the Code (including any Tax resulting from the application of Section 355(d) or Section 355(e) of the Code to a Distribution) or corresponding provisions of the laws of any other jurisdictions. Any Income Tax referred to in the immediately preceding sentence shall be determined using the highest applicable statutory corporate Income Tax rate for the relevant taxable period (or portion thereof).</w:t>
      </w:r>
    </w:p>
    <w:p>
      <w:pPr>
        <w:spacing w:after="0" w:line="170"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Equitable Adjustments Refund Principles</w:t>
      </w:r>
      <w:r>
        <w:rPr>
          <w:rFonts w:ascii="Times New Roman" w:cs="Times New Roman" w:eastAsia="Times New Roman" w:hAnsi="Times New Roman"/>
          <w:sz w:val="21"/>
          <w:szCs w:val="21"/>
          <w:color w:val="auto"/>
        </w:rPr>
        <w:t>” means the following list of principles with respect to equitable adjustments provided for in clause (C) of the definition of “Mobileye Separate Tax Liability”:</w:t>
      </w:r>
    </w:p>
    <w:p>
      <w:pPr>
        <w:spacing w:after="0" w:line="130" w:lineRule="exact"/>
        <w:rPr>
          <w:sz w:val="20"/>
          <w:szCs w:val="20"/>
          <w:color w:val="auto"/>
        </w:rPr>
      </w:pPr>
    </w:p>
    <w:p>
      <w:pPr>
        <w:ind w:right="220" w:firstLine="1952"/>
        <w:spacing w:after="0" w:line="248" w:lineRule="auto"/>
        <w:tabs>
          <w:tab w:leader="none" w:pos="24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in any relevant Tax period a Refundable Tax Credit is generated as a result of activities of Intel and/or Intel Affiliates, the Mobileye Separate Tax Liability with respect to such Tax period shall be increased by an amount equal to the excess, if any, of (i) the elective payment that could be claimed on the Consolidated Return with respect to such Refundable Tax Credit for such Tax period if such Consolidated Return were recalculated excluding Mobileye and the Mobileye Affiliates with respect to such relevant Tax period over (ii) the elective payment that could be claimed on the Consolidated Return (including Mobileye and each Mobileye Affiliate) with respect to such Refundable Tax Credit for such Tax period as filed.</w:t>
      </w:r>
    </w:p>
    <w:p>
      <w:pPr>
        <w:spacing w:after="0" w:line="170" w:lineRule="exact"/>
        <w:rPr>
          <w:rFonts w:ascii="Times New Roman" w:cs="Times New Roman" w:eastAsia="Times New Roman" w:hAnsi="Times New Roman"/>
          <w:sz w:val="21"/>
          <w:szCs w:val="21"/>
          <w:color w:val="auto"/>
        </w:rPr>
      </w:pPr>
    </w:p>
    <w:p>
      <w:pPr>
        <w:ind w:firstLine="1952"/>
        <w:spacing w:after="0" w:line="246" w:lineRule="auto"/>
        <w:tabs>
          <w:tab w:leader="none" w:pos="24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in any relevant Tax period a Refundable Tax Credit is generated as a result of activities of Mobileye and/or Mobileye Affiliates, Intel shall pay to Mobileye (in accordance with the timing principles that would govern payment of any Mobileye Separate Tax Liability as set forth herein, including all calculation and notification principles), an amount equal to the excess, if any, of (i) the elective payment that could be claimed on the Consolidated Return with respect to such Refundable Tax Credit for such Tax period if such Consolidated Return were recalculated excluding Intel and the Intel Affiliates (and, for the avoidance of doubt, assuming Mobileye is the parent of the Intel Consolidated Group for such purpose) with respect to such relevant Tax period over (ii) the elective payment that could be claimed on the Consolidated Return (including Intel and each Intel Affiliate) with respect to such Refundable Tax Credit for such Tax period as filed.</w:t>
      </w:r>
    </w:p>
    <w:p>
      <w:pPr>
        <w:spacing w:after="0" w:line="17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Equitable Adjustments Timing Principles</w:t>
      </w:r>
      <w:r>
        <w:rPr>
          <w:rFonts w:ascii="Times New Roman" w:cs="Times New Roman" w:eastAsia="Times New Roman" w:hAnsi="Times New Roman"/>
          <w:sz w:val="22"/>
          <w:szCs w:val="22"/>
          <w:color w:val="auto"/>
        </w:rPr>
        <w:t>” means the following non-exhaustive and illustrative list of principles regarding when an equitable adjustment provided for in clause (D) of the definition of “Mobileye Separate Tax Liability” shall be made:</w:t>
      </w:r>
    </w:p>
    <w:p>
      <w:pPr>
        <w:spacing w:after="0" w:line="171" w:lineRule="exact"/>
        <w:rPr>
          <w:sz w:val="20"/>
          <w:szCs w:val="20"/>
          <w:color w:val="auto"/>
        </w:rPr>
      </w:pPr>
    </w:p>
    <w:p>
      <w:pPr>
        <w:ind w:firstLine="1952"/>
        <w:spacing w:after="0" w:line="236" w:lineRule="auto"/>
        <w:tabs>
          <w:tab w:leader="none" w:pos="24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Intel Consolidated Group generates a Foreign Tax Credit in a taxable year as a result of non-U.S. Taxes paid by Mobileye and/or Mobileye Affiliates, and the Foreign Tax Credit does not reduce the Mobileye Separate Tax Liability in such taxable year (because, for example, the Mobileye Separate Tax Liability, not taking into account the Foreign Tax Credit, is zero), the Mobileye Separate Tax Liability shall be reduced in the first subsequent taxable year in which the Mobileye Separate Tax Liability otherwise would be greater than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64" w:right="1039" w:bottom="1440" w:gutter="0" w:footer="0" w:header="0"/>
        </w:sectPr>
      </w:pPr>
    </w:p>
    <w:bookmarkStart w:id="51" w:name="page52"/>
    <w:bookmarkEnd w:id="51"/>
    <w:p>
      <w:pPr>
        <w:ind w:right="60" w:firstLine="1952"/>
        <w:spacing w:after="0" w:line="251" w:lineRule="auto"/>
        <w:tabs>
          <w:tab w:leader="none" w:pos="246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Intel Consolidated Group generates a Foreign Tax Credit in a taxable year as a result of non-U.S. Taxes paid by Intel and/or Intel Affiliates, and the Mobileye Separate Tax Liability in such year (or in a subsequent taxable year) is reduced as a result of such Foreign Tax Credit, the Mobileye Separate Tax Liability shall be increased in the first subsequent taxable year in which Intel and/or the Intel Affiliates generate taxable income that would have been offset by such Foreign Tax Credit had it not been previously been utilized.</w:t>
      </w:r>
    </w:p>
    <w:p>
      <w:pPr>
        <w:spacing w:after="0" w:line="16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Determination</w:t>
      </w:r>
      <w:r>
        <w:rPr>
          <w:rFonts w:ascii="Times New Roman" w:cs="Times New Roman" w:eastAsia="Times New Roman" w:hAnsi="Times New Roman"/>
          <w:sz w:val="22"/>
          <w:szCs w:val="22"/>
          <w:color w:val="auto"/>
        </w:rPr>
        <w:t>” shall mean the final resolution of liability for any Tax for any taxable period, by or as a result of: (i) a final and unappealable decision, judgment, decree or other order by any court of competent jurisdiction; (ii) a final settlement with the IRS, a closing agreement or accepted offer in compromise under Sections 7121 or 7122 of the Code, or a comparable agreement under the laws of other jurisdictions, which resolves the entire Tax liability for any taxable period; (iii) any allowance of a refund or credit in respect of an overpayment of Tax, but only after the expiration of all periods during which such refund may be recovered by the jurisdiction imposing the Tax; or (iv) any other final disposition, including by reason of the expiration of the applicable statute of limitations.</w:t>
      </w:r>
    </w:p>
    <w:p>
      <w:pPr>
        <w:spacing w:after="0" w:line="17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Tax Credits</w:t>
      </w:r>
      <w:r>
        <w:rPr>
          <w:rFonts w:ascii="Times New Roman" w:cs="Times New Roman" w:eastAsia="Times New Roman" w:hAnsi="Times New Roman"/>
          <w:sz w:val="22"/>
          <w:szCs w:val="22"/>
          <w:color w:val="auto"/>
        </w:rPr>
        <w:t>” means creditable non-U.S. taxes, including tax credits governed by Section 901 of the Code.</w:t>
      </w:r>
    </w:p>
    <w:p>
      <w:pPr>
        <w:spacing w:after="0" w:line="15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Income Tax</w:t>
      </w:r>
      <w:r>
        <w:rPr>
          <w:rFonts w:ascii="Times New Roman" w:cs="Times New Roman" w:eastAsia="Times New Roman" w:hAnsi="Times New Roman"/>
          <w:sz w:val="21"/>
          <w:szCs w:val="21"/>
          <w:color w:val="auto"/>
        </w:rPr>
        <w:t>” shall mean any U.S. federal, state, local or non-U.S. Tax determined (in whole or in part) by reference to net income, gross receipts or capital, or any Taxes imposed in lieu of such a tax. For the avoidance of doubt, the term “Income Tax” includes any franchise Tax or any Taxes imposed in lieu of such a Tax.</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Income Tax Return</w:t>
      </w:r>
      <w:r>
        <w:rPr>
          <w:rFonts w:ascii="Times New Roman" w:cs="Times New Roman" w:eastAsia="Times New Roman" w:hAnsi="Times New Roman"/>
          <w:sz w:val="22"/>
          <w:szCs w:val="22"/>
          <w:color w:val="auto"/>
        </w:rPr>
        <w:t>” means any Tax Return relating to any Income Tax.</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has the meaning set forth in Section 2.04(b)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 Affiliate</w:t>
      </w:r>
      <w:r>
        <w:rPr>
          <w:rFonts w:ascii="Times New Roman" w:cs="Times New Roman" w:eastAsia="Times New Roman" w:hAnsi="Times New Roman"/>
          <w:sz w:val="22"/>
          <w:szCs w:val="22"/>
          <w:color w:val="auto"/>
        </w:rPr>
        <w:t>” means any corporation or other entity directly or indirectly “controlled” by Intel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 but at all times excluding Mobileye or any Mobileye Affiliate.</w:t>
      </w:r>
    </w:p>
    <w:p>
      <w:pPr>
        <w:spacing w:after="0" w:line="177" w:lineRule="exact"/>
        <w:rPr>
          <w:sz w:val="20"/>
          <w:szCs w:val="20"/>
          <w:color w:val="auto"/>
        </w:rPr>
      </w:pPr>
    </w:p>
    <w:p>
      <w:pPr>
        <w:ind w:right="6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 Business</w:t>
      </w:r>
      <w:r>
        <w:rPr>
          <w:rFonts w:ascii="Times New Roman" w:cs="Times New Roman" w:eastAsia="Times New Roman" w:hAnsi="Times New Roman"/>
          <w:sz w:val="22"/>
          <w:szCs w:val="22"/>
          <w:color w:val="auto"/>
        </w:rPr>
        <w:t>” means all of the businesses and operations conducted by Intel and Intel Affiliates, excluding the Mobileye Business, at any time, whether prior to or after the IPO Date.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 Consolidated Group</w:t>
      </w:r>
      <w:r>
        <w:rPr>
          <w:rFonts w:ascii="Times New Roman" w:cs="Times New Roman" w:eastAsia="Times New Roman" w:hAnsi="Times New Roman"/>
          <w:sz w:val="22"/>
          <w:szCs w:val="22"/>
          <w:color w:val="auto"/>
        </w:rPr>
        <w:t>” means the Consolidated Group of which Intel is the parent.</w:t>
      </w:r>
    </w:p>
    <w:p>
      <w:pPr>
        <w:spacing w:after="0" w:line="206"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 Group</w:t>
      </w:r>
      <w:r>
        <w:rPr>
          <w:rFonts w:ascii="Times New Roman" w:cs="Times New Roman" w:eastAsia="Times New Roman" w:hAnsi="Times New Roman"/>
          <w:sz w:val="22"/>
          <w:szCs w:val="22"/>
          <w:color w:val="auto"/>
        </w:rPr>
        <w:t>” means the Intel Consolidated Group, or similar group of entities as defined under corresponding provisions of the laws of other jurisdictions, of which Intel is the common parent corporation, and any corporation or other entity which may be, may have been or may become a member of such group from time to time, but excluding any member of the Mobileye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IPO</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IPO Date</w:t>
      </w:r>
      <w:r>
        <w:rPr>
          <w:rFonts w:ascii="Times New Roman" w:cs="Times New Roman" w:eastAsia="Times New Roman" w:hAnsi="Times New Roman"/>
          <w:sz w:val="22"/>
          <w:szCs w:val="22"/>
          <w:color w:val="auto"/>
        </w:rPr>
        <w:t>” means the close of business on the date which the IPO is effected.</w:t>
      </w:r>
    </w:p>
    <w:p>
      <w:pPr>
        <w:spacing w:after="0" w:line="206"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United States Internal Revenue Service or any successor thereto, including its agents, representatives, and attorneys.</w:t>
      </w:r>
    </w:p>
    <w:p>
      <w:pPr>
        <w:spacing w:after="0" w:line="150"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 Capitalization</w:t>
      </w:r>
      <w:r>
        <w:rPr>
          <w:rFonts w:ascii="Times New Roman" w:cs="Times New Roman" w:eastAsia="Times New Roman" w:hAnsi="Times New Roman"/>
          <w:sz w:val="21"/>
          <w:szCs w:val="21"/>
          <w:color w:val="auto"/>
        </w:rPr>
        <w:t>” means an amount equal to (i) the total number of issued and outstanding common stock of the relevant party on the first Business Day following the date of determination multiplied by</w:t>
      </w:r>
    </w:p>
    <w:p>
      <w:pPr>
        <w:spacing w:after="0" w:line="1" w:lineRule="exact"/>
        <w:rPr>
          <w:sz w:val="20"/>
          <w:szCs w:val="20"/>
          <w:color w:val="auto"/>
        </w:rPr>
      </w:pPr>
    </w:p>
    <w:p>
      <w:pPr>
        <w:ind w:right="780" w:firstLine="8"/>
        <w:spacing w:after="0" w:line="237"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of the trading price of such stock on the first Business Day following the date of determination.</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Mobileye</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Mobileye Affiliate</w:t>
      </w:r>
      <w:r>
        <w:rPr>
          <w:rFonts w:ascii="Times New Roman" w:cs="Times New Roman" w:eastAsia="Times New Roman" w:hAnsi="Times New Roman"/>
          <w:sz w:val="21"/>
          <w:szCs w:val="21"/>
          <w:color w:val="auto"/>
        </w:rPr>
        <w:t>” means any corporation or other entity directly or indirectly “controlled” by Mobileye at the time in question,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w:t>
      </w:r>
    </w:p>
    <w:p>
      <w:pPr>
        <w:spacing w:after="0" w:line="158"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Mobileye Business</w:t>
      </w:r>
      <w:r>
        <w:rPr>
          <w:rFonts w:ascii="Times New Roman" w:cs="Times New Roman" w:eastAsia="Times New Roman" w:hAnsi="Times New Roman"/>
          <w:sz w:val="22"/>
          <w:szCs w:val="22"/>
          <w:color w:val="auto"/>
        </w:rPr>
        <w:t>” means the business and operations conducted by Mobileye and Mobileye Affiliates as such business and operations will continue after the IPO Date.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Mobileye Business Records</w:t>
      </w:r>
      <w:r>
        <w:rPr>
          <w:rFonts w:ascii="Times New Roman" w:cs="Times New Roman" w:eastAsia="Times New Roman" w:hAnsi="Times New Roman"/>
          <w:sz w:val="22"/>
          <w:szCs w:val="22"/>
          <w:color w:val="auto"/>
        </w:rPr>
        <w:t>” has the meaning set forth in Section 9.02(b) of this Agreement­.</w:t>
      </w:r>
    </w:p>
    <w:p>
      <w:pPr>
        <w:spacing w:after="0" w:line="206"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Mobileye Group</w:t>
      </w:r>
      <w:r>
        <w:rPr>
          <w:rFonts w:ascii="Times New Roman" w:cs="Times New Roman" w:eastAsia="Times New Roman" w:hAnsi="Times New Roman"/>
          <w:sz w:val="22"/>
          <w:szCs w:val="22"/>
          <w:color w:val="auto"/>
        </w:rPr>
        <w:t>” means the Consolidated Group, or similar group of entities as defined under corresponding provisions of the laws of other jurisdictions, of which Mobileye will be the common parent corporation immediately after a Deconsolidation Event and including any corporation or other entity which may become a member of such group from time to time.</w:t>
      </w:r>
    </w:p>
    <w:p>
      <w:pPr>
        <w:spacing w:after="0" w:line="17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Mobileye Separate Tax Liability</w:t>
      </w:r>
      <w:r>
        <w:rPr>
          <w:rFonts w:ascii="Times New Roman" w:cs="Times New Roman" w:eastAsia="Times New Roman" w:hAnsi="Times New Roman"/>
          <w:sz w:val="22"/>
          <w:szCs w:val="22"/>
          <w:color w:val="auto"/>
        </w:rPr>
        <w:t xml:space="preserve">” means an amount (which shall not be less than zero) equal to any and all Income Taxes for a relevant Tax period with respect to or as a result of, assets or activities of Mobileye and each Mobileye Affiliate, determined by calculating the amount of the excess (if any) of (i) the amount of Taxes shown as due and payable on a Consolidated Return including Mobileye and/or any Mobileye Affiliate with respect to such relevant Tax period, as filed, over (ii) the amount of Taxes that would be shown as due and payable on such Consolidated Return if such Consolidated Return were recalculated excluding Mobileye and/or the Mobileye Affiliates, as may be relevant, with respect to such relevant Tax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to the extent such amount is determined with respect to a Pre-IPO Tax Period, any Acquired Entity shall not be treated as a Mobileye Affiliate solely for purposes of this definition of Mobileye Separate Tax Liability, (B) except as provided below in clauses (D) or (E), the “with and without” calculation of such amount shall be determined with respect to such relevant Tax period in isolation, (C) to the extent in any relevant Tax period a Refundable Tax Credit is generated, the parties shall make equitable adjustments to such amount in accordance with the Equitable Adjustments Refund Principles, (D) if agreed in writing (including, for the avoidance of doubt, by way of an exchange of e-mail) by Intel and Mobileye, with respect to Foreign Tax Credits, the parties shall make equitable adjustments to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53" w:name="page54"/>
    <w:bookmarkEnd w:id="53"/>
    <w:p>
      <w:pPr>
        <w:ind w:right="240"/>
        <w:spacing w:after="0" w:line="248" w:lineRule="auto"/>
        <w:rPr>
          <w:sz w:val="20"/>
          <w:szCs w:val="20"/>
          <w:color w:val="auto"/>
        </w:rPr>
      </w:pPr>
      <w:r>
        <w:rPr>
          <w:rFonts w:ascii="Times New Roman" w:cs="Times New Roman" w:eastAsia="Times New Roman" w:hAnsi="Times New Roman"/>
          <w:sz w:val="21"/>
          <w:szCs w:val="21"/>
          <w:color w:val="auto"/>
        </w:rPr>
        <w:t>so that each party receives the economic benefit associated with the use by the Intel Consolidated Group of Foreign Tax Credits generated as a result of payment of non-U.S. taxes by such party, with such equitable adjustments being made in accordance with the Equitable Adjustments Timing Principles and (E) if agreed in writing (including, for the avoidance of doubt, by way of an exchange of e-mail) by Intel and Mobileye, the parties shall make any other equitable adjustments to such amount (including, for the avoidance of doubt, with respect to any other Tax Assets) in such manner as agreed by the parties (and, for the avoidance of doubt, not in accordance with the Equitable Adjustments Timing Principles unless so agreed between the parties).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Non-Income Tax Return</w:t>
      </w:r>
      <w:r>
        <w:rPr>
          <w:rFonts w:ascii="Times New Roman" w:cs="Times New Roman" w:eastAsia="Times New Roman" w:hAnsi="Times New Roman"/>
          <w:sz w:val="22"/>
          <w:szCs w:val="22"/>
          <w:color w:val="auto"/>
        </w:rPr>
        <w:t>” means any Tax Return relating to any Tax other than an Income Tax.</w:t>
      </w:r>
    </w:p>
    <w:p>
      <w:pPr>
        <w:spacing w:after="0" w:line="206"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means a letter executed by an officer of Intel or Mobileye and provided to Tax Counsel as a condition for the completion of a Tax Opinion or Supplemental Tax Opinion.</w:t>
      </w:r>
    </w:p>
    <w:p>
      <w:pPr>
        <w:spacing w:after="0" w:line="15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an option to acquire common stock, or other equity-based incentives the economic value of which is designed to mirror that of an option, including non-qualified stock options, discounted non-qualified stock options, cliff options to the extent stock is issued or issuable (as opposed to cash compensation), and tandem stock options to the extent stock is issued or issuable (as opposed to cash compensation).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Owed Party</w:t>
      </w:r>
      <w:r>
        <w:rPr>
          <w:rFonts w:ascii="Times New Roman" w:cs="Times New Roman" w:eastAsia="Times New Roman" w:hAnsi="Times New Roman"/>
          <w:sz w:val="22"/>
          <w:szCs w:val="22"/>
          <w:color w:val="auto"/>
        </w:rPr>
        <w:t>” has the meaning set forth in Section 7.05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Owing Party</w:t>
      </w:r>
      <w:r>
        <w:rPr>
          <w:rFonts w:ascii="Times New Roman" w:cs="Times New Roman" w:eastAsia="Times New Roman" w:hAnsi="Times New Roman"/>
          <w:sz w:val="22"/>
          <w:szCs w:val="22"/>
          <w:color w:val="auto"/>
        </w:rPr>
        <w:t>” has the meaning set forth in Section 7.05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Period</w:t>
      </w:r>
      <w:r>
        <w:rPr>
          <w:rFonts w:ascii="Times New Roman" w:cs="Times New Roman" w:eastAsia="Times New Roman" w:hAnsi="Times New Roman"/>
          <w:sz w:val="22"/>
          <w:szCs w:val="22"/>
          <w:color w:val="auto"/>
        </w:rPr>
        <w:t>” has the meaning set forth in Section 7.05(e) of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Post-Deconsolidation Period</w:t>
      </w:r>
      <w:r>
        <w:rPr>
          <w:rFonts w:ascii="Times New Roman" w:cs="Times New Roman" w:eastAsia="Times New Roman" w:hAnsi="Times New Roman"/>
          <w:sz w:val="22"/>
          <w:szCs w:val="22"/>
          <w:color w:val="auto"/>
        </w:rPr>
        <w:t>” means any taxable period beginning after the date of a Deconsolidation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Event.</w:t>
      </w:r>
    </w:p>
    <w:p>
      <w:pPr>
        <w:spacing w:after="0" w:line="178" w:lineRule="exact"/>
        <w:rPr>
          <w:sz w:val="20"/>
          <w:szCs w:val="20"/>
          <w:color w:val="auto"/>
        </w:rPr>
      </w:pPr>
    </w:p>
    <w:p>
      <w:pPr>
        <w:ind w:right="11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Pre-Deconsolidation Period</w:t>
      </w:r>
      <w:r>
        <w:rPr>
          <w:rFonts w:ascii="Times New Roman" w:cs="Times New Roman" w:eastAsia="Times New Roman" w:hAnsi="Times New Roman"/>
          <w:sz w:val="22"/>
          <w:szCs w:val="22"/>
          <w:color w:val="auto"/>
        </w:rPr>
        <w:t>” means any taxable period beginning on or before the date of a Deconsolidation Event.</w:t>
      </w:r>
    </w:p>
    <w:p>
      <w:pPr>
        <w:spacing w:after="0" w:line="150"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Pre-IPO Acquired Entity Taxes</w:t>
      </w:r>
      <w:r>
        <w:rPr>
          <w:rFonts w:ascii="Times New Roman" w:cs="Times New Roman" w:eastAsia="Times New Roman" w:hAnsi="Times New Roman"/>
          <w:sz w:val="22"/>
          <w:szCs w:val="22"/>
          <w:color w:val="auto"/>
        </w:rPr>
        <w:t>” means, with respect to the referenced Taxes of an Acquired Entity, such Taxes of the Acquired Entity attributable to any Pre-IPO Tax Period. For purposes of this Agreement, (i) in the case of Taxes based upon income, sales, proceeds, profits, receipts, wages, compensation or similar items, the Taxes attributable to the portion of any Straddle Period that is a Pre-IPO Tax Period shall be determined as though the applicable taxable year or period ended at the end of the day on the IPO Date based on an interim closing of the books, except that exemptions, allowances or deductions that are calculated on an annual basis (including depreciation and amortization deductions) shall be allocated on a per diem basis, and (ii) in the case of any other Taxes, the amount of such Taxes attributable to the portion of any Straddle Period that is a Pre-IPO Tax Period shall equal the amount of such Tax for the entire taxable period multiplied by a fraction, the numerator of which is the number of days in the taxable period up to and including the IPO Date, and the denominator of which is the total number of days in such taxable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54" w:name="page55"/>
    <w:bookmarkEnd w:id="54"/>
    <w:p>
      <w:pPr>
        <w:ind w:right="44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Pre-IPO Tax Period</w:t>
      </w:r>
      <w:r>
        <w:rPr>
          <w:rFonts w:ascii="Times New Roman" w:cs="Times New Roman" w:eastAsia="Times New Roman" w:hAnsi="Times New Roman"/>
          <w:sz w:val="22"/>
          <w:szCs w:val="22"/>
          <w:color w:val="auto"/>
        </w:rPr>
        <w:t>” means any Tax period or portion thereof that ends on or prior to the IPO Date, including the portion of any Straddle Period ending on the IPO Date.</w:t>
      </w:r>
    </w:p>
    <w:p>
      <w:pPr>
        <w:spacing w:after="0" w:line="150" w:lineRule="exact"/>
        <w:rPr>
          <w:sz w:val="20"/>
          <w:szCs w:val="20"/>
          <w:color w:val="auto"/>
        </w:rPr>
      </w:pPr>
    </w:p>
    <w:p>
      <w:pPr>
        <w:ind w:right="46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Refundable Tax Credit</w:t>
      </w:r>
      <w:r>
        <w:rPr>
          <w:rFonts w:ascii="Times New Roman" w:cs="Times New Roman" w:eastAsia="Times New Roman" w:hAnsi="Times New Roman"/>
          <w:sz w:val="22"/>
          <w:szCs w:val="22"/>
          <w:color w:val="auto"/>
        </w:rPr>
        <w:t>” means any tax credit that is generated as a result of activities of the Intel Consolidated Group in a relevant Tax period and with respect to which Intel is entitled to payment if such tax credit were in excess of the amount of Taxes that would otherwise be shown as due and payable on the Consolidated Return for such Tax period.</w:t>
      </w:r>
    </w:p>
    <w:p>
      <w:pPr>
        <w:spacing w:after="0" w:line="172" w:lineRule="exact"/>
        <w:rPr>
          <w:sz w:val="20"/>
          <w:szCs w:val="20"/>
          <w:color w:val="auto"/>
        </w:rPr>
      </w:pPr>
    </w:p>
    <w:p>
      <w:pPr>
        <w:ind w:right="5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Ruling</w:t>
      </w:r>
      <w:r>
        <w:rPr>
          <w:rFonts w:ascii="Times New Roman" w:cs="Times New Roman" w:eastAsia="Times New Roman" w:hAnsi="Times New Roman"/>
          <w:sz w:val="22"/>
          <w:szCs w:val="22"/>
          <w:color w:val="auto"/>
        </w:rPr>
        <w:t>” means (i) any private letter ruling issued by the IRS in connection with a Distribution in response to a request for such a private letter ruling filed by Intel (or any Intel Affiliate) prior to the date of a Distribution, and (ii) any similar ruling issued by any other Taxing Authority addressing the application of a provision of the laws of another jurisdiction to a Distribution.</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Ruling Documents</w:t>
      </w:r>
      <w:r>
        <w:rPr>
          <w:rFonts w:ascii="Times New Roman" w:cs="Times New Roman" w:eastAsia="Times New Roman" w:hAnsi="Times New Roman"/>
          <w:sz w:val="22"/>
          <w:szCs w:val="22"/>
          <w:color w:val="auto"/>
        </w:rPr>
        <w:t>” means (i) the request for a Ruling filed with the IRS, together with any supplemental filings or other materials subsequently submitted on behalf of Intel, its Subsidiaries and shareholders to the IRS, the appendices and exhibits thereto, and any Ruling issued by the IRS to Intel (or any Intel Affiliate) in connection with a Distribution and (ii) any similar filings submitted to, or rulings issued by, any other Taxing Authority in connection with a Distribution.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Straddle Period</w:t>
      </w:r>
      <w:r>
        <w:rPr>
          <w:rFonts w:ascii="Times New Roman" w:cs="Times New Roman" w:eastAsia="Times New Roman" w:hAnsi="Times New Roman"/>
          <w:sz w:val="22"/>
          <w:szCs w:val="22"/>
          <w:color w:val="auto"/>
        </w:rPr>
        <w:t>” means any Tax period that begins on or before the IPO Date and ends after the IPO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ind w:firstLine="70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Ruling</w:t>
      </w:r>
      <w:r>
        <w:rPr>
          <w:rFonts w:ascii="Times New Roman" w:cs="Times New Roman" w:eastAsia="Times New Roman" w:hAnsi="Times New Roman"/>
          <w:sz w:val="22"/>
          <w:szCs w:val="22"/>
          <w:color w:val="auto"/>
        </w:rPr>
        <w:t>” means (i) any ruling (other than the Ruling) issued by the IRS in connection with a Distribution, and (ii) any similar ruling issued by any other Taxing Authority addressing the application of a provision of the laws of another jurisdiction to a Distribution.</w:t>
      </w:r>
    </w:p>
    <w:p>
      <w:pPr>
        <w:spacing w:after="0" w:line="16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Ruling Documents</w:t>
      </w:r>
      <w:r>
        <w:rPr>
          <w:rFonts w:ascii="Times New Roman" w:cs="Times New Roman" w:eastAsia="Times New Roman" w:hAnsi="Times New Roman"/>
          <w:sz w:val="22"/>
          <w:szCs w:val="22"/>
          <w:color w:val="auto"/>
        </w:rPr>
        <w:t>” means (i) the request for a Supplemental Ruling, together with any supplemental filings or other materials subsequently submitted, the appendices and exhibits thereto, and any Supplemental Rulings issued by the IRS in connection with a Distribution and (ii) any similar filings submitted to, or rulings issued by, any other Taxing Authority in connection with a Distribution.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Tax Opinion</w:t>
      </w:r>
      <w:r>
        <w:rPr>
          <w:rFonts w:ascii="Times New Roman" w:cs="Times New Roman" w:eastAsia="Times New Roman" w:hAnsi="Times New Roman"/>
          <w:sz w:val="22"/>
          <w:szCs w:val="22"/>
          <w:color w:val="auto"/>
        </w:rPr>
        <w:t>” has the meaning set forth in Section 5.02(c) of this Agreement.</w:t>
      </w:r>
    </w:p>
    <w:p>
      <w:pPr>
        <w:spacing w:after="0" w:line="206"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tax of any kind, including any U.S. federal, state, local or non-U.S. income, net income, gross income, corporation, profit, license, severance, occupation, windfall profits, capital gains, capital stock, transfer, registration, social security, production, franchise, gross receipts, payroll, sales, employment, unemployment, disability, use, property, excise, value added, estimated, stamp, alternative or add-on minimum, environmental, withholding tax, and any other tax or similar governmental charge, duty or assessment, together with all interest and penalties and additions thereto imposed with respect to such amounts, in each case whether disputed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55" w:name="page56"/>
    <w:bookmarkEnd w:id="55"/>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Taxpayer</w:t>
      </w:r>
      <w:r>
        <w:rPr>
          <w:rFonts w:ascii="Times New Roman" w:cs="Times New Roman" w:eastAsia="Times New Roman" w:hAnsi="Times New Roman"/>
          <w:sz w:val="22"/>
          <w:szCs w:val="22"/>
          <w:color w:val="auto"/>
        </w:rPr>
        <w:t>” means any taxpayer and its Consolidated Group or similar group of entities as defined under corresponding provisions of the laws of any other jurisdiction of which a taxpayer is a member.</w:t>
      </w:r>
    </w:p>
    <w:p>
      <w:pPr>
        <w:spacing w:after="0" w:line="150"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Asset</w:t>
      </w:r>
      <w:r>
        <w:rPr>
          <w:rFonts w:ascii="Times New Roman" w:cs="Times New Roman" w:eastAsia="Times New Roman" w:hAnsi="Times New Roman"/>
          <w:sz w:val="22"/>
          <w:szCs w:val="22"/>
          <w:color w:val="auto"/>
        </w:rPr>
        <w:t>” means any Tax Item that has accrued for Tax purposes, but has not been realized during the taxable period in which it has accrued, and that could reduce a Tax in another taxable period, including a net operating loss, net capital loss, a “disallowed business interest expense carryforward” within the meaning of Section 163(j) of the Code, investment tax credit, foreign tax credit, charitable deduction or credit related to alternative minimum tax or any other Tax credit.</w:t>
      </w:r>
    </w:p>
    <w:p>
      <w:pPr>
        <w:spacing w:after="0" w:line="177"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Benefit</w:t>
      </w:r>
      <w:r>
        <w:rPr>
          <w:rFonts w:ascii="Times New Roman" w:cs="Times New Roman" w:eastAsia="Times New Roman" w:hAnsi="Times New Roman"/>
          <w:sz w:val="22"/>
          <w:szCs w:val="22"/>
          <w:color w:val="auto"/>
        </w:rPr>
        <w:t>” means a reduction in the Tax liability (or increase in refund or credit or any item of deduction or expense) of a Taxpayer for any taxable period. Except as otherwise provided in this Agreement, a Tax Benefit shall be deemed to have been realized or received from a Tax Item in a taxable period only if and to the extent that the Tax liability of the Taxpayer for such period, after taking into account the effect of the Tax Item on the Tax liability of such Taxpayer in the current period and all prior periods, is less than it would have been had such Tax liability been determined without regard to such Tax Item.</w:t>
      </w:r>
    </w:p>
    <w:p>
      <w:pPr>
        <w:spacing w:after="0" w:line="175"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Counsel</w:t>
      </w:r>
      <w:r>
        <w:rPr>
          <w:rFonts w:ascii="Times New Roman" w:cs="Times New Roman" w:eastAsia="Times New Roman" w:hAnsi="Times New Roman"/>
          <w:sz w:val="22"/>
          <w:szCs w:val="22"/>
          <w:color w:val="auto"/>
        </w:rPr>
        <w:t>” means a nationally recognized law firm selected by Intel (or Mobileye, in the case of a Supplemental Tax Opinion) to provide a Tax Opinion.</w:t>
      </w:r>
    </w:p>
    <w:p>
      <w:pPr>
        <w:spacing w:after="0" w:line="150"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Detriment</w:t>
      </w:r>
      <w:r>
        <w:rPr>
          <w:rFonts w:ascii="Times New Roman" w:cs="Times New Roman" w:eastAsia="Times New Roman" w:hAnsi="Times New Roman"/>
          <w:sz w:val="22"/>
          <w:szCs w:val="22"/>
          <w:color w:val="auto"/>
        </w:rPr>
        <w:t>” means an increase in the Tax liability (or reduction in refund or credit or any item of deduction or expense) of a Taxpayer for any taxable period. Except as otherwise provided in this Agreement, a Tax Detriment shall be deemed to have been realized or incurred from a Tax Item in a taxable period only if and to the extent that the Tax liability of the Taxpayer for such period, after taking into account the effect of the Tax Item on the Tax liability of such Taxpayer in the current period and all prior periods, is more than it would have been had such Tax liability been determined without regard to such Tax Item.</w:t>
      </w:r>
    </w:p>
    <w:p>
      <w:pPr>
        <w:spacing w:after="0" w:line="17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Item</w:t>
      </w:r>
      <w:r>
        <w:rPr>
          <w:rFonts w:ascii="Times New Roman" w:cs="Times New Roman" w:eastAsia="Times New Roman" w:hAnsi="Times New Roman"/>
          <w:sz w:val="22"/>
          <w:szCs w:val="22"/>
          <w:color w:val="auto"/>
        </w:rPr>
        <w:t>” means any item of income, gain, loss, deduction, expense or credit, or other attribute that may have the effect of increasing or decreasing any Tax.</w:t>
      </w:r>
    </w:p>
    <w:p>
      <w:pPr>
        <w:spacing w:after="0" w:line="150"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Opinion</w:t>
      </w:r>
      <w:r>
        <w:rPr>
          <w:rFonts w:ascii="Times New Roman" w:cs="Times New Roman" w:eastAsia="Times New Roman" w:hAnsi="Times New Roman"/>
          <w:sz w:val="22"/>
          <w:szCs w:val="22"/>
          <w:color w:val="auto"/>
        </w:rPr>
        <w:t>” means an opinion issued by Tax Counsel as one of the conditions to completing a Distribution addressing certain United States federal Income Tax consequences of a Distribution under Section 355 of the Code.</w:t>
      </w:r>
    </w:p>
    <w:p>
      <w:pPr>
        <w:spacing w:after="0" w:line="16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return, declaration, report, election, claim for refund or information return or statement filed or required to be filed with any Taxing Authority relating to Taxes, including any attachment and any amendment thereof.</w:t>
      </w:r>
    </w:p>
    <w:p>
      <w:pPr>
        <w:spacing w:after="0" w:line="167" w:lineRule="exact"/>
        <w:rPr>
          <w:sz w:val="20"/>
          <w:szCs w:val="20"/>
          <w:color w:val="auto"/>
        </w:rPr>
      </w:pPr>
    </w:p>
    <w:p>
      <w:pPr>
        <w:ind w:right="68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means any governmental authority or any subdivision, agency, commission or authority thereof or any quasi-governmental or private body having jurisdiction over the assessment, determination, collection or imposition of any Tax (including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56" w:name="page57"/>
    <w:bookmarkEnd w:id="56"/>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Preparation and Filing of Tax Returns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Intel’s Responsibility</w:t>
      </w:r>
      <w:r>
        <w:rPr>
          <w:rFonts w:ascii="Times New Roman" w:cs="Times New Roman" w:eastAsia="Times New Roman" w:hAnsi="Times New Roman"/>
          <w:sz w:val="22"/>
          <w:szCs w:val="22"/>
          <w:color w:val="auto"/>
        </w:rPr>
        <w:t>. Subject to the other applicable provisions of this Agreement, Intel shall have sole and exclusive responsibility for the preparation and filing of:</w:t>
      </w:r>
    </w:p>
    <w:p>
      <w:pPr>
        <w:spacing w:after="0" w:line="158" w:lineRule="exact"/>
        <w:rPr>
          <w:sz w:val="20"/>
          <w:szCs w:val="20"/>
          <w:color w:val="auto"/>
        </w:rPr>
      </w:pPr>
    </w:p>
    <w:p>
      <w:pPr>
        <w:ind w:left="2480" w:hanging="528"/>
        <w:spacing w:after="0"/>
        <w:tabs>
          <w:tab w:leader="none" w:pos="2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Consolidated Returns and all Combined Returns for any taxable period;</w:t>
      </w:r>
    </w:p>
    <w:p>
      <w:pPr>
        <w:spacing w:after="0" w:line="206" w:lineRule="exact"/>
        <w:rPr>
          <w:rFonts w:ascii="Times New Roman" w:cs="Times New Roman" w:eastAsia="Times New Roman" w:hAnsi="Times New Roman"/>
          <w:sz w:val="22"/>
          <w:szCs w:val="22"/>
          <w:color w:val="auto"/>
        </w:rPr>
      </w:pPr>
    </w:p>
    <w:p>
      <w:pPr>
        <w:ind w:right="380" w:firstLine="1952"/>
        <w:spacing w:after="0" w:line="258" w:lineRule="auto"/>
        <w:tabs>
          <w:tab w:leader="none" w:pos="24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Tax Returns (other than Consolidated Returns and Combined Returns) with respect to Intel and/or any Intel Affiliate for any taxable period;</w:t>
      </w:r>
    </w:p>
    <w:p>
      <w:pPr>
        <w:spacing w:after="0" w:line="158" w:lineRule="exact"/>
        <w:rPr>
          <w:rFonts w:ascii="Times New Roman" w:cs="Times New Roman" w:eastAsia="Times New Roman" w:hAnsi="Times New Roman"/>
          <w:sz w:val="22"/>
          <w:szCs w:val="22"/>
          <w:color w:val="auto"/>
        </w:rPr>
      </w:pPr>
    </w:p>
    <w:p>
      <w:pPr>
        <w:ind w:right="380" w:firstLine="1952"/>
        <w:spacing w:after="0" w:line="244" w:lineRule="auto"/>
        <w:tabs>
          <w:tab w:leader="none" w:pos="24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Tax Returns (other than Consolidated Returns and Combined Returns) with respect to Mobileye and/or any Mobileye Affiliate that are required to be filed (taking into account any extension of time which has been requested or received) on or prior to the IPO Date; and</w:t>
      </w:r>
    </w:p>
    <w:p>
      <w:pPr>
        <w:spacing w:after="0" w:line="173" w:lineRule="exact"/>
        <w:rPr>
          <w:rFonts w:ascii="Times New Roman" w:cs="Times New Roman" w:eastAsia="Times New Roman" w:hAnsi="Times New Roman"/>
          <w:sz w:val="22"/>
          <w:szCs w:val="22"/>
          <w:color w:val="auto"/>
        </w:rPr>
      </w:pPr>
    </w:p>
    <w:p>
      <w:pPr>
        <w:ind w:firstLine="1952"/>
        <w:spacing w:after="0" w:line="239" w:lineRule="auto"/>
        <w:tabs>
          <w:tab w:leader="none" w:pos="24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Non-Income Tax Returns (i) with respect to Intel, any Intel Affiliate, or the Intel Business or any part thereof for any taxable period and (ii) with respect to any Acquired Entity that are required to be filed (taking into account any extension of time which has been requested or received) on or prior to the IPO Date.</w:t>
      </w:r>
    </w:p>
    <w:p>
      <w:pPr>
        <w:spacing w:after="0" w:line="180"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Mobileye’s Responsibility</w:t>
      </w:r>
      <w:r>
        <w:rPr>
          <w:rFonts w:ascii="Times New Roman" w:cs="Times New Roman" w:eastAsia="Times New Roman" w:hAnsi="Times New Roman"/>
          <w:sz w:val="22"/>
          <w:szCs w:val="22"/>
          <w:color w:val="auto"/>
        </w:rPr>
        <w:t>. Subject to the other applicable provisions of this Agreement, Mobileye shall have sole and exclusive responsibility for the preparation and filing of:</w:t>
      </w:r>
    </w:p>
    <w:p>
      <w:pPr>
        <w:spacing w:after="0" w:line="158" w:lineRule="exact"/>
        <w:rPr>
          <w:sz w:val="20"/>
          <w:szCs w:val="20"/>
          <w:color w:val="auto"/>
        </w:rPr>
      </w:pPr>
    </w:p>
    <w:p>
      <w:pPr>
        <w:ind w:right="380" w:firstLine="1952"/>
        <w:spacing w:after="0" w:line="244" w:lineRule="auto"/>
        <w:tabs>
          <w:tab w:leader="none" w:pos="24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Tax Returns (other than Consolidated Returns and Combined Returns) with respect to Mobileye and/or any Mobileye Affiliate that are required to be filed (taking into account any extension of time which has been requested or received) after the IPO Date; and</w:t>
      </w:r>
    </w:p>
    <w:p>
      <w:pPr>
        <w:spacing w:after="0" w:line="173" w:lineRule="exact"/>
        <w:rPr>
          <w:rFonts w:ascii="Times New Roman" w:cs="Times New Roman" w:eastAsia="Times New Roman" w:hAnsi="Times New Roman"/>
          <w:sz w:val="22"/>
          <w:szCs w:val="22"/>
          <w:color w:val="auto"/>
        </w:rPr>
      </w:pPr>
    </w:p>
    <w:p>
      <w:pPr>
        <w:ind w:right="60" w:firstLine="1952"/>
        <w:spacing w:after="0" w:line="239" w:lineRule="auto"/>
        <w:tabs>
          <w:tab w:leader="none" w:pos="24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Non-Income Tax Returns with respect to Mobileye, any Mobileye Affiliate, or the Mobileye Business or any part thereof for any taxable period (other than any Non-Income Tax Returns with respect to any Acquired Entity that are required to be filed (taking into account any extension of time which has been requested or received) on or prior to the IPO Date).</w:t>
      </w:r>
    </w:p>
    <w:p>
      <w:pPr>
        <w:spacing w:after="0" w:line="180" w:lineRule="exact"/>
        <w:rPr>
          <w:sz w:val="20"/>
          <w:szCs w:val="20"/>
          <w:color w:val="auto"/>
        </w:rPr>
      </w:pPr>
    </w:p>
    <w:p>
      <w:pPr>
        <w:ind w:right="8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Subject to the other applicable provisions of this Agreement, Mobileye hereby irrevocably designates, and agrees to cause each Mobileye Affiliate to so designate, Intel as its sole and exclusive agent and attorney-in-fact to take such action (including execution of documents) as Intel, in its sole discretion, may deem appropriate in any and all matters (including Audits) relating to any Tax Return described in Section 2.01 of this Agreement.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u w:val="single" w:color="auto"/>
          <w:color w:val="auto"/>
        </w:rPr>
        <w:t>Manner of Tax Return Preparation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100" w:firstLine="1952"/>
        <w:spacing w:after="0" w:line="244" w:lineRule="auto"/>
        <w:tabs>
          <w:tab w:leader="none" w:pos="24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required by a Taxing Authority, the parties hereby agree to prepare and file all Tax Returns, and to take all other actions, in a manner consistent with (1) this Agreement, (2) any Tax Opinion, (3) any Supplemental Tax Opinion, (4)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57" w:name="page58"/>
    <w:bookmarkEnd w:id="57"/>
    <w:p>
      <w:pPr>
        <w:ind w:right="320"/>
        <w:spacing w:after="0" w:line="258" w:lineRule="auto"/>
        <w:rPr>
          <w:sz w:val="20"/>
          <w:szCs w:val="20"/>
          <w:color w:val="auto"/>
        </w:rPr>
      </w:pPr>
      <w:r>
        <w:rPr>
          <w:rFonts w:ascii="Times New Roman" w:cs="Times New Roman" w:eastAsia="Times New Roman" w:hAnsi="Times New Roman"/>
          <w:sz w:val="22"/>
          <w:szCs w:val="22"/>
          <w:color w:val="auto"/>
        </w:rPr>
        <w:t>Ruling, and (5) any Supplemental Ruling. All Tax Returns shall be filed on a timely basis (taking into account any applicable extensions) by the party responsible for filing such returns under this Agreement.</w:t>
      </w:r>
    </w:p>
    <w:p>
      <w:pPr>
        <w:spacing w:after="0" w:line="158" w:lineRule="exact"/>
        <w:rPr>
          <w:sz w:val="20"/>
          <w:szCs w:val="20"/>
          <w:color w:val="auto"/>
        </w:rPr>
      </w:pPr>
    </w:p>
    <w:p>
      <w:pPr>
        <w:ind w:firstLine="1952"/>
        <w:spacing w:after="0" w:line="244" w:lineRule="auto"/>
        <w:tabs>
          <w:tab w:leader="none" w:pos="246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Tax Return described in Section 2.01 of this Agreement, Intel shall have the exclusive right, in its sole discretion to determine (1) the manner in which such Tax Return shall be prepared and filed, including (but not limited to) the elections, method of accounting, positions, conventions and principles of taxation to be used and the manner in which any Tax Item shall be reported, (2) whether any extensions shall be requested, (3) the elections that will be made by Intel, any Intel Affiliate, Mobileye, and/or any Mobileye Affiliate on such Tax Return, including the inclusion (or lack thereof) of Mobileye and/or any Mobileye Affiliate in such Tax Return, (4) whether any amended Tax Returns shall be filed, (5) whether any claims for refund shall be made, (6) whether any refunds shall be paid by way of refund or credited against any liability for the related Tax, and (7) whether to retain outside firms to prepare and/or review such Tax Returns;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ind w:right="20" w:firstLine="8"/>
        <w:spacing w:after="0" w:line="232"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 shall consult with Mobileye prior to making any election on any Tax Return or changing any method of accounting, position, convention, principle of taxation or manner in which any Tax Item is reported if such election or such change could reasonably be expected to result in a material liability for which Mobileye would be responsible under Section 3.01, and (ii) Intel shall not make any such election or make any such change without the prior consent of Mobileye (not to be unreasonably withheld, conditioned or delayed) if such election or such change would solely impact Mobileye and/or the Mobileye Affiliates (with no impact on Intel or any Intel Affiliate).</w:t>
      </w:r>
    </w:p>
    <w:p>
      <w:pPr>
        <w:spacing w:after="0" w:line="181" w:lineRule="exact"/>
        <w:rPr>
          <w:rFonts w:ascii="Times New Roman" w:cs="Times New Roman" w:eastAsia="Times New Roman" w:hAnsi="Times New Roman"/>
          <w:sz w:val="22"/>
          <w:szCs w:val="22"/>
          <w:color w:val="auto"/>
        </w:rPr>
      </w:pPr>
    </w:p>
    <w:p>
      <w:pPr>
        <w:ind w:firstLine="1952"/>
        <w:spacing w:after="0" w:line="233" w:lineRule="auto"/>
        <w:tabs>
          <w:tab w:leader="none" w:pos="24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Tax Return described in Section 2.02 of this Agreement, Mobileye shall provide to Intel, at the request of Intel, a draft of such Tax Return and copies of all worksheets and other materials used in preparation thereof for Intel’s review and comment at least 30 days prior to the due date (with applicable extensions) for the filing of such Tax Return, and shall incorporate any such comments provided by Intel in good faith to the extent that such comments could reasonably be expected to impact any Tax liability of Intel or an Intel Affiliate. Intel shall provide its comments (if any) to Mobileye at least ten (10) days prior to the due date (with applicable extensions) for the filing of such Tax Return. Notwithstanding anything in this Section 2.04(c) to the contrary, Intel shall have no review and comment rights with respect to any Tax Returns described in Section 2.02 from and after the date Intel owns less than 50% of the outstanding Mobileye stock by value;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to the extent any election made with respect to any such Tax Return could reasonably be expected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materially adversely impact any Tax liability of Intel or an Intel Affiliate, the prior written consent of Intel shall be required for the filing of such Tax Return (which consent shall not be unreasonably withheld, conditioned or delayed).</w:t>
      </w:r>
    </w:p>
    <w:p>
      <w:pPr>
        <w:spacing w:after="0" w:line="182" w:lineRule="exact"/>
        <w:rPr>
          <w:rFonts w:ascii="Times New Roman" w:cs="Times New Roman" w:eastAsia="Times New Roman" w:hAnsi="Times New Roman"/>
          <w:sz w:val="22"/>
          <w:szCs w:val="22"/>
          <w:color w:val="auto"/>
        </w:rPr>
      </w:pPr>
    </w:p>
    <w:p>
      <w:pPr>
        <w:ind w:right="80" w:firstLine="1952"/>
        <w:spacing w:after="0" w:line="239" w:lineRule="auto"/>
        <w:tabs>
          <w:tab w:leader="none" w:pos="24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Mobileye shall timely provide, in accordance with Intel’s internal tax return calendar, which will be provided to Mobileye on a rolling one-year schedule, all information necessary for Intel to prepare all Tax Returns and compute all estimates of the Mobileye Separate Tax Liability (for purposes of Section 7.01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58" w:name="page59"/>
    <w:bookmarkEnd w:id="58"/>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Liability for 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Mobileye’s Liability for Taxes</w:t>
      </w:r>
      <w:r>
        <w:rPr>
          <w:rFonts w:ascii="Times New Roman" w:cs="Times New Roman" w:eastAsia="Times New Roman" w:hAnsi="Times New Roman"/>
          <w:sz w:val="22"/>
          <w:szCs w:val="22"/>
          <w:color w:val="auto"/>
        </w:rPr>
        <w:t>. Mobileye shall be liable for the following Taxes, and shall be entitled to receive and retain all refunds and credits of Taxes previously incurred by Mobileye, any Mobileye Affiliate, or the Mobileye Business with respect to such Taxes:</w:t>
      </w:r>
    </w:p>
    <w:p>
      <w:pPr>
        <w:spacing w:after="0" w:line="173" w:lineRule="exact"/>
        <w:rPr>
          <w:sz w:val="20"/>
          <w:szCs w:val="20"/>
          <w:color w:val="auto"/>
        </w:rPr>
      </w:pPr>
    </w:p>
    <w:p>
      <w:pPr>
        <w:ind w:right="140" w:firstLine="1952"/>
        <w:spacing w:after="0" w:line="258" w:lineRule="auto"/>
        <w:tabs>
          <w:tab w:leader="none" w:pos="24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with respect to Tax Returns described in Section 2.01(a) of this Agreement to the extent that such Taxes are related to the Mobileye Separate Tax Liability;</w:t>
      </w:r>
    </w:p>
    <w:p>
      <w:pPr>
        <w:spacing w:after="0" w:line="158" w:lineRule="exact"/>
        <w:rPr>
          <w:rFonts w:ascii="Times New Roman" w:cs="Times New Roman" w:eastAsia="Times New Roman" w:hAnsi="Times New Roman"/>
          <w:sz w:val="22"/>
          <w:szCs w:val="22"/>
          <w:color w:val="auto"/>
        </w:rPr>
      </w:pPr>
    </w:p>
    <w:p>
      <w:pPr>
        <w:ind w:right="140" w:firstLine="1952"/>
        <w:spacing w:after="0" w:line="258" w:lineRule="auto"/>
        <w:tabs>
          <w:tab w:leader="none" w:pos="24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with respect to Tax Returns described in Section 2.01(c) of this Agreement (other than any Pre-IPO Acquired Entity Taxes); and</w:t>
      </w:r>
    </w:p>
    <w:p>
      <w:pPr>
        <w:spacing w:after="0" w:line="158" w:lineRule="exact"/>
        <w:rPr>
          <w:rFonts w:ascii="Times New Roman" w:cs="Times New Roman" w:eastAsia="Times New Roman" w:hAnsi="Times New Roman"/>
          <w:sz w:val="22"/>
          <w:szCs w:val="22"/>
          <w:color w:val="auto"/>
        </w:rPr>
      </w:pPr>
    </w:p>
    <w:p>
      <w:pPr>
        <w:ind w:right="380" w:firstLine="1952"/>
        <w:spacing w:after="0" w:line="258" w:lineRule="auto"/>
        <w:tabs>
          <w:tab w:leader="none" w:pos="24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with respect to Tax Returns described in Section 2.02 of this Agreement (other than any Pre-IPO Acquired Entity Taxes).</w:t>
      </w:r>
    </w:p>
    <w:p>
      <w:pPr>
        <w:spacing w:after="0" w:line="158"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Intel’s Liability for Taxes</w:t>
      </w:r>
      <w:r>
        <w:rPr>
          <w:rFonts w:ascii="Times New Roman" w:cs="Times New Roman" w:eastAsia="Times New Roman" w:hAnsi="Times New Roman"/>
          <w:sz w:val="22"/>
          <w:szCs w:val="22"/>
          <w:color w:val="auto"/>
        </w:rPr>
        <w:t>. Intel shall be liable for the following Taxes, and shall be entitled to receive and retain all refunds and credits of Taxes previously incurred by Intel, any Intel Affiliate, or the Intel Business with respect to such Taxes:</w:t>
      </w:r>
    </w:p>
    <w:p>
      <w:pPr>
        <w:spacing w:after="0" w:line="173" w:lineRule="exact"/>
        <w:rPr>
          <w:sz w:val="20"/>
          <w:szCs w:val="20"/>
          <w:color w:val="auto"/>
        </w:rPr>
      </w:pPr>
    </w:p>
    <w:p>
      <w:pPr>
        <w:ind w:right="20" w:firstLine="1952"/>
        <w:spacing w:after="0" w:line="258" w:lineRule="auto"/>
        <w:tabs>
          <w:tab w:leader="none" w:pos="24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3.01(a) of this Agreement, all Taxes with respect to Tax Returns described in Section 2.01(a) of this Agreement; and</w:t>
      </w:r>
    </w:p>
    <w:p>
      <w:pPr>
        <w:spacing w:after="0" w:line="158" w:lineRule="exact"/>
        <w:rPr>
          <w:rFonts w:ascii="Times New Roman" w:cs="Times New Roman" w:eastAsia="Times New Roman" w:hAnsi="Times New Roman"/>
          <w:sz w:val="22"/>
          <w:szCs w:val="22"/>
          <w:color w:val="auto"/>
        </w:rPr>
      </w:pPr>
    </w:p>
    <w:p>
      <w:pPr>
        <w:ind w:right="140" w:firstLine="1952"/>
        <w:spacing w:after="0" w:line="258" w:lineRule="auto"/>
        <w:tabs>
          <w:tab w:leader="none" w:pos="24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with respect to Tax Returns described in Sections 2.01(b) or 2.01(d) of this Agreement and, without duplication, any Pre-IPO Acquired Entity Taxes.</w:t>
      </w:r>
    </w:p>
    <w:p>
      <w:pPr>
        <w:spacing w:after="0" w:line="158" w:lineRule="exact"/>
        <w:rPr>
          <w:sz w:val="20"/>
          <w:szCs w:val="20"/>
          <w:color w:val="auto"/>
        </w:rPr>
      </w:pPr>
    </w:p>
    <w:p>
      <w:pPr>
        <w:ind w:right="2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u w:val="single" w:color="auto"/>
          <w:color w:val="auto"/>
        </w:rPr>
        <w:t>Other Taxes, Refunds and Credits</w:t>
      </w:r>
      <w:r>
        <w:rPr>
          <w:rFonts w:ascii="Times New Roman" w:cs="Times New Roman" w:eastAsia="Times New Roman" w:hAnsi="Times New Roman"/>
          <w:sz w:val="22"/>
          <w:szCs w:val="22"/>
          <w:color w:val="auto"/>
        </w:rPr>
        <w:t>. To the extent of any Taxes that are not described in Sections 3.01 or 3.02, (i) Intel shall be liable for all such Taxes incurred by any person with respect to the Intel Business for all periods and shall be entitled to all refunds and credits of Taxes previously incurred by any person with respect to such Taxes, and (ii) Mobileye shall be liable for all such Taxes incurred by any person with respect to the Mobileye Business for all periods and shall be entitled to all refunds and credits of Taxes previously incurred by any person with respect to such Taxes. Nothing in this Agreement shall be construed to require compensation, by payment, credit, offset or otherwise, by Intel (or any Intel Affiliate) to Mobileye (or any Mobileye Affiliate) for any loss, deduction, credit or other Tax attribute arising in connection with, or related to, Mobileye, any Mobileye Affiliate, or the Mobileye Business, that is shown on, or otherwise reflected with respect to, any Tax Return described in Section 2.01 of this Agreement.</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u w:val="single" w:color="auto"/>
          <w:color w:val="auto"/>
        </w:rPr>
        <w:t>Payment of Tax Liability</w:t>
      </w:r>
      <w:r>
        <w:rPr>
          <w:rFonts w:ascii="Times New Roman" w:cs="Times New Roman" w:eastAsia="Times New Roman" w:hAnsi="Times New Roman"/>
          <w:sz w:val="21"/>
          <w:szCs w:val="21"/>
          <w:color w:val="auto"/>
        </w:rPr>
        <w:t>. If one party is liable or responsible for Taxes, under Sections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3.01 through 3.03 of this Agreement, with respect to Tax Returns for which another party is responsible for filing,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with respect to Taxes that are paid by another party, then the liable or responsible party shall pay the Taxes (or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reimbursement of such Taxes) to the other party pursuant to Section 7.05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59" w:name="page60"/>
    <w:bookmarkEnd w:id="59"/>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Deconsolidation Events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Neither Intel nor Mobileye has any plan or intent to effectuate any transaction that would constitute a Deconsolidation Event. In the case of a Deconsolidation Event, Intel shall, after consulting with Mobileye in good faith, reasonably determine, and Mobileye shall cooperate with Intel in determining, the allocation of any Tax Assets among Intel, each Intel Affiliate, Mobileye, and each Mobileye Affiliate. For the avoidance of doubt, in the case of a Deconsolidation Event, all rights and obligations of the parties with respect to the matters covered by this Agreement shall be governed by the other provisions of this Agreement, unless otherwise provided in this Section 4.</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Continuing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Each of Intel (for itself and each Intel Affiliate) and Mobileye (for itself and each Mobileye Affiliate) agrees (1) not to take any action reasonably expected to result in an increased Tax liability to the other, a reduction in a Tax Asset of the other or an increased liability to the other under this Agreement, and (2) to take any action reasonably requested by the other that would reasonably be expected to result in a Tax Benefit or avoid a Tax Detriment to the other, provided, in either such case, that the taking or refraining to take such action does not result in any additional cost not fully compensated for by the other party or any other adverse effect to such party. The parties hereby acknowledge that the preceding sentence is not intended to limit, and therefore shall not apply to, the rights of the parties with respect to matters otherwise specifically covered by this Agreement.</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Distribution 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8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Liability for Distribution Taxes</w:t>
      </w:r>
      <w:r>
        <w:rPr>
          <w:rFonts w:ascii="Times New Roman" w:cs="Times New Roman" w:eastAsia="Times New Roman" w:hAnsi="Times New Roman"/>
          <w:sz w:val="22"/>
          <w:szCs w:val="22"/>
          <w:color w:val="auto"/>
        </w:rPr>
        <w:t>. Although neither party has any plan or intent to effectuate a Distribution, the parties have set forth how certain Tax matters with respect to a Distribution would be handled in the event that a Distribution is pursued at some future time.</w:t>
      </w:r>
    </w:p>
    <w:p>
      <w:pPr>
        <w:spacing w:after="0" w:line="173" w:lineRule="exact"/>
        <w:rPr>
          <w:sz w:val="20"/>
          <w:szCs w:val="20"/>
          <w:color w:val="auto"/>
        </w:rPr>
      </w:pPr>
    </w:p>
    <w:p>
      <w:pPr>
        <w:ind w:right="80" w:firstLine="1952"/>
        <w:spacing w:after="0" w:line="261" w:lineRule="auto"/>
        <w:tabs>
          <w:tab w:leader="none" w:pos="246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Intel’s Liability for Distribution Taxes</w:t>
      </w:r>
      <w:r>
        <w:rPr>
          <w:rFonts w:ascii="Times New Roman" w:cs="Times New Roman" w:eastAsia="Times New Roman" w:hAnsi="Times New Roman"/>
          <w:sz w:val="21"/>
          <w:szCs w:val="21"/>
          <w:color w:val="auto"/>
        </w:rPr>
        <w:t>. In the event of a Distribution, notwithstanding Sections 3.01 through 3.03 of this Agreement, Intel shall be liable for any Distribution Taxes, to the extent that such Distribution Taxes are attributable to, caused by, or result from, one or more of the following:</w:t>
      </w:r>
    </w:p>
    <w:p>
      <w:pPr>
        <w:spacing w:after="0" w:line="157" w:lineRule="exact"/>
        <w:rPr>
          <w:rFonts w:ascii="Times New Roman" w:cs="Times New Roman" w:eastAsia="Times New Roman" w:hAnsi="Times New Roman"/>
          <w:sz w:val="21"/>
          <w:szCs w:val="21"/>
          <w:color w:val="auto"/>
        </w:rPr>
      </w:pPr>
    </w:p>
    <w:p>
      <w:pPr>
        <w:ind w:left="660" w:right="120" w:firstLine="1940"/>
        <w:spacing w:after="0" w:line="239" w:lineRule="auto"/>
        <w:tabs>
          <w:tab w:leader="none" w:pos="309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omission by Intel (or any Intel Affiliate) inconsistent with any information, covenant, representation, or material related to Intel, any Intel Affiliate, or the Intel Business in an Officer’s Certificate, Tax Opinion, Supplemental Tax Opinion, Ruling Documents, Supplemental Ruling Documents, Ruling, or Supplemental Ruling;</w:t>
      </w:r>
    </w:p>
    <w:p>
      <w:pPr>
        <w:spacing w:after="0" w:line="180" w:lineRule="exact"/>
        <w:rPr>
          <w:rFonts w:ascii="Times New Roman" w:cs="Times New Roman" w:eastAsia="Times New Roman" w:hAnsi="Times New Roman"/>
          <w:sz w:val="22"/>
          <w:szCs w:val="22"/>
          <w:color w:val="auto"/>
        </w:rPr>
      </w:pPr>
    </w:p>
    <w:p>
      <w:pPr>
        <w:ind w:left="660" w:firstLine="1940"/>
        <w:spacing w:after="0" w:line="261" w:lineRule="auto"/>
        <w:tabs>
          <w:tab w:leader="none" w:pos="309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omission by Intel (or any Intel Affiliate), including a cessation, transfer to affiliates, or disposition of its active trades or businesses, or an issuance of stock, stock buyback or payment of an extraordinary dividend by Intel (or any Intel Affiliate) following a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60" w:name="page61"/>
    <w:bookmarkEnd w:id="60"/>
    <w:p>
      <w:pPr>
        <w:ind w:left="660" w:right="80" w:firstLine="1940"/>
        <w:spacing w:after="0" w:line="282" w:lineRule="auto"/>
        <w:tabs>
          <w:tab w:leader="none" w:pos="309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of any stock or assets of Intel (or any Intel Affiliate) by one or more other persons (other than Mobileye or a Mobileye Affiliate) prior to or following a Distribution; or</w:t>
      </w:r>
    </w:p>
    <w:p>
      <w:pPr>
        <w:spacing w:after="0" w:line="134" w:lineRule="exact"/>
        <w:rPr>
          <w:rFonts w:ascii="Times New Roman" w:cs="Times New Roman" w:eastAsia="Times New Roman" w:hAnsi="Times New Roman"/>
          <w:sz w:val="21"/>
          <w:szCs w:val="21"/>
          <w:color w:val="auto"/>
        </w:rPr>
      </w:pPr>
    </w:p>
    <w:p>
      <w:pPr>
        <w:ind w:left="660" w:right="160" w:firstLine="1940"/>
        <w:spacing w:after="0" w:line="258" w:lineRule="auto"/>
        <w:tabs>
          <w:tab w:leader="none" w:pos="309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of stock by Intel (or any Intel Affiliate), or change in ownership of stock in Intel (or any Intel Affiliate).</w:t>
      </w:r>
    </w:p>
    <w:p>
      <w:pPr>
        <w:spacing w:after="0" w:line="158" w:lineRule="exact"/>
        <w:rPr>
          <w:rFonts w:ascii="Times New Roman" w:cs="Times New Roman" w:eastAsia="Times New Roman" w:hAnsi="Times New Roman"/>
          <w:sz w:val="22"/>
          <w:szCs w:val="22"/>
          <w:color w:val="auto"/>
        </w:rPr>
      </w:pPr>
    </w:p>
    <w:p>
      <w:pPr>
        <w:ind w:right="220" w:firstLine="1952"/>
        <w:spacing w:after="0" w:line="239" w:lineRule="auto"/>
        <w:tabs>
          <w:tab w:leader="none" w:pos="24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Mobileye’s Liability for Distribution Taxes</w:t>
      </w:r>
      <w:r>
        <w:rPr>
          <w:rFonts w:ascii="Times New Roman" w:cs="Times New Roman" w:eastAsia="Times New Roman" w:hAnsi="Times New Roman"/>
          <w:sz w:val="22"/>
          <w:szCs w:val="22"/>
          <w:color w:val="auto"/>
        </w:rPr>
        <w:t>. In the event of a Distribution, notwithstanding Sections 3.01 through 3.03 of this Agreement, Mobileye shall be liable for any Distribution Taxes, to the extent that such Distribution Taxes are attributable to, caused by, or result from, one or more of the following:</w:t>
      </w:r>
    </w:p>
    <w:p>
      <w:pPr>
        <w:spacing w:after="0" w:line="180" w:lineRule="exact"/>
        <w:rPr>
          <w:rFonts w:ascii="Times New Roman" w:cs="Times New Roman" w:eastAsia="Times New Roman" w:hAnsi="Times New Roman"/>
          <w:sz w:val="22"/>
          <w:szCs w:val="22"/>
          <w:color w:val="auto"/>
        </w:rPr>
      </w:pPr>
    </w:p>
    <w:p>
      <w:pPr>
        <w:ind w:left="660" w:right="340" w:firstLine="1940"/>
        <w:spacing w:after="0" w:line="238" w:lineRule="auto"/>
        <w:tabs>
          <w:tab w:leader="none" w:pos="309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omission by Mobileye (or any Mobileye Affiliate) after a Distribution at any time, that is inconsistent with any information, covenant, representation, or material related to Mobileye, any Mobileye Affiliate, or the Mobileye Business in an Officer’s Certificate, Tax Opinion, Supplemental Tax Opinion, Ruling Documents, Supplemental Ruling Documents, Ruling, or Supplemental Ruling;</w:t>
      </w:r>
    </w:p>
    <w:p>
      <w:pPr>
        <w:spacing w:after="0" w:line="176" w:lineRule="exact"/>
        <w:rPr>
          <w:rFonts w:ascii="Times New Roman" w:cs="Times New Roman" w:eastAsia="Times New Roman" w:hAnsi="Times New Roman"/>
          <w:sz w:val="22"/>
          <w:szCs w:val="22"/>
          <w:color w:val="auto"/>
        </w:rPr>
      </w:pPr>
    </w:p>
    <w:p>
      <w:pPr>
        <w:ind w:left="660" w:right="140" w:firstLine="1940"/>
        <w:spacing w:after="0" w:line="236" w:lineRule="auto"/>
        <w:tabs>
          <w:tab w:leader="none" w:pos="309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omission by Mobileye (or any Mobileye Affiliate) after the date of a Distribution (including any act or omission that is in furtherance of, connected to, or part of a plan or series of related transactions (within the meaning of Section 355(e) of the Code) occurring on or prior to the date of a Distribution) including a cessation, transfer to affiliates or disposition of the active trades or businesses of Mobileye (or any Mobileye Affiliate), stock buyback or payment of an extraordinary dividend;</w:t>
      </w:r>
    </w:p>
    <w:p>
      <w:pPr>
        <w:spacing w:after="0" w:line="181" w:lineRule="exact"/>
        <w:rPr>
          <w:rFonts w:ascii="Times New Roman" w:cs="Times New Roman" w:eastAsia="Times New Roman" w:hAnsi="Times New Roman"/>
          <w:sz w:val="22"/>
          <w:szCs w:val="22"/>
          <w:color w:val="auto"/>
        </w:rPr>
      </w:pPr>
    </w:p>
    <w:p>
      <w:pPr>
        <w:jc w:val="both"/>
        <w:ind w:left="660" w:right="20" w:firstLine="1940"/>
        <w:spacing w:after="0" w:line="282" w:lineRule="auto"/>
        <w:tabs>
          <w:tab w:leader="none" w:pos="309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of any stock or assets of Mobileye (or any Mobileye Affiliate) by one or more other persons (other than Intel or any Intel Affiliate) prior to or following a Distribution; or</w:t>
      </w:r>
    </w:p>
    <w:p>
      <w:pPr>
        <w:spacing w:after="0" w:line="134" w:lineRule="exact"/>
        <w:rPr>
          <w:rFonts w:ascii="Times New Roman" w:cs="Times New Roman" w:eastAsia="Times New Roman" w:hAnsi="Times New Roman"/>
          <w:sz w:val="21"/>
          <w:szCs w:val="21"/>
          <w:color w:val="auto"/>
        </w:rPr>
      </w:pPr>
    </w:p>
    <w:p>
      <w:pPr>
        <w:ind w:left="660" w:firstLine="1940"/>
        <w:spacing w:after="0" w:line="239" w:lineRule="auto"/>
        <w:tabs>
          <w:tab w:leader="none" w:pos="309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of stock by Mobileye (or any Mobileye Affiliate) after a Distribution, including any issuance pursuant to the exercise of employee stock options or other employment related arrangements or the exercise of warrants, or change in ownership of stock in Mobileye (or any Mobileye Affiliate) after a Distribution.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For the avoidance of doubt, the presence of a Supplemental Opinion or Supplemental Ruling pursuant to Section 5.02(c) hereof shall not relieve Mobileye from any liability otherwise arising under this Section 5.01(b).</w:t>
      </w:r>
    </w:p>
    <w:p>
      <w:pPr>
        <w:spacing w:after="0" w:line="135" w:lineRule="exact"/>
        <w:rPr>
          <w:sz w:val="20"/>
          <w:szCs w:val="20"/>
          <w:color w:val="auto"/>
        </w:rPr>
      </w:pPr>
    </w:p>
    <w:p>
      <w:pPr>
        <w:ind w:right="320" w:firstLine="1952"/>
        <w:spacing w:after="0" w:line="251" w:lineRule="auto"/>
        <w:tabs>
          <w:tab w:leader="none" w:pos="246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Joint Liability for Remaining Distribution Taxes</w:t>
      </w:r>
      <w:r>
        <w:rPr>
          <w:rFonts w:ascii="Times New Roman" w:cs="Times New Roman" w:eastAsia="Times New Roman" w:hAnsi="Times New Roman"/>
          <w:sz w:val="21"/>
          <w:szCs w:val="21"/>
          <w:color w:val="auto"/>
        </w:rPr>
        <w:t>. With respect to any Distribution Taxes not otherwise allocated by Sections 5.01(a) or (b) of this Agreement, each of Intel and Mobileye shall be liable for its respective share of such taxes, determined by reference to a ratio, the numerator of which is the relevant party’s Market Capitalization at the time of such Distribution and the denominator of which is the aggregate Market Capitalization of Intel and Mobileye at the time of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1" w:name="page62"/>
    <w:bookmarkEnd w:id="61"/>
    <w:p>
      <w:pPr>
        <w:ind w:left="1292"/>
        <w:spacing w:after="0"/>
        <w:tabs>
          <w:tab w:leader="none" w:pos="1931" w:val="left"/>
        </w:tabs>
        <w:rPr>
          <w:sz w:val="20"/>
          <w:szCs w:val="20"/>
          <w:color w:val="auto"/>
        </w:rPr>
      </w:pPr>
      <w:r>
        <w:rPr>
          <w:rFonts w:ascii="Times New Roman" w:cs="Times New Roman" w:eastAsia="Times New Roman" w:hAnsi="Times New Roman"/>
          <w:sz w:val="22"/>
          <w:szCs w:val="22"/>
          <w:color w:val="auto"/>
        </w:rPr>
        <w:t>5.02.</w:t>
      </w:r>
      <w:r>
        <w:rPr>
          <w:sz w:val="20"/>
          <w:szCs w:val="20"/>
          <w:color w:val="auto"/>
        </w:rPr>
        <w:tab/>
      </w:r>
      <w:r>
        <w:rPr>
          <w:rFonts w:ascii="Times New Roman" w:cs="Times New Roman" w:eastAsia="Times New Roman" w:hAnsi="Times New Roman"/>
          <w:sz w:val="21"/>
          <w:szCs w:val="21"/>
          <w:u w:val="single" w:color="auto"/>
          <w:color w:val="auto"/>
        </w:rPr>
        <w:t>Continuing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 w:firstLine="1952"/>
        <w:spacing w:after="0" w:line="244" w:lineRule="auto"/>
        <w:tabs>
          <w:tab w:leader="none" w:pos="2458"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Mobileye Restrictions</w:t>
      </w:r>
      <w:r>
        <w:rPr>
          <w:rFonts w:ascii="Times New Roman" w:cs="Times New Roman" w:eastAsia="Times New Roman" w:hAnsi="Times New Roman"/>
          <w:sz w:val="21"/>
          <w:szCs w:val="21"/>
          <w:color w:val="auto"/>
        </w:rPr>
        <w:t>. Mobileye agrees that, so long as a Distribution could, in the reasonable discretion of Intel, be effectuated, Mobileye will not knowingly take or fail to take, or permit any Mobileye Affiliate to knowingly take or fail to take, any action that could reasonably be expected to preclude Intel’s ability to effectuate a Distribution. In the event of a Distribution, Mobileye agrees that (1) it will take, or cause any Mobileye Affiliate to take, any action reasonably requested by Intel in order to enable Intel to effectuate a Distribution and (2) it will not take or fail to take, or permit any Mobileye Affiliate to take or fail to take, any action where such action or failure to act would be inconsistent with any information, covenant, representation, or material that relates to facts or matters related to Mobileye (or any Mobileye Affiliate) or within the control of Mobileye and is contained in an Officer’s Certificate, Tax Opinion, Supplemental Tax Opinion, Ruling Documents, Supplemental Ruling Documents, Ruling, or Supplemental Ruling (except where such information, covenant, representation, or material was not previously disclosed to Mobileye) other than as permitted by Section 5.02(c) of this Agreement. For this purpose an action is considered inconsistent with a representation if the representation states that there is no plan or intention to take such action. In the event of a Distribution, Mobileye agrees that it will not take (and it will cause the Mobileye Affiliates to refrain from taking) any position on a Tax Return that is inconsistent with such Distribution qualifying under Section 355 of the Code.</w:t>
      </w:r>
    </w:p>
    <w:p>
      <w:pPr>
        <w:spacing w:after="0" w:line="178" w:lineRule="exact"/>
        <w:rPr>
          <w:rFonts w:ascii="Times New Roman" w:cs="Times New Roman" w:eastAsia="Times New Roman" w:hAnsi="Times New Roman"/>
          <w:sz w:val="21"/>
          <w:szCs w:val="21"/>
          <w:color w:val="auto"/>
        </w:rPr>
      </w:pPr>
    </w:p>
    <w:p>
      <w:pPr>
        <w:ind w:left="-8" w:right="20" w:firstLine="1952"/>
        <w:spacing w:after="0" w:line="234" w:lineRule="auto"/>
        <w:tabs>
          <w:tab w:leader="none" w:pos="245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 Restrictions</w:t>
      </w:r>
      <w:r>
        <w:rPr>
          <w:rFonts w:ascii="Times New Roman" w:cs="Times New Roman" w:eastAsia="Times New Roman" w:hAnsi="Times New Roman"/>
          <w:sz w:val="22"/>
          <w:szCs w:val="22"/>
          <w:color w:val="auto"/>
        </w:rPr>
        <w:t>. In the event of a Distribution, Intel agrees that it will not take or fail to take, or permit any Intel Affiliate to take or fail to take, any action where such action or failure to act would be inconsistent with any material, information, covenant or representation that relates to facts or matters related to Intel (or any Intel Affiliate) or within the control of Intel and is contained in an Officer’s Certificate, Tax Opinion, Supplemental Tax Opinion, Ruling Documents, Supplemental Ruling Documents, Ruling, or Supplemental Ruling. For this purpose an action is considered inconsistent with a representation if the representation states that there is no plan or intention to take such action. In the event of a Distribution, Intel agrees that it will not take (and it will cause the Intel Affiliates to refrain from taking) any position on a Tax Return that is inconsistent with such Distribution qualifying under Section 355 of the Code.</w:t>
      </w:r>
    </w:p>
    <w:p>
      <w:pPr>
        <w:spacing w:after="0" w:line="183" w:lineRule="exact"/>
        <w:rPr>
          <w:rFonts w:ascii="Times New Roman" w:cs="Times New Roman" w:eastAsia="Times New Roman" w:hAnsi="Times New Roman"/>
          <w:sz w:val="22"/>
          <w:szCs w:val="22"/>
          <w:color w:val="auto"/>
        </w:rPr>
      </w:pPr>
    </w:p>
    <w:p>
      <w:pPr>
        <w:ind w:left="-8" w:right="80" w:firstLine="1952"/>
        <w:spacing w:after="0" w:line="244" w:lineRule="auto"/>
        <w:tabs>
          <w:tab w:leader="none" w:pos="2458"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Mobileye Actions Following a Distribution</w:t>
      </w:r>
      <w:r>
        <w:rPr>
          <w:rFonts w:ascii="Times New Roman" w:cs="Times New Roman" w:eastAsia="Times New Roman" w:hAnsi="Times New Roman"/>
          <w:sz w:val="21"/>
          <w:szCs w:val="21"/>
          <w:color w:val="auto"/>
        </w:rPr>
        <w:t>. In the event of a Distribution, Mobileye agrees that, during the two (2) year period following a Distribution, without first obtaining, at Mobileye’s own expense, either a supplemental opinion from Tax Counsel that such action will not result in Distribution Taxes (a “</w:t>
      </w:r>
      <w:r>
        <w:rPr>
          <w:rFonts w:ascii="Times New Roman" w:cs="Times New Roman" w:eastAsia="Times New Roman" w:hAnsi="Times New Roman"/>
          <w:sz w:val="21"/>
          <w:szCs w:val="21"/>
          <w:b w:val="1"/>
          <w:bCs w:val="1"/>
          <w:color w:val="auto"/>
        </w:rPr>
        <w:t>Supplemental Tax Opinion</w:t>
      </w:r>
      <w:r>
        <w:rPr>
          <w:rFonts w:ascii="Times New Roman" w:cs="Times New Roman" w:eastAsia="Times New Roman" w:hAnsi="Times New Roman"/>
          <w:sz w:val="21"/>
          <w:szCs w:val="21"/>
          <w:color w:val="auto"/>
        </w:rPr>
        <w:t>”) or a Supplemental Ruling that such action will not result in Distribution Taxes, unless in any such case Intel and Mobileye agree otherwise, Mobileye shall not (1) sell all or substantially all of the assets of Mobileye or any Mobileye Affiliate, (2) merge Mobileye or any Mobileye Affiliate with another entity, without regard to which party is the surviving entity (other than any merger between two Mobileye Affiliates and a merger between a Mobileye Affiliate and Mobileye where Mobileye is the surviving entity, in each case, where the applicable Mobileye Affiliate(s) are members of the Mobileye Group),</w:t>
      </w:r>
    </w:p>
    <w:p>
      <w:pPr>
        <w:spacing w:after="0" w:line="1" w:lineRule="exact"/>
        <w:rPr>
          <w:rFonts w:ascii="Times New Roman" w:cs="Times New Roman" w:eastAsia="Times New Roman" w:hAnsi="Times New Roman"/>
          <w:sz w:val="21"/>
          <w:szCs w:val="21"/>
          <w:color w:val="auto"/>
        </w:rPr>
      </w:pPr>
    </w:p>
    <w:p>
      <w:pPr>
        <w:jc w:val="both"/>
        <w:ind w:left="-8" w:right="40" w:firstLine="8"/>
        <w:spacing w:after="0" w:line="235" w:lineRule="auto"/>
        <w:tabs>
          <w:tab w:leader="none" w:pos="29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assets of Mobileye in a transaction described in Section 351 (other than a transfer to a corporation which files a Consolidated Return with Mobileye and which is wholly-owned, directly or indirectly, by Mobileye) or subparagraph (C) or (D) of Section 368(a)(1) of the Code, (4) issue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68" w:right="1019" w:bottom="1440" w:gutter="0" w:footer="0" w:header="0"/>
        </w:sectPr>
      </w:pPr>
    </w:p>
    <w:bookmarkStart w:id="62" w:name="page63"/>
    <w:bookmarkEnd w:id="62"/>
    <w:p>
      <w:pPr>
        <w:spacing w:after="0" w:line="233" w:lineRule="auto"/>
        <w:rPr>
          <w:sz w:val="20"/>
          <w:szCs w:val="20"/>
          <w:color w:val="auto"/>
        </w:rPr>
      </w:pPr>
      <w:r>
        <w:rPr>
          <w:rFonts w:ascii="Times New Roman" w:cs="Times New Roman" w:eastAsia="Times New Roman" w:hAnsi="Times New Roman"/>
          <w:sz w:val="22"/>
          <w:szCs w:val="22"/>
          <w:color w:val="auto"/>
        </w:rPr>
        <w:t>Mobileye or any Mobileye Affiliate (or any instrument that is convertible or exchangeable into any such stock) in an acquisition or public or private offering except to the extent such issuances satisfy Safe Harbor VIII (relating to acquisitions in connection with a person’s performance of services) or Safe Harbor IX (relating to acquisitions by a retirement plan of an employer) of Treasury Regulations Section 1.355-7(d), or (5) facilitate or otherwise participate in any acquisition of stock in Mobileye that would result in any shareholder owning five percent (5%) or more of the outstanding stock of Mobileye. Mobileye (or any Mobileye Affiliate) shall only undertake any of such actions after Intel’s receipt of such Supplemental Tax Opinion or Supplemental Ruling and pursuant to the terms and conditions of any such Supplemental Tax Opinion or Supplemental Ruling or as otherwise consented to in writing in advance by Intel. The parties hereby agree that they will act in good faith to take all reasonable steps necessary to amend this Section 5.02(c), from time to time, by mutual agreement, to (i) add certain actions to the list contained herein, or (ii) remove certain actions from the list contained herein, in either case, in order to reflect any relevant change in law, regulation or administrative interpretation occurring after the date of this Agreement and prior to a Distribution.</w:t>
      </w:r>
    </w:p>
    <w:p>
      <w:pPr>
        <w:spacing w:after="0" w:line="182" w:lineRule="exact"/>
        <w:rPr>
          <w:sz w:val="20"/>
          <w:szCs w:val="20"/>
          <w:color w:val="auto"/>
        </w:rPr>
      </w:pPr>
    </w:p>
    <w:p>
      <w:pPr>
        <w:ind w:right="40" w:firstLine="1952"/>
        <w:spacing w:after="0" w:line="236" w:lineRule="auto"/>
        <w:tabs>
          <w:tab w:leader="none" w:pos="246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Specified Transactions</w:t>
      </w:r>
      <w:r>
        <w:rPr>
          <w:rFonts w:ascii="Times New Roman" w:cs="Times New Roman" w:eastAsia="Times New Roman" w:hAnsi="Times New Roman"/>
          <w:sz w:val="22"/>
          <w:szCs w:val="22"/>
          <w:color w:val="auto"/>
        </w:rPr>
        <w:t>. Not later than ten (10) Business Days prior to entering into any oral or written contract or agreement, and not later than five (5) Business Days after it first becomes aware of any negotiations, plan or intention (regardless of whether it is a party to such negotiations, plan or intention), regarding any of the transactions described in paragraph (c), Mobileye shall provide written notice of its intent to consummate such transaction or the negotiations,­ plan or intention of which it becomes aware, as the case may be, to Intel.</w:t>
      </w:r>
    </w:p>
    <w:p>
      <w:pPr>
        <w:spacing w:after="0" w:line="181" w:lineRule="exact"/>
        <w:rPr>
          <w:rFonts w:ascii="Times New Roman" w:cs="Times New Roman" w:eastAsia="Times New Roman" w:hAnsi="Times New Roman"/>
          <w:sz w:val="22"/>
          <w:szCs w:val="22"/>
          <w:color w:val="auto"/>
        </w:rPr>
      </w:pPr>
    </w:p>
    <w:p>
      <w:pPr>
        <w:ind w:right="60" w:firstLine="1952"/>
        <w:spacing w:after="0" w:line="234" w:lineRule="auto"/>
        <w:tabs>
          <w:tab w:leader="none" w:pos="246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Mobileye Cooperation</w:t>
      </w:r>
      <w:r>
        <w:rPr>
          <w:rFonts w:ascii="Times New Roman" w:cs="Times New Roman" w:eastAsia="Times New Roman" w:hAnsi="Times New Roman"/>
          <w:sz w:val="22"/>
          <w:szCs w:val="22"/>
          <w:color w:val="auto"/>
        </w:rPr>
        <w:t>. Mobileye agrees that, at the reasonable request of Intel, Mobileye shall cooperate fully with Intel to take any action necessary or reasonably helpful to effectuate a Distribution, including seeking to obtain, as expeditiously as possible, a Tax Opinion, Ruling, and/or Supplemental Ruling. Such cooperation shall include the execution of any documents that may be necessary or reasonably helpful in connection with obtaining any Tax Opinion, Ruling, and/or Supplemental Ruling (including any (i) power of attorney, (ii) Officer’s Certificate, (iii) Ruling Documents, (iv) Supplemental Ruling Documents, and/or (v) reasonably requested written representations confirming that (a) Mobileye has read the Officer’s Certificate, Ruling Documents, and/or Supplemental Ruling Documents and (b) all information and representations, if any, relating to Mobileye, any Mobileye Affiliate or the Mobileye Business contained therein are true, correct and complete in all material respects).</w:t>
      </w:r>
    </w:p>
    <w:p>
      <w:pPr>
        <w:spacing w:after="0" w:line="175"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0" w:firstLine="1296"/>
        <w:spacing w:after="0" w:line="247" w:lineRule="auto"/>
        <w:rPr>
          <w:sz w:val="20"/>
          <w:szCs w:val="20"/>
          <w:color w:val="auto"/>
        </w:rPr>
      </w:pPr>
      <w:r>
        <w:rPr>
          <w:rFonts w:ascii="Times New Roman" w:cs="Times New Roman" w:eastAsia="Times New Roman" w:hAnsi="Times New Roman"/>
          <w:sz w:val="21"/>
          <w:szCs w:val="21"/>
          <w:color w:val="auto"/>
        </w:rPr>
        <w:t xml:space="preserve">6.01. </w:t>
      </w: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Intel shall indemnify Mobileye, each Mobileye Affiliate, and their respective directors, officers and employees, and hold them harmless from and against any and all Taxes for which Intel or any Intel Affiliate is liable under this Agreement and any loss, cost, damage or expense, including reasonable attorneys’ fees and costs, that is attributable to, or results from, the failure of Intel, any Intel Affiliate or any director, officer or employee to make any payment required to be made under this Agreement. Mobileye shall indemnify Intel, each Intel Affiliate, and their respective directors, officers and employees, and hold them harmless from and against any and all Taxes for which Mobileye or any Mobileye Affiliate is liable under this Agreement and any loss, cost, damage or expense, including reasonable attorneys’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68" w:right="10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22"/>
          <w:szCs w:val="22"/>
          <w:color w:val="auto"/>
        </w:rPr>
        <w:t>costs, that is attributable to, or results from, the failure of Mobileye, any Mobileye Affiliate or any director, officer or employee to make any payment required to be made under this Agreement.</w:t>
      </w:r>
    </w:p>
    <w:p>
      <w:pPr>
        <w:spacing w:after="0" w:line="158" w:lineRule="exact"/>
        <w:rPr>
          <w:sz w:val="20"/>
          <w:szCs w:val="20"/>
          <w:color w:val="auto"/>
        </w:rPr>
      </w:pPr>
    </w:p>
    <w:p>
      <w:pPr>
        <w:ind w:right="16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Inaccurate or Incomplete Information</w:t>
      </w:r>
      <w:r>
        <w:rPr>
          <w:rFonts w:ascii="Times New Roman" w:cs="Times New Roman" w:eastAsia="Times New Roman" w:hAnsi="Times New Roman"/>
          <w:sz w:val="22"/>
          <w:szCs w:val="22"/>
          <w:color w:val="auto"/>
        </w:rPr>
        <w:t>. Intel shall indemnify Mobileye, each Mobileye Affiliate, and their respective directors, officers and employees, and hold them harmless from and against any cost, fine, penalty, or other expense of any kind attributable to Intel or any Intel Affiliate supplying Mobileye or any Mobileye Affiliate with inaccurate or incomplete information, in connection with the preparation of any Tax Return. Mobileye shall indemnify Intel, each Intel Affiliate, and their respective directors, officers and employees, and hold them harmless from and against any cost, fine, penalty, or other expenses of any kind attributable to Mobileye or any Mobileye Affiliate supplying Intel or any Intel Affiliate with inaccurate or incomplete information, in connection with the preparation of any Tax Return.</w:t>
      </w:r>
    </w:p>
    <w:p>
      <w:pPr>
        <w:spacing w:after="0" w:line="178" w:lineRule="exact"/>
        <w:rPr>
          <w:sz w:val="20"/>
          <w:szCs w:val="20"/>
          <w:color w:val="auto"/>
        </w:rPr>
      </w:pPr>
    </w:p>
    <w:p>
      <w:pPr>
        <w:ind w:right="16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6.03. </w:t>
      </w:r>
      <w:r>
        <w:rPr>
          <w:rFonts w:ascii="Times New Roman" w:cs="Times New Roman" w:eastAsia="Times New Roman" w:hAnsi="Times New Roman"/>
          <w:sz w:val="21"/>
          <w:szCs w:val="21"/>
          <w:u w:val="single" w:color="auto"/>
          <w:color w:val="auto"/>
        </w:rPr>
        <w:t>No Indemnification for Tax Items</w:t>
      </w:r>
      <w:r>
        <w:rPr>
          <w:rFonts w:ascii="Times New Roman" w:cs="Times New Roman" w:eastAsia="Times New Roman" w:hAnsi="Times New Roman"/>
          <w:sz w:val="21"/>
          <w:szCs w:val="21"/>
          <w:color w:val="auto"/>
        </w:rPr>
        <w:t>. Nothing in this Agreement shall be construed as a guarantee of the existence or amount of any loss, credit, carryforward, basis or other Tax Item, whether past, present or future, of Intel, any Intel Affiliate, Mobileye or any Mobileye Affiliate. In addition, for the avoidance of doubt, for purposes of determining any amount owed between the parties hereto, all such determinations shall be made without regard to any financial accounting Tax asset or liability or other financial accounting items.</w:t>
      </w:r>
    </w:p>
    <w:p>
      <w:pPr>
        <w:spacing w:after="0" w:line="16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1"/>
          <w:szCs w:val="21"/>
          <w:u w:val="single" w:color="auto"/>
          <w:color w:val="auto"/>
        </w:rPr>
        <w:t>Calculation of Mobileye Separate Return Tax Liability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1952"/>
        <w:spacing w:after="0" w:line="235" w:lineRule="auto"/>
        <w:tabs>
          <w:tab w:leader="none" w:pos="24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Calculation Due Date with respect to a taxable period for which a Consolidated Return will be filed, Intel shall provide Mobileye with a written notice setting forth Intel’s calculation of the estimated Mobileye Separate Tax Liability (including, for the avoidance of doubt, a description and calculation of any equitable adjustments agreed to prior to such Calculation Due Date pursuant to clauses (C) or (D) of the definition of “Mobileye Separate Tax Liability” with respect to such taxable period). Mobileye shall review such calculation, and if Mobileye agrees with such calculation, the estimated Mobileye Separate Tax Liability with respect to such taxable period shall be considered final. If Mobileye disagrees with such calculation, such disagreement shall be resolved in accordance with Section 9.03.</w:t>
      </w:r>
    </w:p>
    <w:p>
      <w:pPr>
        <w:spacing w:after="0" w:line="178" w:lineRule="exact"/>
        <w:rPr>
          <w:rFonts w:ascii="Times New Roman" w:cs="Times New Roman" w:eastAsia="Times New Roman" w:hAnsi="Times New Roman"/>
          <w:sz w:val="22"/>
          <w:szCs w:val="22"/>
          <w:color w:val="auto"/>
        </w:rPr>
      </w:pPr>
    </w:p>
    <w:p>
      <w:pPr>
        <w:ind w:right="40" w:firstLine="1952"/>
        <w:spacing w:after="0" w:line="233" w:lineRule="auto"/>
        <w:tabs>
          <w:tab w:leader="none" w:pos="24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two weeks after the due date (with automatic extension) of the Consolidated Return for a taxable period, Intel shall provide Mobileye with a written notice setting forth the Mobileye Separate Tax Liability for such period and a calculation of such amount (including, for the avoidance of doubt, a description and calculation of any equitable adjustments agreed to prior to the due date for delivery of such notice pursuant to clauses (C) or (D) of the definition of “Mobileye Separate Tax Liability” with respect to such taxable period). Mobileye shall review such calculation, and if Mobileye agrees with such calculation, the Mobileye Separate Tax Liability with respect to such taxable period and amount payable pursuant to Section 7.02(a) shall be considered final. If Mobileye disagrees with such calculation, such disagreement shall be resolved in accordance with Section 9.03. Any equitable adjustments agreed to by Intel and Mobileye in accordance with clauses (C) or (D) of the definition of “Mobileye Separate Tax Liability” shall be finally agreed to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64" w:name="page65"/>
    <w:bookmarkEnd w:id="64"/>
    <w:p>
      <w:pPr>
        <w:ind w:right="60"/>
        <w:spacing w:after="0" w:line="239" w:lineRule="auto"/>
        <w:rPr>
          <w:sz w:val="20"/>
          <w:szCs w:val="20"/>
          <w:color w:val="auto"/>
        </w:rPr>
      </w:pPr>
      <w:r>
        <w:rPr>
          <w:rFonts w:ascii="Times New Roman" w:cs="Times New Roman" w:eastAsia="Times New Roman" w:hAnsi="Times New Roman"/>
          <w:sz w:val="22"/>
          <w:szCs w:val="22"/>
          <w:color w:val="auto"/>
        </w:rPr>
        <w:t>determination of the Mobileye Separate Tax Liability pursuant to this Section 7.01(b) , and neither Intel nor Mobileye shall propose that any such equitable adjustments be rescinded, amended or otherwise altered after such date (except in connection with any Audit conducted pursuant to Article 8 or a resolution of a dispute pursuant to Section 9.03).</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0" w:firstLine="1952"/>
        <w:spacing w:after="0" w:line="239" w:lineRule="auto"/>
        <w:tabs>
          <w:tab w:leader="none" w:pos="24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 respect of the Mobileye Separate Tax Liability shall be made annually. Not later than ten (10) Business Days after the date on which the parties agree on the Mobileye Separate Tax Liability pursuant to Section 7.01(b),, Mobileye shall pay to Intel an amount equal to the Mobileye Separate Tax Liability, as determined in accordance with Section 7.01(b).</w:t>
      </w:r>
    </w:p>
    <w:p>
      <w:pPr>
        <w:spacing w:after="0" w:line="180"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dispute with respect to any calculation described in Section</w:t>
      </w:r>
    </w:p>
    <w:p>
      <w:pPr>
        <w:spacing w:after="0" w:line="14"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22"/>
          <w:szCs w:val="22"/>
          <w:color w:val="auto"/>
        </w:rPr>
        <w:t>7.01, in no event shall any payment attributable to the amount of any Mobileye Separate Tax Liability be paid later than the date provided in this Section 7.02.</w:t>
      </w:r>
    </w:p>
    <w:p>
      <w:pPr>
        <w:spacing w:after="0" w:line="178"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Redetermination Amounts</w:t>
      </w:r>
      <w:r>
        <w:rPr>
          <w:rFonts w:ascii="Times New Roman" w:cs="Times New Roman" w:eastAsia="Times New Roman" w:hAnsi="Times New Roman"/>
          <w:sz w:val="22"/>
          <w:szCs w:val="22"/>
          <w:color w:val="auto"/>
        </w:rPr>
        <w:t>. In the event of a redetermination of any Tax Item reflected on any Consolidated Return (other than Tax Items relating to Distribution Taxes), as a result of a refund of Taxes paid, a Final Determination or any settlement or compromise with any Taxing Authority which in any such case would affect the Mobileye Separate Tax Liability, Intel shall prepare a revised pro forma Tax Return in accordance with Section 2.04(b) of this Agreement for the relevant taxable period reflecting the redetermination of such Tax Item as a result of such refund, Final Determination, settlement or compromise. Mobileye shall pay to Intel, or Intel shall pay to Mobileye, as appropriate, an amount equal to the difference, if any, between the Mobileye Separate Tax Liability reflected on such revised pro forma Tax Return and the Mobileye Separate Tax Liability for such period as originally computed pursuant to this Agreement.</w:t>
      </w:r>
    </w:p>
    <w:p>
      <w:pPr>
        <w:spacing w:after="0" w:line="183"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u w:val="single" w:color="auto"/>
          <w:color w:val="auto"/>
        </w:rPr>
        <w:t>Payments of Refunds, Credits and Reimbursements</w:t>
      </w:r>
      <w:r>
        <w:rPr>
          <w:rFonts w:ascii="Times New Roman" w:cs="Times New Roman" w:eastAsia="Times New Roman" w:hAnsi="Times New Roman"/>
          <w:sz w:val="22"/>
          <w:szCs w:val="22"/>
          <w:color w:val="auto"/>
        </w:rPr>
        <w:t>. If one party receives a refund or credit of any Tax to which the other party is entitled pursuant to Section 3.03 of this Agreement, the party receiving such refund or credit shall pay to the other party the amount of such refund or credit pursuant to Section 7.05 of this Agreement. If one party pays a Tax with respect to which the other party is liable of responsible pursuant to Sections 3.01 through 3.03 of this Agreement, then the liable or responsible party shall pay to the other party the amount of such Tax pursuant to Section 7.05 of this Agreement.</w:t>
      </w:r>
    </w:p>
    <w:p>
      <w:pPr>
        <w:spacing w:after="0" w:line="177" w:lineRule="exact"/>
        <w:rPr>
          <w:sz w:val="20"/>
          <w:szCs w:val="20"/>
          <w:color w:val="auto"/>
        </w:rPr>
      </w:pPr>
    </w:p>
    <w:p>
      <w:pPr>
        <w:ind w:right="6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Payments Under This Agreement</w:t>
      </w:r>
      <w:r>
        <w:rPr>
          <w:rFonts w:ascii="Times New Roman" w:cs="Times New Roman" w:eastAsia="Times New Roman" w:hAnsi="Times New Roman"/>
          <w:sz w:val="22"/>
          <w:szCs w:val="22"/>
          <w:color w:val="auto"/>
        </w:rPr>
        <w:t>. In the event that one party (the “</w:t>
      </w:r>
      <w:r>
        <w:rPr>
          <w:rFonts w:ascii="Times New Roman" w:cs="Times New Roman" w:eastAsia="Times New Roman" w:hAnsi="Times New Roman"/>
          <w:sz w:val="22"/>
          <w:szCs w:val="22"/>
          <w:b w:val="1"/>
          <w:bCs w:val="1"/>
          <w:color w:val="auto"/>
        </w:rPr>
        <w:t>Owing Party</w:t>
      </w:r>
      <w:r>
        <w:rPr>
          <w:rFonts w:ascii="Times New Roman" w:cs="Times New Roman" w:eastAsia="Times New Roman" w:hAnsi="Times New Roman"/>
          <w:sz w:val="22"/>
          <w:szCs w:val="22"/>
          <w:color w:val="auto"/>
        </w:rPr>
        <w:t>”) is required to make a payment to another party (the “</w:t>
      </w:r>
      <w:r>
        <w:rPr>
          <w:rFonts w:ascii="Times New Roman" w:cs="Times New Roman" w:eastAsia="Times New Roman" w:hAnsi="Times New Roman"/>
          <w:sz w:val="22"/>
          <w:szCs w:val="22"/>
          <w:b w:val="1"/>
          <w:bCs w:val="1"/>
          <w:color w:val="auto"/>
        </w:rPr>
        <w:t>Owed Party</w:t>
      </w:r>
      <w:r>
        <w:rPr>
          <w:rFonts w:ascii="Times New Roman" w:cs="Times New Roman" w:eastAsia="Times New Roman" w:hAnsi="Times New Roman"/>
          <w:sz w:val="22"/>
          <w:szCs w:val="22"/>
          <w:color w:val="auto"/>
        </w:rPr>
        <w:t>”) pursuant to this Agreement, then such payments shall be made according to this Section 7.05.</w:t>
      </w:r>
    </w:p>
    <w:p>
      <w:pPr>
        <w:spacing w:after="0" w:line="171" w:lineRule="exact"/>
        <w:rPr>
          <w:sz w:val="20"/>
          <w:szCs w:val="20"/>
          <w:color w:val="auto"/>
        </w:rPr>
      </w:pPr>
    </w:p>
    <w:p>
      <w:pPr>
        <w:ind w:right="200" w:firstLine="1952"/>
        <w:spacing w:after="0" w:line="239" w:lineRule="auto"/>
        <w:tabs>
          <w:tab w:leader="none" w:pos="24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All payments shall be made to the Owed Party or to the appropriate Taxing Authority as specified by the Owed Party within the time prescribed for payment in this Agreement, or if no period is prescribed, within thirty (30) Business Days after delivery of written notice of payment owing together with a computation of the amounts due.</w:t>
      </w:r>
    </w:p>
    <w:p>
      <w:pPr>
        <w:spacing w:after="0" w:line="180" w:lineRule="exact"/>
        <w:rPr>
          <w:rFonts w:ascii="Times New Roman" w:cs="Times New Roman" w:eastAsia="Times New Roman" w:hAnsi="Times New Roman"/>
          <w:sz w:val="22"/>
          <w:szCs w:val="22"/>
          <w:color w:val="auto"/>
        </w:rPr>
      </w:pPr>
    </w:p>
    <w:p>
      <w:pPr>
        <w:ind w:right="220" w:firstLine="1952"/>
        <w:spacing w:after="0" w:line="258" w:lineRule="auto"/>
        <w:tabs>
          <w:tab w:leader="none" w:pos="24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Payments</w:t>
      </w:r>
      <w:r>
        <w:rPr>
          <w:rFonts w:ascii="Times New Roman" w:cs="Times New Roman" w:eastAsia="Times New Roman" w:hAnsi="Times New Roman"/>
          <w:sz w:val="22"/>
          <w:szCs w:val="22"/>
          <w:color w:val="auto"/>
        </w:rPr>
        <w:t>. Unless otherwise required by any Final Determination, the parties agree that any payments made by one party to another party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5" w:name="page66"/>
    <w:bookmarkEnd w:id="65"/>
    <w:p>
      <w:pPr>
        <w:spacing w:after="0" w:line="251" w:lineRule="auto"/>
        <w:rPr>
          <w:sz w:val="20"/>
          <w:szCs w:val="20"/>
          <w:color w:val="auto"/>
        </w:rPr>
      </w:pPr>
      <w:r>
        <w:rPr>
          <w:rFonts w:ascii="Times New Roman" w:cs="Times New Roman" w:eastAsia="Times New Roman" w:hAnsi="Times New Roman"/>
          <w:sz w:val="21"/>
          <w:szCs w:val="21"/>
          <w:color w:val="auto"/>
        </w:rPr>
        <w:t>to this Agreement (other than (i) payments in respect of the Mobileye Separate Tax Liability for any Post-Deconsolidation Period, (ii) payments of interest pursuant to Section 7.05(e) of this Agreement, and (iii) payments of After Tax Amounts pursuant to Section 7.05(d) of this Agreement) shall be treated for all Tax and financial accounting purposes as nontaxable payments (dividend distributions or capital contributions, as the case may be) and accordingly, as not includible in the taxable income of the recipient or as deductible by the payor.</w:t>
      </w:r>
    </w:p>
    <w:p>
      <w:pPr>
        <w:spacing w:after="0" w:line="168" w:lineRule="exact"/>
        <w:rPr>
          <w:sz w:val="20"/>
          <w:szCs w:val="20"/>
          <w:color w:val="auto"/>
        </w:rPr>
      </w:pPr>
    </w:p>
    <w:p>
      <w:pPr>
        <w:ind w:firstLine="1952"/>
        <w:spacing w:after="0" w:line="244" w:lineRule="auto"/>
        <w:tabs>
          <w:tab w:leader="none" w:pos="24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Prompt Performance</w:t>
      </w:r>
      <w:r>
        <w:rPr>
          <w:rFonts w:ascii="Times New Roman" w:cs="Times New Roman" w:eastAsia="Times New Roman" w:hAnsi="Times New Roman"/>
          <w:sz w:val="22"/>
          <w:szCs w:val="22"/>
          <w:color w:val="auto"/>
        </w:rPr>
        <w:t>. All actions required to be taken (including payments) by any party under this Agreement shall be performed within the time prescribed for performance in this Agreement, or if no period is prescribed, such actions shall be performed promptly.</w:t>
      </w:r>
    </w:p>
    <w:p>
      <w:pPr>
        <w:spacing w:after="0" w:line="173" w:lineRule="exact"/>
        <w:rPr>
          <w:rFonts w:ascii="Times New Roman" w:cs="Times New Roman" w:eastAsia="Times New Roman" w:hAnsi="Times New Roman"/>
          <w:sz w:val="22"/>
          <w:szCs w:val="22"/>
          <w:color w:val="auto"/>
        </w:rPr>
      </w:pPr>
    </w:p>
    <w:p>
      <w:pPr>
        <w:ind w:right="20" w:firstLine="1952"/>
        <w:spacing w:after="0" w:line="233" w:lineRule="auto"/>
        <w:tabs>
          <w:tab w:leader="none" w:pos="24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After Tax Amounts</w:t>
      </w:r>
      <w:r>
        <w:rPr>
          <w:rFonts w:ascii="Times New Roman" w:cs="Times New Roman" w:eastAsia="Times New Roman" w:hAnsi="Times New Roman"/>
          <w:sz w:val="22"/>
          <w:szCs w:val="22"/>
          <w:color w:val="auto"/>
        </w:rPr>
        <w:t>. If, pursuant to a Final Determination, it is determined that the receipt or accrual of any payment made under this Agreement (other than payments of interest pursuant to Section 7.05(e) of this Agreement) is subject to any Tax, the party making such payment shall be liable for (a) the After Tax Amount with respect to such payment and (b) interest at the rate described in Section 7.05(e) of this Agreement on the amount of such Tax from the date such Tax accrues through the date of payment of such After Tax Amount. A party making a demand for a payment pursuant to this Agreement and for a payment of an After Tax Amount with respect to such payment shall separately specify and compute such After Tax Amount. However, a party may choose not to specify an After Tax Amount in a demand for payment pursuant to this Agreement without thereby being deemed to have waived its right subsequently to demand an After Tax Amount with respect to such payment. Mobileye’s liability for any and all payments of the Mobileye Separate Tax Liability for any Post-Deconsolidation Period shall be increased by the After Tax Amount with respect to such payment and decreased by the corresponding Tax Benefit, if any, attributable to such Mobileye Separate Tax Liability.</w:t>
      </w:r>
    </w:p>
    <w:p>
      <w:pPr>
        <w:spacing w:after="0" w:line="182" w:lineRule="exact"/>
        <w:rPr>
          <w:rFonts w:ascii="Times New Roman" w:cs="Times New Roman" w:eastAsia="Times New Roman" w:hAnsi="Times New Roman"/>
          <w:sz w:val="22"/>
          <w:szCs w:val="22"/>
          <w:color w:val="auto"/>
        </w:rPr>
      </w:pPr>
    </w:p>
    <w:p>
      <w:pPr>
        <w:ind w:firstLine="1952"/>
        <w:spacing w:after="0" w:line="236" w:lineRule="auto"/>
        <w:tabs>
          <w:tab w:leader="none" w:pos="24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Payments pursuant to this Agreement that are not made within the period prescribed in this Agreement (the “</w:t>
      </w:r>
      <w:r>
        <w:rPr>
          <w:rFonts w:ascii="Times New Roman" w:cs="Times New Roman" w:eastAsia="Times New Roman" w:hAnsi="Times New Roman"/>
          <w:sz w:val="22"/>
          <w:szCs w:val="22"/>
          <w:b w:val="1"/>
          <w:bCs w:val="1"/>
          <w:color w:val="auto"/>
        </w:rPr>
        <w:t>Payment Period</w:t>
      </w:r>
      <w:r>
        <w:rPr>
          <w:rFonts w:ascii="Times New Roman" w:cs="Times New Roman" w:eastAsia="Times New Roman" w:hAnsi="Times New Roman"/>
          <w:sz w:val="22"/>
          <w:szCs w:val="22"/>
          <w:color w:val="auto"/>
        </w:rPr>
        <w:t xml:space="preserve">”) shall bear interest for the period from and including the date immediately following the last date of the Payment Period through and including the date of payment at a per annum rate equal to the prime rate as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on the last day of such Payment Period. Such interest will be payable at the same time as the payment to which it relates and shall be calculated on the basis of a year of three hundred sixty-five (365) days and the actual number of days for which due.</w:t>
      </w:r>
    </w:p>
    <w:p>
      <w:pPr>
        <w:spacing w:after="0" w:line="17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Tax Proceedings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6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Except as otherwise provided in this Agreement, Intel shall have the exclusive right, in its sole discretion, to control, contest, and represent the interests of Intel, any Intel Affiliate, Mobileye, and/or any Mobileye Affiliate in any Audit and to resolve, settle or agree to any deficiency, claim or adjustment proposed, asserted or assessed in connection with or as a result of any such Audit;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Intel shall not settle any Audit to the extent relating to Taxes described in Section 3.01(b) or (c) without obtaining Mobileye’s consent (which consent shall not be unreasonably withheld, conditioned or delayed), and (ii) Mobileye shall have the right (at its sole expense) to participate in the defense of any Audit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66" w:name="page67"/>
    <w:bookmarkEnd w:id="66"/>
    <w:p>
      <w:pPr>
        <w:ind w:right="20"/>
        <w:spacing w:after="0" w:line="239" w:lineRule="auto"/>
        <w:rPr>
          <w:sz w:val="20"/>
          <w:szCs w:val="20"/>
          <w:color w:val="auto"/>
        </w:rPr>
      </w:pPr>
      <w:r>
        <w:rPr>
          <w:rFonts w:ascii="Times New Roman" w:cs="Times New Roman" w:eastAsia="Times New Roman" w:hAnsi="Times New Roman"/>
          <w:sz w:val="22"/>
          <w:szCs w:val="22"/>
          <w:color w:val="auto"/>
        </w:rPr>
        <w:t>relating to Taxes described in Section 3.01(b) or (c). Intel’s rights pursuant to this Section 8.01 shall extend to any matter pertaining to the management and control of an Audit, including execution of waivers, choice of forum, scheduling of conferences and the resolution of any Tax Item. Any costs incurred in handling, settling, or contesting an Audit to the extent relating to Taxes described in Section 3.01 shall be borne by Mobileye.</w:t>
      </w:r>
    </w:p>
    <w:p>
      <w:pPr>
        <w:spacing w:after="0" w:line="180" w:lineRule="exact"/>
        <w:rPr>
          <w:sz w:val="20"/>
          <w:szCs w:val="20"/>
          <w:color w:val="auto"/>
        </w:rPr>
      </w:pPr>
    </w:p>
    <w:p>
      <w:pPr>
        <w:ind w:right="14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Within ten (10) Business Days after a party becomes aware of the existence of a Tax issue that may give rise to an indemnification obligation under this Agreement, such party shall give prompt notice to the other party of such issue (such notice shall contain factual information, to the extent known, describing any asserted Tax liability in reasonable detail), and shall promptly forward to the other party copies of all notices and material communications with any Taxing Authority relating to such issue. Notwithstanding any provision in Section 9.15 of this Agreement to the contrary, if a party to this Agreement fails to provide the other party notice as required by this Section 8.02, and the failure results in a detriment to the other party then any amount which the other party is otherwise required to pay pursuant to this Agreement shall be reduced by the amount of such detriment.</w:t>
      </w:r>
    </w:p>
    <w:p>
      <w:pPr>
        <w:spacing w:after="0" w:line="18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8.03. </w:t>
      </w:r>
      <w:r>
        <w:rPr>
          <w:rFonts w:ascii="Times New Roman" w:cs="Times New Roman" w:eastAsia="Times New Roman" w:hAnsi="Times New Roman"/>
          <w:sz w:val="21"/>
          <w:szCs w:val="21"/>
          <w:u w:val="single" w:color="auto"/>
          <w:color w:val="auto"/>
        </w:rPr>
        <w:t>Control of Distribution Tax Proceedings</w:t>
      </w:r>
      <w:r>
        <w:rPr>
          <w:rFonts w:ascii="Times New Roman" w:cs="Times New Roman" w:eastAsia="Times New Roman" w:hAnsi="Times New Roman"/>
          <w:sz w:val="21"/>
          <w:szCs w:val="21"/>
          <w:color w:val="auto"/>
        </w:rPr>
        <w:t>. In the event of a Distribution, Intel shall have the exclusive right, in its sole discretion, to control, contest, and represent the interests of Intel, any Intel Affiliate, Mobileye, and/or any Mobileye Affiliate in any Audits relating to Distribution Taxes and to resolve, settle or agree to any deficiency, claim or adjustment proposed, asserted or assessed in connection with or as a result of any such Audit; provided, however, that (i) Mobileye shall be entitled to participate in any such Audit, at its own costs and expenses, to the extent Mobileye or any Mobileye Affiliate would reasonably be expected to bear any material Distribution Taxes, and (ii) Intel shall not settle any such Audit with respect to Distribution Taxes with a Taxing Authority that would reasonably be expected to result in a material Tax cost to Mobileye or any Mobileye Affiliate, without the prior consent of Mobileye (which consent shall not be unreasonably withheld, conditioned or delayed). Intel’s rights shall extend to any matter pertaining to the management and control of such Audit, including execution of waivers, choice of forum, scheduling of conferences and the resolution of any Tax Item.</w:t>
      </w:r>
    </w:p>
    <w:p>
      <w:pPr>
        <w:spacing w:after="0" w:line="17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9.01.</w:t>
      </w:r>
      <w:r>
        <w:rPr>
          <w:sz w:val="20"/>
          <w:szCs w:val="20"/>
          <w:color w:val="auto"/>
        </w:rPr>
        <w:tab/>
      </w:r>
      <w:r>
        <w:rPr>
          <w:rFonts w:ascii="Times New Roman" w:cs="Times New Roman" w:eastAsia="Times New Roman" w:hAnsi="Times New Roman"/>
          <w:sz w:val="21"/>
          <w:szCs w:val="21"/>
          <w:u w:val="single" w:color="auto"/>
          <w:color w:val="auto"/>
        </w:rPr>
        <w:t>Effectiveness</w:t>
      </w:r>
      <w:r>
        <w:rPr>
          <w:rFonts w:ascii="Times New Roman" w:cs="Times New Roman" w:eastAsia="Times New Roman" w:hAnsi="Times New Roman"/>
          <w:sz w:val="21"/>
          <w:szCs w:val="21"/>
          <w:color w:val="auto"/>
        </w:rPr>
        <w:t>. This Agreement shall be treated as effective as of October 25, 2022.</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9.02.</w:t>
      </w:r>
      <w:r>
        <w:rPr>
          <w:sz w:val="20"/>
          <w:szCs w:val="20"/>
          <w:color w:val="auto"/>
        </w:rPr>
        <w:tab/>
      </w:r>
      <w:r>
        <w:rPr>
          <w:rFonts w:ascii="Times New Roman" w:cs="Times New Roman" w:eastAsia="Times New Roman" w:hAnsi="Times New Roman"/>
          <w:sz w:val="21"/>
          <w:szCs w:val="21"/>
          <w:u w:val="single" w:color="auto"/>
          <w:color w:val="auto"/>
        </w:rPr>
        <w:t>Cooperation and Exchange of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60" w:firstLine="1952"/>
        <w:spacing w:after="0" w:line="238" w:lineRule="auto"/>
        <w:tabs>
          <w:tab w:leader="none" w:pos="246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Mobileye and Intel shall each cooperate fully (and each shall cause its respective affiliates to cooperate fully) with all reasonable requests from another party for information and materials not otherwise available to the requesting party in connection with the preparation and filing of Tax Returns, claims for refund, and Audits concerning issues or other matters covered by this Agreement or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determination of a liability for Taxes or a right to a refund of Taxes. Such cooperation shall include:</w:t>
      </w:r>
    </w:p>
    <w:p>
      <w:pPr>
        <w:spacing w:after="0" w:line="206" w:lineRule="exact"/>
        <w:rPr>
          <w:sz w:val="20"/>
          <w:szCs w:val="20"/>
          <w:color w:val="auto"/>
        </w:rPr>
      </w:pPr>
    </w:p>
    <w:p>
      <w:pPr>
        <w:ind w:left="660" w:right="200" w:firstLine="1940"/>
        <w:spacing w:after="0" w:line="238" w:lineRule="auto"/>
        <w:tabs>
          <w:tab w:leader="none" w:pos="309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retention until the expiration of the applicable statute of limitations, and the provision upon request, of copies of all Tax Returns, books, records (including information regarding ownership and Tax basis of property), documentation and other information relating to the Tax Returns, including accompanying schedules, related work papers, and documents relating to rulings or other determinations by Taxing Authorities;</w:t>
      </w:r>
    </w:p>
    <w:p>
      <w:pPr>
        <w:spacing w:after="0" w:line="176" w:lineRule="exact"/>
        <w:rPr>
          <w:rFonts w:ascii="Times New Roman" w:cs="Times New Roman" w:eastAsia="Times New Roman" w:hAnsi="Times New Roman"/>
          <w:sz w:val="22"/>
          <w:szCs w:val="22"/>
          <w:color w:val="auto"/>
        </w:rPr>
      </w:pPr>
    </w:p>
    <w:p>
      <w:pPr>
        <w:ind w:left="660" w:right="20" w:firstLine="1940"/>
        <w:spacing w:after="0" w:line="239" w:lineRule="auto"/>
        <w:tabs>
          <w:tab w:leader="none" w:pos="309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any document that may be necessary or reasonably helpful in connection with any Tax Proceeding, or the filing of a Tax Return or refund claim by a member of the Intel Group or the Mobileye Group, including certification, to the best of a party’s knowledge, of the accuracy and completeness of the information it has supplied; and</w:t>
      </w:r>
    </w:p>
    <w:p>
      <w:pPr>
        <w:spacing w:after="0" w:line="180" w:lineRule="exact"/>
        <w:rPr>
          <w:rFonts w:ascii="Times New Roman" w:cs="Times New Roman" w:eastAsia="Times New Roman" w:hAnsi="Times New Roman"/>
          <w:sz w:val="22"/>
          <w:szCs w:val="22"/>
          <w:color w:val="auto"/>
        </w:rPr>
      </w:pPr>
    </w:p>
    <w:p>
      <w:pPr>
        <w:ind w:left="660" w:right="40" w:firstLine="1940"/>
        <w:spacing w:after="0" w:line="239" w:lineRule="auto"/>
        <w:tabs>
          <w:tab w:leader="none" w:pos="309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party’s reasonable best efforts to obtain any documentation­ that may be necessary or reasonably helpful in connection with any of the foregoing. Each party shall make its employees and facilities available on a reasonable and mutually convenient basis in connection with the foregoing matters.</w:t>
      </w:r>
    </w:p>
    <w:p>
      <w:pPr>
        <w:spacing w:after="0" w:line="180" w:lineRule="exact"/>
        <w:rPr>
          <w:rFonts w:ascii="Times New Roman" w:cs="Times New Roman" w:eastAsia="Times New Roman" w:hAnsi="Times New Roman"/>
          <w:sz w:val="22"/>
          <w:szCs w:val="22"/>
          <w:color w:val="auto"/>
        </w:rPr>
      </w:pPr>
    </w:p>
    <w:p>
      <w:pPr>
        <w:ind w:right="20" w:firstLine="1952"/>
        <w:spacing w:after="0" w:line="234" w:lineRule="auto"/>
        <w:tabs>
          <w:tab w:leader="none" w:pos="246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of Records</w:t>
      </w:r>
      <w:r>
        <w:rPr>
          <w:rFonts w:ascii="Times New Roman" w:cs="Times New Roman" w:eastAsia="Times New Roman" w:hAnsi="Times New Roman"/>
          <w:sz w:val="22"/>
          <w:szCs w:val="22"/>
          <w:color w:val="auto"/>
        </w:rPr>
        <w:t>. Any party that is in possession of documentation of Intel (or any Intel Affiliate) or Mobileye (or any Mobileye Affiliate) relating to the Mobileye Business, including books, records, Tax Returns and all supporting schedules and information relating thereto (the “</w:t>
      </w:r>
      <w:r>
        <w:rPr>
          <w:rFonts w:ascii="Times New Roman" w:cs="Times New Roman" w:eastAsia="Times New Roman" w:hAnsi="Times New Roman"/>
          <w:sz w:val="22"/>
          <w:szCs w:val="22"/>
          <w:b w:val="1"/>
          <w:bCs w:val="1"/>
          <w:color w:val="auto"/>
        </w:rPr>
        <w:t>Mobileye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shall retain such Mobileye Business Records for a period of seven (7) years following the IPO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Thereafter, any party wishing to dispose of Mobileye Business Records in its possession (after the expiration of the applicable statute of limitations), shall provide written notice to the other party describing the documentation proposed to be destroyed or disposed of sixty (60) Business Days prior to taking such action. The other party may arrange to take delivery of any or all of the documentation described in the notice at its expense during the succeeding sixty (60) day period.</w:t>
      </w:r>
    </w:p>
    <w:p>
      <w:pPr>
        <w:spacing w:after="0" w:line="183"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9.03. </w:t>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In the event that Intel and Mobileye disagree as to the amount or calculation of any payment to be made under this Agreement, or the interpretation or application of any provision under this Agreement, the parties shall attempt in good faith to resolve such dispute. If such dispute is not resolved within sixty (60) Business Days following the commencement­ of the dispute, Intel and Mobileye shall jointly retain a mutually agreed nationally recognized law or accounting firm (the “</w:t>
      </w:r>
      <w:r>
        <w:rPr>
          <w:rFonts w:ascii="Times New Roman" w:cs="Times New Roman" w:eastAsia="Times New Roman" w:hAnsi="Times New Roman"/>
          <w:sz w:val="21"/>
          <w:szCs w:val="21"/>
          <w:b w:val="1"/>
          <w:bCs w:val="1"/>
          <w:color w:val="auto"/>
        </w:rPr>
        <w:t>Dispute Firm</w:t>
      </w:r>
      <w:r>
        <w:rPr>
          <w:rFonts w:ascii="Times New Roman" w:cs="Times New Roman" w:eastAsia="Times New Roman" w:hAnsi="Times New Roman"/>
          <w:sz w:val="21"/>
          <w:szCs w:val="21"/>
          <w:color w:val="auto"/>
        </w:rPr>
        <w:t>”), to resolve the dispute. The Dispute Firm shall act as an arbitrator to resolve all points of disagreement and its decision shall be final and binding upon all parties involved. Following the decision of the Dispute Firm, Intel and Mobileye shall each take or cause to be taken any action necessary to implement the decision of the Dispute Firm. The fees and expenses relating to the Dispute Firm shall be borne equally by Intel and Mobileye, except that if the Dispute Firm determines that the position advanced by either party is frivolous, has not been asserted in good faith or for which there is not substantial authority, one hundred percent (100%) of the fees and expenses of the Dispute Firm shall be borne by such party. Notwithstanding anything in this Agreement to the contrary,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8" w:name="page69"/>
    <w:bookmarkEnd w:id="68"/>
    <w:p>
      <w:pPr>
        <w:ind w:right="80"/>
        <w:spacing w:after="0" w:line="244" w:lineRule="auto"/>
        <w:rPr>
          <w:sz w:val="20"/>
          <w:szCs w:val="20"/>
          <w:color w:val="auto"/>
        </w:rPr>
      </w:pPr>
      <w:r>
        <w:rPr>
          <w:rFonts w:ascii="Times New Roman" w:cs="Times New Roman" w:eastAsia="Times New Roman" w:hAnsi="Times New Roman"/>
          <w:sz w:val="22"/>
          <w:szCs w:val="22"/>
          <w:color w:val="auto"/>
        </w:rPr>
        <w:t>resolution provisions set forth in this Section 9.03 shall not be applicable to any disagreement between the parties relating to Distribution Taxes and any such dispute shall be settled in a court of law or as otherwise agreed to by the parties.</w:t>
      </w:r>
    </w:p>
    <w:p>
      <w:pPr>
        <w:spacing w:after="0" w:line="173"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9.04.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 .tif, .gif, .jpg or similar attachment. All notices and other communications must also be sent by email. All notices and other communications hereunder shall be delivered to the addresses set forth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Intel, to:</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Intel Corporation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2200 Mission College Boulevard</w:t>
      </w:r>
    </w:p>
    <w:p>
      <w:pPr>
        <w:ind w:left="1960"/>
        <w:spacing w:after="0" w:line="230" w:lineRule="auto"/>
        <w:rPr>
          <w:sz w:val="20"/>
          <w:szCs w:val="20"/>
          <w:color w:val="auto"/>
        </w:rPr>
      </w:pPr>
      <w:r>
        <w:rPr>
          <w:rFonts w:ascii="Times New Roman" w:cs="Times New Roman" w:eastAsia="Times New Roman" w:hAnsi="Times New Roman"/>
          <w:sz w:val="22"/>
          <w:szCs w:val="22"/>
          <w:color w:val="auto"/>
        </w:rPr>
        <w:t>Santa Clara, California 95054</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960"/>
        <w:spacing w:after="0"/>
        <w:rPr>
          <w:sz w:val="20"/>
          <w:szCs w:val="20"/>
          <w:color w:val="auto"/>
        </w:rPr>
      </w:pPr>
      <w:r>
        <w:rPr>
          <w:rFonts w:ascii="Times New Roman" w:cs="Times New Roman" w:eastAsia="Times New Roman" w:hAnsi="Times New Roman"/>
          <w:sz w:val="22"/>
          <w:szCs w:val="22"/>
          <w:color w:val="auto"/>
        </w:rPr>
        <w:t>Email: MA_LegalNotice@intel.com</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Mobileye, to:</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Mobileye B.V.</w:t>
      </w:r>
    </w:p>
    <w:p>
      <w:pPr>
        <w:ind w:left="1960"/>
        <w:spacing w:after="0" w:line="230" w:lineRule="auto"/>
        <w:rPr>
          <w:sz w:val="20"/>
          <w:szCs w:val="20"/>
          <w:color w:val="auto"/>
        </w:rPr>
      </w:pPr>
      <w:r>
        <w:rPr>
          <w:rFonts w:ascii="Times New Roman" w:cs="Times New Roman" w:eastAsia="Times New Roman" w:hAnsi="Times New Roman"/>
          <w:sz w:val="22"/>
          <w:szCs w:val="22"/>
          <w:color w:val="auto"/>
        </w:rPr>
        <w:t>Har Hotzvim, 13 Hartom Street</w:t>
      </w:r>
    </w:p>
    <w:p>
      <w:pPr>
        <w:ind w:left="1960"/>
        <w:spacing w:after="0" w:line="231" w:lineRule="auto"/>
        <w:rPr>
          <w:sz w:val="20"/>
          <w:szCs w:val="20"/>
          <w:color w:val="auto"/>
        </w:rPr>
      </w:pPr>
      <w:r>
        <w:rPr>
          <w:rFonts w:ascii="Times New Roman" w:cs="Times New Roman" w:eastAsia="Times New Roman" w:hAnsi="Times New Roman"/>
          <w:sz w:val="22"/>
          <w:szCs w:val="22"/>
          <w:color w:val="auto"/>
        </w:rPr>
        <w:t>P.O. Box 45157 Jerusalem 9777513, Israel</w:t>
      </w:r>
    </w:p>
    <w:p>
      <w:pPr>
        <w:ind w:left="196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legal@mobileye.com</w:t>
      </w:r>
    </w:p>
    <w:p>
      <w:pPr>
        <w:spacing w:after="0" w:line="74"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Either party may, by written notice to the other parties, change the address or the party to which any notice, request, instruction or other documents is to be delivered.</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9.05.</w:t>
      </w:r>
      <w:r>
        <w:rPr>
          <w:sz w:val="20"/>
          <w:szCs w:val="20"/>
          <w:color w:val="auto"/>
        </w:rPr>
        <w:tab/>
      </w:r>
      <w:r>
        <w:rPr>
          <w:rFonts w:ascii="Times New Roman" w:cs="Times New Roman" w:eastAsia="Times New Roman" w:hAnsi="Times New Roman"/>
          <w:sz w:val="21"/>
          <w:szCs w:val="21"/>
          <w:u w:val="single" w:color="auto"/>
          <w:color w:val="auto"/>
        </w:rPr>
        <w:t>Changes in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952"/>
        <w:spacing w:after="0" w:line="258" w:lineRule="auto"/>
        <w:tabs>
          <w:tab w:leader="none" w:pos="246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provision of the Code or a law of another jurisdiction shall include a reference to any applicable successor provision or law.</w:t>
      </w:r>
    </w:p>
    <w:p>
      <w:pPr>
        <w:spacing w:after="0" w:line="158" w:lineRule="exact"/>
        <w:rPr>
          <w:rFonts w:ascii="Times New Roman" w:cs="Times New Roman" w:eastAsia="Times New Roman" w:hAnsi="Times New Roman"/>
          <w:sz w:val="22"/>
          <w:szCs w:val="22"/>
          <w:color w:val="auto"/>
        </w:rPr>
      </w:pPr>
    </w:p>
    <w:p>
      <w:pPr>
        <w:ind w:firstLine="1952"/>
        <w:spacing w:after="0" w:line="238" w:lineRule="auto"/>
        <w:tabs>
          <w:tab w:leader="none" w:pos="246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due to any change in applicable law or regulations or their interpretation by any court of law or other governing body having jurisdiction subsequent to the date of this Agreement, performance of any provision of this Agreement or any transaction contemplated thereby shall become impracticable or impossible, the parties hereto shall use their commercially reasonable efforts to find and employ an alternative means to achieve the same or substantially the same result as that contemplated by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69" w:name="page70"/>
    <w:bookmarkEnd w:id="69"/>
    <w:p>
      <w:pPr>
        <w:ind w:right="6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9.06.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party shall hold and cause its directors, officers, employees, advisors and consultants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it by such other party or its representatives pursuant to this Agreement (except to the extent that such information can be shown to have been (1) in the public domain through no fault of such party or (2) later lawfully acquired from other sources not under a duty of confidentiality by the party to which it was furnished), and each party shall not release or disclose such information to any other person, except its directors, officers, employees, auditors, attorneys, financial advisors, bankers and other consultants who shall be advised of and agree to be bound by the provisions of this Section 9.06. Each party shall be deemed to have satisfied its obligation to hold confidential information concerning or supplied by the other party if it exercises the same care as it takes to preserve confidentiality for its own similar information.</w:t>
      </w:r>
    </w:p>
    <w:p>
      <w:pPr>
        <w:spacing w:after="0" w:line="185" w:lineRule="exact"/>
        <w:rPr>
          <w:sz w:val="20"/>
          <w:szCs w:val="20"/>
          <w:color w:val="auto"/>
        </w:rPr>
      </w:pPr>
    </w:p>
    <w:p>
      <w:pPr>
        <w:jc w:val="both"/>
        <w:ind w:righ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9.07.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on and inure to the benefit and detriment of any successor, by merger, acquisition of assets or otherwise, to any of the parties hereto, to the same extent as if such successor had been an original party.</w:t>
      </w:r>
    </w:p>
    <w:p>
      <w:pPr>
        <w:spacing w:after="0" w:line="17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9.08.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This Agreement is being entered into between Intel and Mobileye on behalf of themselves and any current and future Intel Affiliates and Mobileye Affiliates, respectively. Intel shall cause to be performed, and hereby guarantees the performance­ of, all actions, agreements and obligations set forth herein to be performed by any current and future Intel Affiliate, and Mobileye shall cause to be performed, and hereby guarantees the performance of, all actions, agreements and obligations set forth herein to be performed by any current and future Mobileye Affiliate.</w:t>
      </w:r>
    </w:p>
    <w:p>
      <w:pPr>
        <w:spacing w:after="0" w:line="181"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9.09. </w:t>
      </w:r>
      <w:r>
        <w:rPr>
          <w:rFonts w:ascii="Times New Roman" w:cs="Times New Roman" w:eastAsia="Times New Roman" w:hAnsi="Times New Roman"/>
          <w:sz w:val="22"/>
          <w:szCs w:val="22"/>
          <w:u w:val="single" w:color="auto"/>
          <w:color w:val="auto"/>
        </w:rPr>
        <w:t>Authorization, Etc.</w:t>
      </w:r>
      <w:r>
        <w:rPr>
          <w:rFonts w:ascii="Times New Roman" w:cs="Times New Roman" w:eastAsia="Times New Roman" w:hAnsi="Times New Roman"/>
          <w:sz w:val="22"/>
          <w:szCs w:val="22"/>
          <w:color w:val="auto"/>
        </w:rPr>
        <w:t xml:space="preserve"> Each of the parties hereto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agreement, instrument or order binding on such party.</w:t>
      </w:r>
    </w:p>
    <w:p>
      <w:pPr>
        <w:spacing w:after="0" w:line="181" w:lineRule="exact"/>
        <w:rPr>
          <w:sz w:val="20"/>
          <w:szCs w:val="20"/>
          <w:color w:val="auto"/>
        </w:rPr>
      </w:pPr>
    </w:p>
    <w:p>
      <w:pPr>
        <w:ind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among the parties hereto with respect to the subject matter hereof and supersedes any prior tax sharing agreements between Intel (or any Intel Affiliate) and Mobileye (or any Mobileye Affiliate) and such prior tax sharing agreements shall have no further force and effect. If, and to the extent, the provisions of this Agreement conflict with any agreement entered into in connection with a Distribution or another Deconsolidation Event, the provisions of this Agreement shall control.</w:t>
      </w:r>
    </w:p>
    <w:p>
      <w:pPr>
        <w:spacing w:after="0" w:line="181" w:lineRule="exact"/>
        <w:rPr>
          <w:sz w:val="20"/>
          <w:szCs w:val="20"/>
          <w:color w:val="auto"/>
        </w:rPr>
      </w:pPr>
    </w:p>
    <w:p>
      <w:pPr>
        <w:ind w:right="6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EACH OF THE PARTIES TO THIS AGREEMENT HEREBY IRREVOCABLY AND UNCONDITIONALLY (i) AGREES THAT THIS AGREEMENT SHALL BE CONSTRUED IN ACCORDANCE WITH AND ALL DISPUTES, CONTROVERSIES OR CLAIMS ARISING OUT OF OR RELATING TO THIS AGREEMENT OR THE BREACH, TERMINATION OR VALIDITY HEREOF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70" w:name="page71"/>
    <w:bookmarkEnd w:id="70"/>
    <w:p>
      <w:pPr>
        <w:ind w:right="20"/>
        <w:spacing w:after="0" w:line="244" w:lineRule="auto"/>
        <w:rPr>
          <w:sz w:val="20"/>
          <w:szCs w:val="20"/>
          <w:color w:val="auto"/>
        </w:rPr>
      </w:pPr>
      <w:r>
        <w:rPr>
          <w:rFonts w:ascii="Times New Roman" w:cs="Times New Roman" w:eastAsia="Times New Roman" w:hAnsi="Times New Roman"/>
          <w:sz w:val="21"/>
          <w:szCs w:val="21"/>
          <w:color w:val="auto"/>
        </w:rPr>
        <w:t>GOVERNED BY THE LAWS OF THE STATE OF DELAWARE, EXCLUDING ANY CONFLICTS OF LAW RULES, (ii) TO BE SUBJECT TO, AND HEREBY CONSENTS AND SUBMITS TO, THE JURISDICTION OF THE COURTS OF THE STATE OF DELAWARE AND OF THE FEDERAL COURTS SITTING IN THE STATE OF DELAWARE, (iii) TO THE EXTENT SUCH PARTY IS NOT OTHERWISE SUBJECT TO SERVICE OF PROCESS IN THE STATE OF DELAWARE HEREBY APPOINTS THE CORPORATION TRUST COMPANY, AS SUCH PARTY’S AGENT IN THE STATE OF DELAWARE FOR ACCEPTANCE OF LEGAL PROCESS AND (iv) AGREES THAT SERVICE MADE ON ANY SUCH AGENT SET FORTH IN (iii)</w:t>
      </w:r>
    </w:p>
    <w:p>
      <w:pPr>
        <w:spacing w:after="0" w:line="6"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2"/>
          <w:szCs w:val="22"/>
          <w:color w:val="auto"/>
        </w:rPr>
        <w:t>ABOVE SHALL HAVE THE SAME LEGAL FORCE AND EFFECT AS IF SERVED UPON SUCH PARTY PERSONALLY WITHIN THE STATE OF DELAWARE.</w:t>
      </w:r>
    </w:p>
    <w:p>
      <w:pPr>
        <w:spacing w:after="0" w:line="178" w:lineRule="exact"/>
        <w:rPr>
          <w:sz w:val="20"/>
          <w:szCs w:val="20"/>
          <w:color w:val="auto"/>
        </w:rPr>
      </w:pPr>
    </w:p>
    <w:p>
      <w:pPr>
        <w:ind w:right="38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together shall constitute one and the same Agreement.</w:t>
      </w:r>
    </w:p>
    <w:p>
      <w:pPr>
        <w:spacing w:after="0" w:line="158"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(or an arbitrator or arbitration panel) to be invalid, void, or unenforceable, the remainder of the terms, provisions, covenants, and restrictions set forth herein shall remain in full force and effect, and shall in no way be affected, impaired, or invalidated. In the event that any such term, provision, covenant or restriction is held to be invalid, void or unenforceable, the parties hereto shall use their best efforts to find and employ an alternate means to achieve the same or substantially the same result as that contemplated by such terms, provisions, covenant, or restriction.</w:t>
      </w:r>
    </w:p>
    <w:p>
      <w:pPr>
        <w:spacing w:after="0" w:line="183" w:lineRule="exact"/>
        <w:rPr>
          <w:sz w:val="20"/>
          <w:szCs w:val="20"/>
          <w:color w:val="auto"/>
        </w:rPr>
      </w:pPr>
    </w:p>
    <w:p>
      <w:pPr>
        <w:ind w:right="34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This Agreement is solely for the benefit of Intel, the Intel Affiliates, Mobileye and the Mobileye Affiliates. This Agreement should not be deemed to confer upon third parties any remedy, claim, liability, reimbursement, cause of action or other rights in excess of those existing without this Agreement.</w:t>
      </w:r>
    </w:p>
    <w:p>
      <w:pPr>
        <w:spacing w:after="0" w:line="180" w:lineRule="exact"/>
        <w:rPr>
          <w:sz w:val="20"/>
          <w:szCs w:val="20"/>
          <w:color w:val="auto"/>
        </w:rPr>
      </w:pPr>
    </w:p>
    <w:p>
      <w:pPr>
        <w:ind w:right="4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9.15. </w:t>
      </w:r>
      <w:r>
        <w:rPr>
          <w:rFonts w:ascii="Times New Roman" w:cs="Times New Roman" w:eastAsia="Times New Roman" w:hAnsi="Times New Roman"/>
          <w:sz w:val="22"/>
          <w:szCs w:val="22"/>
          <w:u w:val="single" w:color="auto"/>
          <w:color w:val="auto"/>
        </w:rPr>
        <w:t>Waivers, Etc.</w:t>
      </w:r>
      <w:r>
        <w:rPr>
          <w:rFonts w:ascii="Times New Roman" w:cs="Times New Roman" w:eastAsia="Times New Roman" w:hAnsi="Times New Roman"/>
          <w:sz w:val="22"/>
          <w:szCs w:val="22"/>
          <w:color w:val="auto"/>
        </w:rPr>
        <w:t xml:space="preserve"> No failure or delay on the part of a party in exercising any power or right hereunder shall operate as a waiver thereof, nor shall any single or partial exercise of any such right or power, or any abandonment or discontinuance of steps to enforce such right or power, preclude any other or further exercise thereof or the exercise of any other right or power. No modification or waiver of any provision of this Agreement nor consent to any departure by the parties therefrom shall in any event be effective unless the same shall be in writing, and then such waiver or consent shall be effective only in the specific instance and for the purpose for which given.</w:t>
      </w:r>
    </w:p>
    <w:p>
      <w:pPr>
        <w:spacing w:after="0" w:line="183" w:lineRule="exact"/>
        <w:rPr>
          <w:sz w:val="20"/>
          <w:szCs w:val="20"/>
          <w:color w:val="auto"/>
        </w:rPr>
      </w:pPr>
    </w:p>
    <w:p>
      <w:pPr>
        <w:ind w:right="1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9.16.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All payments to be made by any party under this Agreement may be netted against payments due to such party under this Agreement, but otherwise shall be made without setoff, counterclaim or withholding, all of which are hereby expressly waived.</w:t>
      </w:r>
    </w:p>
    <w:p>
      <w:pPr>
        <w:spacing w:after="0" w:line="173" w:lineRule="exact"/>
        <w:rPr>
          <w:sz w:val="20"/>
          <w:szCs w:val="20"/>
          <w:color w:val="auto"/>
        </w:rPr>
      </w:pPr>
    </w:p>
    <w:p>
      <w:pPr>
        <w:ind w:right="3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9.17. </w:t>
      </w: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Mobileye recognizes that any failure by it or any Mobileye Affiliate to comply with its obligations under Section 5 of this Agreement would, in the event of a Distribution, result in Distribution Taxes that would cause irreparable harm to Intel, Intel Affiliates, and their stockholders. Accordingly, Intel shall be entitled to an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71" w:name="page72"/>
    <w:bookmarkEnd w:id="71"/>
    <w:p>
      <w:pPr>
        <w:ind w:right="240"/>
        <w:spacing w:after="0" w:line="258" w:lineRule="auto"/>
        <w:rPr>
          <w:sz w:val="20"/>
          <w:szCs w:val="20"/>
          <w:color w:val="auto"/>
        </w:rPr>
      </w:pPr>
      <w:r>
        <w:rPr>
          <w:rFonts w:ascii="Times New Roman" w:cs="Times New Roman" w:eastAsia="Times New Roman" w:hAnsi="Times New Roman"/>
          <w:sz w:val="22"/>
          <w:szCs w:val="22"/>
          <w:color w:val="auto"/>
        </w:rPr>
        <w:t>or injunctions to prevent breaches of this Agreement and to enforce specifically the terms and provisions of this Agreement, this being in addition to any other remedy to which Intel is entitled at law or in equity.</w:t>
      </w:r>
    </w:p>
    <w:p>
      <w:pPr>
        <w:spacing w:after="0" w:line="158" w:lineRule="exact"/>
        <w:rPr>
          <w:sz w:val="20"/>
          <w:szCs w:val="20"/>
          <w:color w:val="auto"/>
        </w:rPr>
      </w:pPr>
    </w:p>
    <w:p>
      <w:pPr>
        <w:ind w:right="114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9.18. </w:t>
      </w:r>
      <w:r>
        <w:rPr>
          <w:rFonts w:ascii="Times New Roman" w:cs="Times New Roman" w:eastAsia="Times New Roman" w:hAnsi="Times New Roman"/>
          <w:sz w:val="22"/>
          <w:szCs w:val="22"/>
          <w:u w:val="single" w:color="auto"/>
          <w:color w:val="auto"/>
        </w:rPr>
        <w:t>Amendment and Modification</w:t>
      </w:r>
      <w:r>
        <w:rPr>
          <w:rFonts w:ascii="Times New Roman" w:cs="Times New Roman" w:eastAsia="Times New Roman" w:hAnsi="Times New Roman"/>
          <w:sz w:val="22"/>
          <w:szCs w:val="22"/>
          <w:color w:val="auto"/>
        </w:rPr>
        <w:t>. This Agreement may be amended, modified or supplemented only by a written agreement signed by all of the parties hereto.</w:t>
      </w:r>
    </w:p>
    <w:p>
      <w:pPr>
        <w:spacing w:after="0" w:line="158" w:lineRule="exact"/>
        <w:rPr>
          <w:sz w:val="20"/>
          <w:szCs w:val="20"/>
          <w:color w:val="auto"/>
        </w:rPr>
      </w:pPr>
    </w:p>
    <w:p>
      <w:pPr>
        <w:ind w:right="1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9.19.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parties hereto irrevocably and unconditionally waives all right to trial by jury in any litigation, claim, action, suit, arbitration, inquiry, proceeding, investigation or counterclaim (whether based in contract, tort or otherwise) arising out of or relating to this Agreement or the actions of the parties hereto in the negotiation, administration, performance and enforcement thereof.</w:t>
      </w:r>
    </w:p>
    <w:p>
      <w:pPr>
        <w:spacing w:after="0" w:line="180"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9.20. </w:t>
      </w:r>
      <w:r>
        <w:rPr>
          <w:rFonts w:ascii="Times New Roman" w:cs="Times New Roman" w:eastAsia="Times New Roman" w:hAnsi="Times New Roman"/>
          <w:sz w:val="21"/>
          <w:szCs w:val="21"/>
          <w:u w:val="single" w:color="auto"/>
          <w:color w:val="auto"/>
        </w:rPr>
        <w:t>Interpretations</w:t>
      </w:r>
      <w:r>
        <w:rPr>
          <w:rFonts w:ascii="Times New Roman" w:cs="Times New Roman" w:eastAsia="Times New Roman" w:hAnsi="Times New Roman"/>
          <w:sz w:val="21"/>
          <w:szCs w:val="21"/>
          <w:color w:val="auto"/>
        </w:rPr>
        <w: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“herewith” and words of similar import shall, unless otherwise stated, be construed to refer to this Agreement as a whole and not to any particular provision of this Agreement, and “Section” references are to the sections of this Agreement unless otherwise specified. 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72" w:name="page73"/>
    <w:bookmarkEnd w:id="72"/>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Agreement to be executed by a duly authorized officer as of the date first above written.</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INTEL CORPORATION</w:t>
      </w:r>
    </w:p>
    <w:p>
      <w:pPr>
        <w:spacing w:after="0" w:line="200" w:lineRule="exact"/>
        <w:rPr>
          <w:sz w:val="20"/>
          <w:szCs w:val="20"/>
          <w:color w:val="auto"/>
        </w:rPr>
      </w:pPr>
    </w:p>
    <w:p>
      <w:pPr>
        <w:spacing w:after="0" w:line="27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tab/>
        <w:t>/s/ Clara Wong</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Clara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-158115</wp:posOffset>
            </wp:positionV>
            <wp:extent cx="2726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19"/>
          <w:szCs w:val="19"/>
          <w:color w:val="auto"/>
        </w:rPr>
        <w:t>CVP, Tax</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0" w:lineRule="exact"/>
        <w:rPr>
          <w:sz w:val="20"/>
          <w:szCs w:val="20"/>
          <w:color w:val="auto"/>
        </w:rPr>
      </w:pPr>
    </w:p>
    <w:p>
      <w:pPr>
        <w:spacing w:after="0" w:line="27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tab/>
        <w:t>/s/ Pini Segal</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Pini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-158115</wp:posOffset>
            </wp:positionV>
            <wp:extent cx="27260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VP Payroll</w:t>
      </w:r>
    </w:p>
    <w:p>
      <w:pPr>
        <w:spacing w:after="0" w:line="200" w:lineRule="exact"/>
        <w:rPr>
          <w:sz w:val="20"/>
          <w:szCs w:val="20"/>
          <w:color w:val="auto"/>
        </w:rPr>
      </w:pPr>
    </w:p>
    <w:p>
      <w:pPr>
        <w:spacing w:after="0" w:line="252"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tab/>
        <w:t>/s/ Moran Shemesh Rojansky</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-158115</wp:posOffset>
            </wp:positionV>
            <wp:extent cx="27260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868" w:right="11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231F20"/>
        </w:rPr>
        <w:t>Professor</w:t>
      </w:r>
      <w:r>
        <w:rPr>
          <w:rFonts w:ascii="Times New Roman" w:cs="Times New Roman" w:eastAsia="Times New Roman" w:hAnsi="Times New Roman"/>
          <w:sz w:val="18"/>
          <w:szCs w:val="18"/>
          <w:color w:val="auto"/>
        </w:rPr>
        <w:t xml:space="preserve">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0346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5" w:name="page76"/>
    <w:bookmarkEnd w:id="75"/>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28, 2024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231F20"/>
        </w:rPr>
        <w:t>Professor</w:t>
      </w:r>
      <w:r>
        <w:rPr>
          <w:rFonts w:ascii="Times New Roman" w:cs="Times New Roman" w:eastAsia="Times New Roman" w:hAnsi="Times New Roman"/>
          <w:sz w:val="18"/>
          <w:szCs w:val="18"/>
          <w:color w:val="auto"/>
        </w:rPr>
        <w:t xml:space="preserve">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751840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6" w:name="page77"/>
    <w:bookmarkEnd w:id="76"/>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28, 2024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17145</wp:posOffset>
            </wp:positionV>
            <wp:extent cx="31032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lvl w:ilvl="1">
      <w:lvlJc w:val="left"/>
      <w:lvlText w:val="(%2)"/>
      <w:numFmt w:val="lowerLetter"/>
      <w:start w:val="2"/>
    </w:lvl>
  </w:abstractNum>
  <w:abstractNum w:abstractNumId="13">
    <w:nsid w:val="8EDBDAB"/>
    <w:multiLevelType w:val="hybridMultilevel"/>
    <w:lvl w:ilvl="0">
      <w:lvlJc w:val="left"/>
      <w:lvlText w:val="(%1)"/>
      <w:numFmt w:val="lowerLetter"/>
      <w:start w:val="9"/>
    </w:lvl>
    <w:lvl w:ilvl="1">
      <w:lvlJc w:val="left"/>
      <w:lvlText w:val="(%2)"/>
      <w:numFmt w:val="lowerLetter"/>
      <w:start w:val="3"/>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lvl w:ilvl="1">
      <w:lvlJc w:val="left"/>
      <w:lvlText w:val="(%2)"/>
      <w:numFmt w:val="lowerRoman"/>
      <w:start w:val="1"/>
    </w:lvl>
  </w:abstractNum>
  <w:abstractNum w:abstractNumId="17">
    <w:nsid w:val="189A769B"/>
    <w:multiLevelType w:val="hybridMultilevel"/>
    <w:lvl w:ilvl="0">
      <w:lvlJc w:val="left"/>
      <w:lvlText w:val="%1"/>
      <w:numFmt w:val="lowerLetter"/>
      <w:start w:val="1"/>
    </w:lvl>
    <w:lvl w:ilvl="1">
      <w:lvlJc w:val="left"/>
      <w:lvlText w:val="(%2)"/>
      <w:numFmt w:val="lowerRoman"/>
      <w:start w:val="3"/>
    </w:lvl>
  </w:abstractNum>
  <w:abstractNum w:abstractNumId="18">
    <w:nsid w:val="54E49EB4"/>
    <w:multiLevelType w:val="hybridMultilevel"/>
    <w:lvl w:ilvl="0">
      <w:lvlJc w:val="left"/>
      <w:lvlText w:val="(%1)"/>
      <w:numFmt w:val="lowerLetter"/>
      <w:start w:val="2"/>
    </w:lvl>
    <w:lvl w:ilvl="1">
      <w:lvlJc w:val="left"/>
      <w:lvlText w:val="(%2)"/>
      <w:numFmt w:val="lowerRoman"/>
      <w:start w:val="1"/>
    </w:lvl>
  </w:abstractNum>
  <w:abstractNum w:abstractNumId="19">
    <w:nsid w:val="71F32454"/>
    <w:multiLevelType w:val="hybridMultilevel"/>
    <w:lvl w:ilvl="0">
      <w:lvlJc w:val="left"/>
      <w:lvlText w:val="(%1)"/>
      <w:numFmt w:val="lowerLetter"/>
      <w:start w:val="3"/>
    </w:lvl>
  </w:abstractNum>
  <w:abstractNum w:abstractNumId="20">
    <w:nsid w:val="2CA88611"/>
    <w:multiLevelType w:val="hybridMultilevel"/>
    <w:lvl w:ilvl="0">
      <w:lvlJc w:val="left"/>
      <w:lvlText w:val="%1"/>
      <w:numFmt w:val="decimal"/>
      <w:start w:val="1"/>
    </w:lvl>
    <w:lvl w:ilvl="1">
      <w:lvlJc w:val="left"/>
      <w:lvlText w:val="(%2)"/>
      <w:numFmt w:val="lowerLetter"/>
      <w:start w:val="1"/>
    </w:lvl>
  </w:abstractNum>
  <w:abstractNum w:abstractNumId="21">
    <w:nsid w:val="836C40E"/>
    <w:multiLevelType w:val="hybridMultilevel"/>
    <w:lvl w:ilvl="0">
      <w:lvlJc w:val="left"/>
      <w:lvlText w:val="(%1)"/>
      <w:numFmt w:val="decimal"/>
      <w:start w:val="3"/>
    </w:lvl>
    <w:lvl w:ilvl="1">
      <w:lvlJc w:val="left"/>
      <w:lvlText w:val="%2"/>
      <w:numFmt w:val="lowerLetter"/>
      <w:start w:val="1"/>
    </w:lvl>
  </w:abstractNum>
  <w:abstractNum w:abstractNumId="22">
    <w:nsid w:val="2901D82"/>
    <w:multiLevelType w:val="hybridMultilevel"/>
    <w:lvl w:ilvl="0">
      <w:lvlJc w:val="left"/>
      <w:lvlText w:val="(%1)"/>
      <w:numFmt w:val="lowerLetter"/>
      <w:start w:val="4"/>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3"/>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2)"/>
      <w:numFmt w:val="lowerRoman"/>
      <w:start w:val="1"/>
    </w:lvl>
  </w:abstractNum>
  <w:abstractNum w:abstractNumId="29">
    <w:nsid w:val="22221A70"/>
    <w:multiLevelType w:val="hybridMultilevel"/>
    <w:lvl w:ilvl="0">
      <w:lvlJc w:val="left"/>
      <w:lvlText w:val="(%1)"/>
      <w:numFmt w:val="lowerLetter"/>
      <w:start w:val="2"/>
    </w:lvl>
    <w:lvl w:ilvl="1">
      <w:lvlJc w:val="left"/>
      <w:lvlText w:val="%2"/>
      <w:numFmt w:val="lowerRoman"/>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2024-10-31T16:14:26Z</dcterms:created>
  <dcterms:modified xsi:type="dcterms:W3CDTF">2024-10-31T16:14:26Z</dcterms:modified>
</cp:coreProperties>
</file>