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41,000,000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2806065</wp:posOffset>
            </wp:positionH>
            <wp:positionV relativeFrom="paragraph">
              <wp:posOffset>41910</wp:posOffset>
            </wp:positionV>
            <wp:extent cx="120015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7975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 Filed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 Registration No. 333-267685​</w:t>
      </w:r>
    </w:p>
    <w:p>
      <w:pPr>
        <w:spacing w:after="0" w:line="370" w:lineRule="exact"/>
        <w:rPr>
          <w:sz w:val="24"/>
          <w:szCs w:val="24"/>
          <w:color w:val="auto"/>
        </w:rPr>
      </w:pPr>
    </w:p>
    <w:p>
      <w:pPr>
        <w:sectPr>
          <w:pgSz w:w="11900" w:h="16838" w:orient="portrait"/>
          <w:cols w:equalWidth="0" w:num="2">
            <w:col w:w="7620" w:space="720"/>
            <w:col w:w="1940"/>
          </w:cols>
          <w:pgMar w:left="580" w:top="205" w:right="10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3"/>
          <w:szCs w:val="23"/>
          <w:b w:val="1"/>
          <w:bCs w:val="1"/>
          <w:color w:val="auto"/>
        </w:rPr>
        <w:t>Mobileye Global Inc.</w:t>
      </w:r>
    </w:p>
    <w:p>
      <w:pPr>
        <w:spacing w:after="0" w:line="4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1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This is an initial public offering of shares of our Class A common stock, and no public market currently exists for shares of our Class A common stock.</w:t>
      </w:r>
    </w:p>
    <w:p>
      <w:pPr>
        <w:spacing w:after="0" w:line="26"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The initial public offering price is $21.00 per share.</w:t>
      </w:r>
    </w:p>
    <w:p>
      <w:pPr>
        <w:spacing w:after="0" w:line="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We intend to use the net proceeds that we receive from this offering and the concurrent private placement as follows: (i) to retain for working capital and</w:t>
      </w:r>
    </w:p>
    <w:p>
      <w:pPr>
        <w:ind w:left="500"/>
        <w:spacing w:after="0" w:line="222" w:lineRule="auto"/>
        <w:rPr>
          <w:sz w:val="20"/>
          <w:szCs w:val="20"/>
          <w:color w:val="auto"/>
        </w:rPr>
      </w:pPr>
      <w:r>
        <w:rPr>
          <w:rFonts w:ascii="Times New Roman" w:cs="Times New Roman" w:eastAsia="Times New Roman" w:hAnsi="Times New Roman"/>
          <w:sz w:val="14"/>
          <w:szCs w:val="14"/>
          <w:color w:val="auto"/>
        </w:rPr>
        <w:t>general corporate purposes a portion of the net proceeds in such amount as is necessary so that our parent company Intel Corporation, a Delaware corporation</w:t>
      </w:r>
    </w:p>
    <w:p>
      <w:pPr>
        <w:ind w:left="500"/>
        <w:spacing w:after="0" w:line="222" w:lineRule="auto"/>
        <w:rPr>
          <w:sz w:val="20"/>
          <w:szCs w:val="20"/>
          <w:color w:val="auto"/>
        </w:rPr>
      </w:pPr>
      <w:r>
        <w:rPr>
          <w:rFonts w:ascii="Times New Roman" w:cs="Times New Roman" w:eastAsia="Times New Roman" w:hAnsi="Times New Roman"/>
          <w:sz w:val="14"/>
          <w:szCs w:val="14"/>
          <w:color w:val="auto"/>
        </w:rPr>
        <w:t>(Nasdaq: INTC) (together with its subsidiaries other than us, “Intel”), ensures that, immediately after completion of this offering, we have $1.0 billion in cash,</w:t>
      </w:r>
    </w:p>
    <w:p>
      <w:pPr>
        <w:ind w:left="500"/>
        <w:spacing w:after="0"/>
        <w:rPr>
          <w:sz w:val="20"/>
          <w:szCs w:val="20"/>
          <w:color w:val="auto"/>
        </w:rPr>
      </w:pPr>
      <w:r>
        <w:rPr>
          <w:rFonts w:ascii="Times New Roman" w:cs="Times New Roman" w:eastAsia="Times New Roman" w:hAnsi="Times New Roman"/>
          <w:sz w:val="14"/>
          <w:szCs w:val="14"/>
          <w:color w:val="auto"/>
        </w:rPr>
        <w:t>cash equivalents or marketable securities in accordance with the terms of the Master Transaction Agreement (as defined below); and (ii) to use the remainder to</w:t>
      </w:r>
    </w:p>
    <w:p>
      <w:pPr>
        <w:spacing w:after="0" w:line="1" w:lineRule="exact"/>
        <w:rPr>
          <w:sz w:val="24"/>
          <w:szCs w:val="24"/>
          <w:color w:val="auto"/>
        </w:rPr>
      </w:pPr>
    </w:p>
    <w:p>
      <w:pPr>
        <w:ind w:left="500" w:right="220"/>
        <w:spacing w:after="0" w:line="233" w:lineRule="auto"/>
        <w:rPr>
          <w:sz w:val="20"/>
          <w:szCs w:val="20"/>
          <w:color w:val="auto"/>
        </w:rPr>
      </w:pPr>
      <w:r>
        <w:rPr>
          <w:rFonts w:ascii="Times New Roman" w:cs="Times New Roman" w:eastAsia="Times New Roman" w:hAnsi="Times New Roman"/>
          <w:sz w:val="14"/>
          <w:szCs w:val="14"/>
          <w:color w:val="auto"/>
        </w:rPr>
        <w:t>repay a portion of the indebtedness owed to Intel under the Dividend Note (as defined below). Intel has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w:t>
      </w:r>
    </w:p>
    <w:p>
      <w:pPr>
        <w:ind w:left="500" w:right="100" w:firstLine="360"/>
        <w:spacing w:after="0" w:line="241" w:lineRule="auto"/>
        <w:rPr>
          <w:sz w:val="20"/>
          <w:szCs w:val="20"/>
          <w:color w:val="auto"/>
        </w:rPr>
      </w:pPr>
      <w:r>
        <w:rPr>
          <w:rFonts w:ascii="Times New Roman" w:cs="Times New Roman" w:eastAsia="Times New Roman" w:hAnsi="Times New Roman"/>
          <w:sz w:val="14"/>
          <w:szCs w:val="14"/>
          <w:color w:val="auto"/>
        </w:rPr>
        <w:t>We have granted the underwriters an option for a period of 30 days after the date of this prospectus to purchase up to an additional 6,150,000 shares of our Class A common stock from us at the initial public offering price less the underwriting discounts and commissions.</w:t>
      </w:r>
    </w:p>
    <w:p>
      <w:pPr>
        <w:spacing w:after="0" w:line="1" w:lineRule="exact"/>
        <w:rPr>
          <w:sz w:val="24"/>
          <w:szCs w:val="24"/>
          <w:color w:val="auto"/>
        </w:rPr>
      </w:pPr>
    </w:p>
    <w:p>
      <w:pPr>
        <w:ind w:left="500" w:right="100" w:firstLine="360"/>
        <w:spacing w:after="0" w:line="233" w:lineRule="auto"/>
        <w:rPr>
          <w:sz w:val="20"/>
          <w:szCs w:val="20"/>
          <w:color w:val="auto"/>
        </w:rPr>
      </w:pPr>
      <w:r>
        <w:rPr>
          <w:rFonts w:ascii="Times New Roman" w:cs="Times New Roman" w:eastAsia="Times New Roman" w:hAnsi="Times New Roman"/>
          <w:sz w:val="14"/>
          <w:szCs w:val="14"/>
          <w:color w:val="auto"/>
        </w:rPr>
        <w:t>We have two classes of authorized common stock: Class A common stock and Class B common stock. The rights of the holders of our Class A common stock and Class B common stock are identical, except with respect to voting, transfer, and conversion rights. Each share of our Class A common stock is entitled</w:t>
      </w:r>
    </w:p>
    <w:p>
      <w:pPr>
        <w:spacing w:after="0" w:line="1" w:lineRule="exact"/>
        <w:rPr>
          <w:sz w:val="24"/>
          <w:szCs w:val="24"/>
          <w:color w:val="auto"/>
        </w:rPr>
      </w:pPr>
    </w:p>
    <w:p>
      <w:pPr>
        <w:jc w:val="both"/>
        <w:ind w:left="500" w:right="120"/>
        <w:spacing w:after="0" w:line="228" w:lineRule="auto"/>
        <w:rPr>
          <w:sz w:val="20"/>
          <w:szCs w:val="20"/>
          <w:color w:val="auto"/>
        </w:rPr>
      </w:pPr>
      <w:r>
        <w:rPr>
          <w:rFonts w:ascii="Times New Roman" w:cs="Times New Roman" w:eastAsia="Times New Roman" w:hAnsi="Times New Roman"/>
          <w:sz w:val="14"/>
          <w:szCs w:val="14"/>
          <w:color w:val="auto"/>
        </w:rPr>
        <w:t>to one vote. Each share of our Class B common stock is entitled to ten votes and is convertible at any time into one share of our Class A common stock, subject to certain conditions. Immediately prior to the completion of this offering, Intel will be our only beneficial owner. Immediately following the completion of this offering, Intel will beneficially own all of the outstanding shares of our Class B common stock representing approximately 99.4% of the voting power of our</w:t>
      </w:r>
    </w:p>
    <w:p>
      <w:pPr>
        <w:ind w:left="500" w:right="100"/>
        <w:spacing w:after="0" w:line="233" w:lineRule="auto"/>
        <w:rPr>
          <w:sz w:val="20"/>
          <w:szCs w:val="20"/>
          <w:color w:val="auto"/>
        </w:rPr>
      </w:pPr>
      <w:r>
        <w:rPr>
          <w:rFonts w:ascii="Times New Roman" w:cs="Times New Roman" w:eastAsia="Times New Roman" w:hAnsi="Times New Roman"/>
          <w:sz w:val="14"/>
          <w:szCs w:val="14"/>
          <w:color w:val="auto"/>
        </w:rPr>
        <w:t>common stock (or approximately 99.3% if the underwriters exercise their option to purchase additional shares of our Class A common stock in full). As a result, we will be a “controlled company” within the meaning of the corporate governance standards of The Nasdaq Global Select Market (“Nasdaq”). See “Management — Controlled Company Exemption” and “Description of Capital Stock — Common Stock.”</w:t>
      </w:r>
    </w:p>
    <w:p>
      <w:pPr>
        <w:ind w:left="500" w:right="100" w:firstLine="360"/>
        <w:spacing w:after="0" w:line="233" w:lineRule="auto"/>
        <w:rPr>
          <w:sz w:val="20"/>
          <w:szCs w:val="20"/>
          <w:color w:val="auto"/>
        </w:rPr>
      </w:pPr>
      <w:r>
        <w:rPr>
          <w:rFonts w:ascii="Times New Roman" w:cs="Times New Roman" w:eastAsia="Times New Roman" w:hAnsi="Times New Roman"/>
          <w:sz w:val="14"/>
          <w:szCs w:val="14"/>
          <w:color w:val="auto"/>
        </w:rPr>
        <w:t>Baillie Gifford and Norges Bank Investment Management (collectively, the “Cornerstone Investors”) have, severally and not jointly, indicated an interest in purchasing up to an aggregate of $330 million of the shares of our Class A common stock offered in this offering at the initial public offering price and on the</w:t>
      </w:r>
    </w:p>
    <w:p>
      <w:pPr>
        <w:spacing w:after="0" w:line="1" w:lineRule="exact"/>
        <w:rPr>
          <w:sz w:val="24"/>
          <w:szCs w:val="24"/>
          <w:color w:val="auto"/>
        </w:rPr>
      </w:pPr>
    </w:p>
    <w:p>
      <w:pPr>
        <w:ind w:left="500" w:right="40"/>
        <w:spacing w:after="0" w:line="228" w:lineRule="auto"/>
        <w:rPr>
          <w:sz w:val="20"/>
          <w:szCs w:val="20"/>
          <w:color w:val="auto"/>
        </w:rPr>
      </w:pPr>
      <w:r>
        <w:rPr>
          <w:rFonts w:ascii="Times New Roman" w:cs="Times New Roman" w:eastAsia="Times New Roman" w:hAnsi="Times New Roman"/>
          <w:sz w:val="14"/>
          <w:szCs w:val="14"/>
          <w:color w:val="auto"/>
        </w:rPr>
        <w:t>same terms and conditions as the other purchasers in this offering. The underwriters will receive the same underwriting discount on any shares of our Class A common stock purchased by the Cornerstone Investors as they will from any other shares of Class A common stock sold to the public in this offering. In addition, Professor Amnon Shashua, our Chief Executive Officer, President, and a member of our board of directors, has indicated an interest in purchasing up to</w:t>
      </w:r>
    </w:p>
    <w:p>
      <w:pPr>
        <w:ind w:left="500" w:right="40"/>
        <w:spacing w:after="0" w:line="228" w:lineRule="auto"/>
        <w:rPr>
          <w:sz w:val="20"/>
          <w:szCs w:val="20"/>
          <w:color w:val="auto"/>
        </w:rPr>
      </w:pPr>
      <w:r>
        <w:rPr>
          <w:rFonts w:ascii="Times New Roman" w:cs="Times New Roman" w:eastAsia="Times New Roman" w:hAnsi="Times New Roman"/>
          <w:sz w:val="14"/>
          <w:szCs w:val="14"/>
          <w:color w:val="auto"/>
        </w:rPr>
        <w:t>$10 million of the shares of our Class A common stock offered in this offering at the initial public offering price.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w:t>
      </w:r>
    </w:p>
    <w:p>
      <w:pPr>
        <w:ind w:left="500"/>
        <w:spacing w:after="0"/>
        <w:rPr>
          <w:sz w:val="20"/>
          <w:szCs w:val="20"/>
          <w:color w:val="auto"/>
        </w:rPr>
      </w:pPr>
      <w:r>
        <w:rPr>
          <w:rFonts w:ascii="Times New Roman" w:cs="Times New Roman" w:eastAsia="Times New Roman" w:hAnsi="Times New Roman"/>
          <w:sz w:val="14"/>
          <w:szCs w:val="14"/>
          <w:color w:val="auto"/>
        </w:rPr>
        <w:t>underwriters may allocate such shares to other investors in this offering.</w:t>
      </w:r>
    </w:p>
    <w:p>
      <w:pPr>
        <w:spacing w:after="0" w:line="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Investment entities affiliated with General Atlantic, L.P. (collectively, “General Atlantic”) have agreed to purchase $100 million of shares of our Class A</w:t>
      </w:r>
    </w:p>
    <w:p>
      <w:pPr>
        <w:spacing w:after="0" w:line="1" w:lineRule="exact"/>
        <w:rPr>
          <w:sz w:val="24"/>
          <w:szCs w:val="24"/>
          <w:color w:val="auto"/>
        </w:rPr>
      </w:pPr>
    </w:p>
    <w:p>
      <w:pPr>
        <w:ind w:left="500" w:right="100"/>
        <w:spacing w:after="0" w:line="228" w:lineRule="auto"/>
        <w:rPr>
          <w:sz w:val="20"/>
          <w:szCs w:val="20"/>
          <w:color w:val="auto"/>
        </w:rPr>
      </w:pPr>
      <w:r>
        <w:rPr>
          <w:rFonts w:ascii="Times New Roman" w:cs="Times New Roman" w:eastAsia="Times New Roman" w:hAnsi="Times New Roman"/>
          <w:sz w:val="14"/>
          <w:szCs w:val="14"/>
          <w:color w:val="auto"/>
        </w:rPr>
        <w:t>common stock at a price per share equal to the initial public offering price per share in a concurrent private placement. The sale of such shares will not be registered under the Securities Act of 1933, as amended (the “Securities Act”). The concurrent private placement is expected to close immediately following the closing of this offering and is subject to customary closing conditions, including the completion of this offering. The closing of this offering is not conditioned</w:t>
      </w:r>
    </w:p>
    <w:p>
      <w:pPr>
        <w:ind w:left="500"/>
        <w:spacing w:after="0"/>
        <w:rPr>
          <w:sz w:val="20"/>
          <w:szCs w:val="20"/>
          <w:color w:val="auto"/>
        </w:rPr>
      </w:pPr>
      <w:r>
        <w:rPr>
          <w:rFonts w:ascii="Times New Roman" w:cs="Times New Roman" w:eastAsia="Times New Roman" w:hAnsi="Times New Roman"/>
          <w:sz w:val="14"/>
          <w:szCs w:val="14"/>
          <w:color w:val="auto"/>
        </w:rPr>
        <w:t>upon the closing of the concurrent private placement.</w:t>
      </w:r>
    </w:p>
    <w:p>
      <w:pPr>
        <w:spacing w:after="0" w:line="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Our Class A common stock has been approved for listing on Nasdaq under the symbol “MBLY”.</w:t>
      </w:r>
    </w:p>
    <w:p>
      <w:pPr>
        <w:spacing w:after="0" w:line="11" w:lineRule="exact"/>
        <w:rPr>
          <w:sz w:val="24"/>
          <w:szCs w:val="24"/>
          <w:color w:val="auto"/>
        </w:rPr>
      </w:pPr>
    </w:p>
    <w:p>
      <w:pPr>
        <w:ind w:left="500" w:right="360" w:firstLine="36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Investing in our common stock involves risks. See “Risk Factors” beginning on page </w:t>
      </w:r>
      <w:r>
        <w:rPr>
          <w:rFonts w:ascii="Times New Roman" w:cs="Times New Roman" w:eastAsia="Times New Roman" w:hAnsi="Times New Roman"/>
          <w:sz w:val="14"/>
          <w:szCs w:val="14"/>
          <w:b w:val="1"/>
          <w:bCs w:val="1"/>
          <w:u w:val="single" w:color="auto"/>
          <w:color w:val="0000EE"/>
        </w:rPr>
        <w:t>24</w:t>
      </w:r>
      <w:r>
        <w:rPr>
          <w:rFonts w:ascii="Times New Roman" w:cs="Times New Roman" w:eastAsia="Times New Roman" w:hAnsi="Times New Roman"/>
          <w:sz w:val="14"/>
          <w:szCs w:val="14"/>
          <w:b w:val="1"/>
          <w:bCs w:val="1"/>
          <w:color w:val="auto"/>
        </w:rPr>
        <w:t xml:space="preserve"> to read about certain factors you should consider before buying our common stock.</w:t>
      </w:r>
    </w:p>
    <w:p>
      <w:pPr>
        <w:spacing w:after="0" w:line="1" w:lineRule="exact"/>
        <w:rPr>
          <w:sz w:val="24"/>
          <w:szCs w:val="24"/>
          <w:color w:val="auto"/>
        </w:rPr>
      </w:pPr>
    </w:p>
    <w:p>
      <w:pPr>
        <w:ind w:left="500" w:right="300" w:firstLine="360"/>
        <w:spacing w:after="0" w:line="24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500" w:type="dxa"/>
        <w:tblCellMar>
          <w:top w:w="0" w:type="dxa"/>
          <w:left w:w="0" w:type="dxa"/>
          <w:bottom w:w="0" w:type="dxa"/>
          <w:right w:w="0" w:type="dxa"/>
        </w:tblCellMar>
      </w:tblPr>
      <w:tr>
        <w:trPr>
          <w:trHeight w:val="200"/>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24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public offering price</w:t>
            </w:r>
          </w:p>
        </w:tc>
        <w:tc>
          <w:tcPr>
            <w:tcW w:w="274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​$861,000,000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7"/>
                <w:szCs w:val="17"/>
                <w:color w:val="auto"/>
                <w:vertAlign w:val="superscript"/>
              </w:rPr>
              <w:t>(1)</w:t>
            </w:r>
          </w:p>
        </w:tc>
        <w:tc>
          <w:tcPr>
            <w:tcW w:w="27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35,301,000​</w:t>
            </w: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274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​$825,699,000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-402590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128905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1" w:lineRule="exact"/>
        <w:rPr>
          <w:sz w:val="24"/>
          <w:szCs w:val="24"/>
          <w:color w:val="auto"/>
        </w:rPr>
      </w:pPr>
    </w:p>
    <w:p>
      <w:pPr>
        <w:ind w:left="860" w:hanging="368"/>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2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At our request, the underwriters have reserved up to 2,050,000 shares of Class A common stock, or up to 5% of the shares offered by this prospectus, for</w:t>
      </w:r>
    </w:p>
    <w:p>
      <w:pPr>
        <w:spacing w:after="0" w:line="4" w:lineRule="exact"/>
        <w:rPr>
          <w:sz w:val="24"/>
          <w:szCs w:val="24"/>
          <w:color w:val="auto"/>
        </w:rPr>
      </w:pPr>
    </w:p>
    <w:p>
      <w:pPr>
        <w:ind w:left="500" w:right="200"/>
        <w:spacing w:after="0" w:line="239" w:lineRule="auto"/>
        <w:rPr>
          <w:sz w:val="20"/>
          <w:szCs w:val="20"/>
          <w:color w:val="auto"/>
        </w:rPr>
      </w:pPr>
      <w:r>
        <w:rPr>
          <w:rFonts w:ascii="Times New Roman" w:cs="Times New Roman" w:eastAsia="Times New Roman" w:hAnsi="Times New Roman"/>
          <w:sz w:val="14"/>
          <w:szCs w:val="14"/>
          <w:color w:val="auto"/>
        </w:rPr>
        <w:t>sale at the initial public offering price through a directed share program to our directors and to the directors, executive officers, and certain employees of Intel. See “Underwriting — Directed Share Program.”</w:t>
      </w:r>
    </w:p>
    <w:p>
      <w:pPr>
        <w:ind w:left="860"/>
        <w:spacing w:after="0"/>
        <w:rPr>
          <w:sz w:val="20"/>
          <w:szCs w:val="20"/>
          <w:color w:val="auto"/>
        </w:rPr>
      </w:pPr>
      <w:r>
        <w:rPr>
          <w:rFonts w:ascii="Times New Roman" w:cs="Times New Roman" w:eastAsia="Times New Roman" w:hAnsi="Times New Roman"/>
          <w:sz w:val="14"/>
          <w:szCs w:val="14"/>
          <w:color w:val="auto"/>
        </w:rPr>
        <w:t>The underwriters expect to deliver the shares of common stock against payment on or about October 28, 2022.</w:t>
      </w:r>
    </w:p>
    <w:tbl>
      <w:tblPr>
        <w:tblLayout w:type="fixed"/>
        <w:tblInd w:w="500" w:type="dxa"/>
        <w:tblCellMar>
          <w:top w:w="0" w:type="dxa"/>
          <w:left w:w="0" w:type="dxa"/>
          <w:bottom w:w="0" w:type="dxa"/>
          <w:right w:w="0" w:type="dxa"/>
        </w:tblCellMar>
      </w:tblPr>
      <w:tr>
        <w:trPr>
          <w:trHeight w:val="277"/>
        </w:trPr>
        <w:tc>
          <w:tcPr>
            <w:tcW w:w="2880" w:type="dxa"/>
            <w:vAlign w:val="bottom"/>
            <w:gridSpan w:val="3"/>
          </w:tcPr>
          <w:p>
            <w:pPr>
              <w:spacing w:after="0" w:line="276" w:lineRule="exact"/>
              <w:rPr>
                <w:sz w:val="20"/>
                <w:szCs w:val="20"/>
                <w:color w:val="auto"/>
              </w:rPr>
            </w:pPr>
            <w:r>
              <w:rPr>
                <w:rFonts w:ascii="Times New Roman" w:cs="Times New Roman" w:eastAsia="Times New Roman" w:hAnsi="Times New Roman"/>
                <w:sz w:val="25"/>
                <w:szCs w:val="25"/>
                <w:b w:val="1"/>
                <w:bCs w:val="1"/>
                <w:color w:val="auto"/>
                <w:w w:val="96"/>
              </w:rPr>
              <w:t>Goldman Sachs &amp; Co. LLC</w:t>
            </w: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ind w:left="320"/>
              <w:spacing w:after="0" w:line="276" w:lineRule="exact"/>
              <w:rPr>
                <w:sz w:val="20"/>
                <w:szCs w:val="20"/>
                <w:color w:val="auto"/>
              </w:rPr>
            </w:pPr>
            <w:r>
              <w:rPr>
                <w:rFonts w:ascii="Times New Roman" w:cs="Times New Roman" w:eastAsia="Times New Roman" w:hAnsi="Times New Roman"/>
                <w:sz w:val="25"/>
                <w:szCs w:val="25"/>
                <w:b w:val="1"/>
                <w:bCs w:val="1"/>
                <w:color w:val="auto"/>
                <w:w w:val="97"/>
              </w:rPr>
              <w:t>Morgan Stanley</w:t>
            </w:r>
          </w:p>
        </w:tc>
      </w:tr>
      <w:tr>
        <w:trPr>
          <w:trHeight w:val="279"/>
        </w:trPr>
        <w:tc>
          <w:tcPr>
            <w:tcW w:w="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3"/>
              </w:rPr>
              <w:t>Evercore​</w:t>
            </w:r>
          </w:p>
        </w:tc>
        <w:tc>
          <w:tcPr>
            <w:tcW w:w="11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ISI</w:t>
            </w:r>
          </w:p>
        </w:tc>
        <w:tc>
          <w:tcPr>
            <w:tcW w:w="9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 ​</w:t>
            </w:r>
          </w:p>
        </w:tc>
        <w:tc>
          <w:tcPr>
            <w:tcW w:w="1680" w:type="dxa"/>
            <w:vAlign w:val="bottom"/>
          </w:tcPr>
          <w:p>
            <w:pPr>
              <w:jc w:val="center"/>
              <w:ind w:right="130"/>
              <w:spacing w:after="0"/>
              <w:rPr>
                <w:sz w:val="20"/>
                <w:szCs w:val="20"/>
                <w:color w:val="auto"/>
              </w:rPr>
            </w:pPr>
            <w:r>
              <w:rPr>
                <w:rFonts w:ascii="Times New Roman" w:cs="Times New Roman" w:eastAsia="Times New Roman" w:hAnsi="Times New Roman"/>
                <w:sz w:val="22"/>
                <w:szCs w:val="22"/>
                <w:b w:val="1"/>
                <w:bCs w:val="1"/>
                <w:color w:val="auto"/>
                <w:w w:val="95"/>
              </w:rPr>
              <w:t>Barclays</w:t>
            </w:r>
          </w:p>
        </w:tc>
        <w:tc>
          <w:tcPr>
            <w:tcW w:w="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 ​</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Citigroup</w:t>
            </w:r>
          </w:p>
        </w:tc>
        <w:tc>
          <w:tcPr>
            <w:tcW w:w="6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 ​</w:t>
            </w:r>
          </w:p>
        </w:tc>
        <w:tc>
          <w:tcPr>
            <w:tcW w:w="202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w w:val="97"/>
              </w:rPr>
              <w:t>BofA Securities​</w:t>
            </w:r>
          </w:p>
        </w:tc>
      </w:tr>
      <w:tr>
        <w:trPr>
          <w:trHeight w:val="238"/>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RBC​ Capital Markets</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6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Mizuho</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Wolfe | Nomura Alliance</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0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BNP PARIBAS​</w:t>
            </w:r>
          </w:p>
        </w:tc>
      </w:tr>
      <w:tr>
        <w:trPr>
          <w:trHeight w:val="193"/>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Cowen​</w:t>
            </w:r>
          </w:p>
        </w:tc>
        <w:tc>
          <w:tcPr>
            <w:tcW w:w="1140" w:type="dxa"/>
            <w:vAlign w:val="bottom"/>
          </w:tcPr>
          <w:p>
            <w:pPr>
              <w:spacing w:after="0"/>
              <w:rPr>
                <w:sz w:val="16"/>
                <w:szCs w:val="16"/>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7"/>
              </w:rPr>
              <w:t>Siebert Williams Shank</w:t>
            </w: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PJT Partners</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MUFG​</w:t>
            </w:r>
          </w:p>
        </w:tc>
      </w:tr>
    </w:tbl>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9"/>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​Needham &amp; Company</w:t>
            </w:r>
          </w:p>
        </w:tc>
        <w:tc>
          <w:tcPr>
            <w:tcW w:w="3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Raymond James</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Loop Capital Markets</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Blaylock Van, LLC</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0" w:type="dxa"/>
            <w:vAlign w:val="bottom"/>
          </w:tcPr>
          <w:p>
            <w:pPr>
              <w:spacing w:after="0"/>
              <w:rPr>
                <w:sz w:val="1"/>
                <w:szCs w:val="1"/>
                <w:color w:val="auto"/>
              </w:rPr>
            </w:pPr>
          </w:p>
        </w:tc>
      </w:tr>
      <w:tr>
        <w:trPr>
          <w:trHeight w:val="146"/>
        </w:trPr>
        <w:tc>
          <w:tcPr>
            <w:tcW w:w="156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Independence Point</w:t>
            </w:r>
          </w:p>
        </w:tc>
        <w:tc>
          <w:tcPr>
            <w:tcW w:w="260" w:type="dxa"/>
            <w:vAlign w:val="bottom"/>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CICC</w:t>
            </w:r>
          </w:p>
        </w:tc>
        <w:tc>
          <w:tcPr>
            <w:tcW w:w="22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Cabrera Capital</w:t>
            </w:r>
          </w:p>
        </w:tc>
        <w:tc>
          <w:tcPr>
            <w:tcW w:w="260" w:type="dxa"/>
            <w:vAlign w:val="bottom"/>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Guzman &amp; Company</w:t>
            </w:r>
          </w:p>
        </w:tc>
        <w:tc>
          <w:tcPr>
            <w:tcW w:w="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0"/>
        </w:trPr>
        <w:tc>
          <w:tcPr>
            <w:tcW w:w="1560" w:type="dxa"/>
            <w:vAlign w:val="bottom"/>
          </w:tcPr>
          <w:p>
            <w:pPr>
              <w:spacing w:after="0" w:line="70" w:lineRule="exact"/>
              <w:rPr>
                <w:sz w:val="20"/>
                <w:szCs w:val="20"/>
                <w:color w:val="auto"/>
              </w:rPr>
            </w:pPr>
            <w:r>
              <w:rPr>
                <w:rFonts w:ascii="Times New Roman" w:cs="Times New Roman" w:eastAsia="Times New Roman" w:hAnsi="Times New Roman"/>
                <w:sz w:val="8"/>
                <w:szCs w:val="8"/>
                <w:b w:val="1"/>
                <w:bCs w:val="1"/>
                <w:color w:val="auto"/>
              </w:rPr>
              <w:t>Drexel Hamilton</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LLC</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Markets LLC</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Prospectus dated October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569595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2" w:name="page3"/>
    <w:bookmarkEnd w:id="2"/>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3" w:name="page4"/>
    <w:bookmarkEnd w:id="3"/>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4" w:name="page5"/>
    <w:bookmarkEnd w:id="4"/>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482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848233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5" w:name="page6"/>
    <w:bookmarkEnd w:id="5"/>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722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872236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6" w:name="page7"/>
    <w:bookmarkEnd w:id="6"/>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5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804545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40"/>
        <w:spacing w:after="0" w:line="284"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MANAGEMENT’S DISCUSSION AND ANALYSIS OF FINANCIAL CONDITION AND</w:t>
      </w:r>
    </w:p>
    <w:p>
      <w:pPr>
        <w:spacing w:after="0" w:line="1" w:lineRule="exact"/>
        <w:rPr>
          <w:sz w:val="20"/>
          <w:szCs w:val="20"/>
          <w:color w:val="auto"/>
        </w:rPr>
      </w:pPr>
    </w:p>
    <w:p>
      <w:pPr>
        <w:ind w:left="1440" w:hanging="180"/>
        <w:spacing w:after="0"/>
        <w:tabs>
          <w:tab w:leader="none" w:pos="1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right="5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DIRECTOR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PARTY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SHARES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ELIGIBLE FOR FUTURE SALE</w:t>
      </w:r>
    </w:p>
    <w:p>
      <w:pPr>
        <w:spacing w:after="0" w:line="63" w:lineRule="exact"/>
        <w:rPr>
          <w:rFonts w:ascii="Times New Roman" w:cs="Times New Roman" w:eastAsia="Times New Roman" w:hAnsi="Times New Roman"/>
          <w:sz w:val="18"/>
          <w:szCs w:val="18"/>
          <w:color w:val="auto"/>
        </w:rPr>
      </w:pPr>
    </w:p>
    <w:p>
      <w:pPr>
        <w:ind w:left="1260" w:right="8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.S. FEDERAL INCOME TAX CONSIDERATIONS FOR NON-U.S. HOLDERS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ind w:left="1260" w:right="4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VALIDITY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885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ectPr>
          <w:pgSz w:w="11900" w:h="16838" w:orient="portrait"/>
          <w:cols w:equalWidth="0" w:num="2">
            <w:col w:w="8300" w:space="720"/>
            <w:col w:w="859"/>
          </w:cols>
          <w:pgMar w:left="580" w:top="97" w:right="1440" w:bottom="1440" w:gutter="0" w:footer="0" w:header="0"/>
          <w:type w:val="continuous"/>
        </w:sectPr>
      </w:pPr>
    </w:p>
    <w:p>
      <w:pPr>
        <w:ind w:left="1260" w:right="419" w:firstLine="360"/>
        <w:spacing w:after="0" w:line="237" w:lineRule="auto"/>
        <w:rPr>
          <w:sz w:val="20"/>
          <w:szCs w:val="20"/>
          <w:color w:val="auto"/>
        </w:rPr>
      </w:pPr>
      <w:r>
        <w:rPr>
          <w:rFonts w:ascii="Times New Roman" w:cs="Times New Roman" w:eastAsia="Times New Roman" w:hAnsi="Times New Roman"/>
          <w:sz w:val="18"/>
          <w:szCs w:val="18"/>
          <w:b w:val="1"/>
          <w:bCs w:val="1"/>
          <w:color w:val="auto"/>
        </w:rPr>
        <w:t>Through and including November 19,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Corporation, Mobileye B.V., GG Acquisition Ltd., Moovit App Global Ltd., and their respective subsidiaries, along with certain Intel employees mainly in research and development, and (ii) upon completion of the Reorganization (as defined below), Mobileye Global Inc. and its consolidated subsidiaries, which includes the Mobileye Group. References to “Moovit” refer to GG Acquisition Ltd., Moovit App Global Ltd., and their consolidated subsidiaries.</w:t>
      </w:r>
    </w:p>
    <w:p>
      <w:pPr>
        <w:spacing w:after="0" w:line="13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years 2021, 2020, and 2019 were 52-week fiscal years; fiscal year 2022 is a 53-week fiscal year. The additional week in fiscal year 2022 is added to the first quarter, which consisted of 14 weeks.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25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0" w:name="page11"/>
    <w:bookmarkEnd w:id="10"/>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8295005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0"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3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80"/>
        <w:spacing w:after="0"/>
        <w:rPr>
          <w:sz w:val="20"/>
          <w:szCs w:val="20"/>
          <w:color w:val="auto"/>
        </w:rPr>
      </w:pPr>
      <w:r>
        <w:rPr>
          <w:rFonts w:ascii="Times New Roman" w:cs="Times New Roman" w:eastAsia="Times New Roman" w:hAnsi="Times New Roman"/>
          <w:sz w:val="18"/>
          <w:szCs w:val="18"/>
          <w:color w:val="auto"/>
        </w:rPr>
        <w:t>in 2021. For the six months ended July 2, 2022 and June 26, 2021, our revenue was $854 million and $704</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million, respectively, representing period-over-period growth of 21%. We currently derive substantially all</w:t>
      </w:r>
    </w:p>
    <w:p>
      <w:pPr>
        <w:ind w:left="1280"/>
        <w:spacing w:after="0" w:line="234" w:lineRule="auto"/>
        <w:rPr>
          <w:sz w:val="20"/>
          <w:szCs w:val="20"/>
          <w:color w:val="auto"/>
        </w:rPr>
      </w:pPr>
      <w:r>
        <w:rPr>
          <w:rFonts w:ascii="Times New Roman" w:cs="Times New Roman" w:eastAsia="Times New Roman" w:hAnsi="Times New Roman"/>
          <w:sz w:val="18"/>
          <w:szCs w:val="18"/>
          <w:color w:val="auto"/>
        </w:rPr>
        <w:t>of our revenue from our commercially deployed ADAS solutions. We recorded net losses of $75 million,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$196 million, and $328 million in 2021, 2020, and 2019, respectively. We recorded a net loss of $67 million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 net income of $4 million in the six months ended July 2, 2022 and June 26, 2021, respectively. Our</w:t>
      </w:r>
    </w:p>
    <w:p>
      <w:pPr>
        <w:ind w:left="1280"/>
        <w:spacing w:after="0" w:line="234" w:lineRule="auto"/>
        <w:rPr>
          <w:sz w:val="20"/>
          <w:szCs w:val="20"/>
          <w:color w:val="auto"/>
        </w:rPr>
      </w:pPr>
      <w:r>
        <w:rPr>
          <w:rFonts w:ascii="Times New Roman" w:cs="Times New Roman" w:eastAsia="Times New Roman" w:hAnsi="Times New Roman"/>
          <w:sz w:val="18"/>
          <w:szCs w:val="18"/>
          <w:color w:val="auto"/>
        </w:rPr>
        <w:t>Adjusted Net Income, a non-GAAP financial measure, for 2021, 2020 and 2019 was $474 million,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$289 million,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99"/>
        <w:spacing w:after="0" w:line="282" w:lineRule="auto"/>
        <w:rPr>
          <w:sz w:val="20"/>
          <w:szCs w:val="20"/>
          <w:color w:val="auto"/>
        </w:rPr>
      </w:pPr>
      <w:r>
        <w:rPr>
          <w:rFonts w:ascii="Times New Roman" w:cs="Times New Roman" w:eastAsia="Times New Roman" w:hAnsi="Times New Roman"/>
          <w:sz w:val="18"/>
          <w:szCs w:val="18"/>
          <w:color w:val="auto"/>
        </w:rPr>
        <w:t>$51 million, respectively. Our Adjusted Net Income for the six months ended July 2, 2022 and June 26, 2021 was $276 million and $270 million, respectively.</w:t>
      </w:r>
    </w:p>
    <w:p>
      <w:pPr>
        <w:spacing w:after="0" w:line="81" w:lineRule="exact"/>
        <w:rPr>
          <w:sz w:val="20"/>
          <w:szCs w:val="20"/>
          <w:color w:val="auto"/>
        </w:rPr>
      </w:pPr>
    </w:p>
    <w:p>
      <w:pPr>
        <w:ind w:left="1280" w:right="519" w:firstLine="360"/>
        <w:spacing w:after="0" w:line="244" w:lineRule="auto"/>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53-week fiscal year while 2021, 2020, and 2019 are 52 -week fiscal years. However, the inclusion of the additional week does not have a material impact on our revenue and cost of revenue as the timing of deliveries to customers is not consistent from week -to-week. Further, most of our expenses (such as payroll) are incurred on a monthly basis and, as such, the accrual for the additional week does not materially impact our results of operations.</w:t>
      </w:r>
    </w:p>
    <w:p>
      <w:pPr>
        <w:spacing w:after="0" w:line="114"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As of October 1, 2022, our solutions had been installed in approximately 800 vehicle models (including local country, year, and other vehicle model variations), and our System-on-Chips (“SoCs”) had been deployed in over 125 million vehicles. We are actively working with more than 50 Original Equipment Manufacturers (“OEMs”) worldwide on the implementation of our ADAS solutions, and we announced over 40 new design wins in 2021 alone. In the nine months ended October 1, 2022, we shipped approximately</w:t>
      </w:r>
    </w:p>
    <w:p>
      <w:pPr>
        <w:spacing w:after="0" w:line="3" w:lineRule="exact"/>
        <w:rPr>
          <w:sz w:val="20"/>
          <w:szCs w:val="20"/>
          <w:color w:val="auto"/>
        </w:rPr>
      </w:pPr>
    </w:p>
    <w:p>
      <w:pPr>
        <w:ind w:left="1280" w:right="439"/>
        <w:spacing w:after="0" w:line="238" w:lineRule="auto"/>
        <w:rPr>
          <w:sz w:val="20"/>
          <w:szCs w:val="20"/>
          <w:color w:val="auto"/>
        </w:rPr>
      </w:pPr>
      <w:r>
        <w:rPr>
          <w:rFonts w:ascii="Times New Roman" w:cs="Times New Roman" w:eastAsia="Times New Roman" w:hAnsi="Times New Roman"/>
          <w:sz w:val="18"/>
          <w:szCs w:val="18"/>
          <w:color w:val="auto"/>
        </w:rPr>
        <w:t>24. 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w:t>
      </w:r>
    </w:p>
    <w:p>
      <w:pPr>
        <w:spacing w:after="0" w:line="2" w:lineRule="exact"/>
        <w:rPr>
          <w:sz w:val="20"/>
          <w:szCs w:val="20"/>
          <w:color w:val="auto"/>
        </w:rPr>
      </w:pPr>
    </w:p>
    <w:p>
      <w:pPr>
        <w:ind w:left="1280" w:right="419"/>
        <w:spacing w:after="0" w:line="242" w:lineRule="auto"/>
        <w:rPr>
          <w:sz w:val="20"/>
          <w:szCs w:val="20"/>
          <w:color w:val="auto"/>
        </w:rPr>
      </w:pPr>
      <w:r>
        <w:rPr>
          <w:rFonts w:ascii="Times New Roman" w:cs="Times New Roman" w:eastAsia="Times New Roman" w:hAnsi="Times New Roman"/>
          <w:sz w:val="18"/>
          <w:szCs w:val="18"/>
          <w:color w:val="auto"/>
        </w:rPr>
        <w:t>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October 1, 2022.</w:t>
      </w:r>
    </w:p>
    <w:p>
      <w:pPr>
        <w:spacing w:after="0" w:line="118"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3" w:lineRule="exact"/>
        <w:rPr>
          <w:sz w:val="20"/>
          <w:szCs w:val="20"/>
          <w:color w:val="auto"/>
        </w:rPr>
      </w:pPr>
    </w:p>
    <w:p>
      <w:pPr>
        <w:ind w:left="1820" w:right="419" w:hanging="182"/>
        <w:spacing w:after="0" w:line="22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92"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54" w:lineRule="exact"/>
        <w:rPr>
          <w:rFonts w:ascii="Times New Roman" w:cs="Times New Roman" w:eastAsia="Times New Roman" w:hAnsi="Times New Roman"/>
          <w:sz w:val="18"/>
          <w:szCs w:val="18"/>
          <w:color w:val="auto"/>
        </w:rPr>
      </w:pPr>
    </w:p>
    <w:p>
      <w:pPr>
        <w:ind w:left="1820" w:right="539" w:hanging="182"/>
        <w:spacing w:after="0" w:line="258"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 designed to employ two independent perception subsystems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75" w:lineRule="exact"/>
        <w:rPr>
          <w:rFonts w:ascii="Times New Roman" w:cs="Times New Roman" w:eastAsia="Times New Roman" w:hAnsi="Times New Roman"/>
          <w:sz w:val="18"/>
          <w:szCs w:val="18"/>
          <w:color w:val="auto"/>
        </w:rPr>
      </w:pPr>
    </w:p>
    <w:p>
      <w:pPr>
        <w:jc w:val="both"/>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67" w:lineRule="exact"/>
        <w:rPr>
          <w:rFonts w:ascii="Times New Roman" w:cs="Times New Roman" w:eastAsia="Times New Roman" w:hAnsi="Times New Roman"/>
          <w:sz w:val="18"/>
          <w:szCs w:val="18"/>
          <w:color w:val="auto"/>
        </w:rPr>
      </w:pPr>
    </w:p>
    <w:p>
      <w:pPr>
        <w:ind w:left="1820" w:right="759" w:hanging="182"/>
        <w:spacing w:after="0" w:line="261"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99" w:lineRule="exact"/>
        <w:rPr>
          <w:sz w:val="20"/>
          <w:szCs w:val="20"/>
          <w:color w:val="auto"/>
        </w:rPr>
      </w:pPr>
    </w:p>
    <w:p>
      <w:pPr>
        <w:ind w:left="1820" w:right="87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94" w:lineRule="exact"/>
        <w:rPr>
          <w:rFonts w:ascii="Times New Roman" w:cs="Times New Roman" w:eastAsia="Times New Roman" w:hAnsi="Times New Roman"/>
          <w:sz w:val="18"/>
          <w:szCs w:val="18"/>
          <w:color w:val="auto"/>
        </w:rPr>
      </w:pPr>
    </w:p>
    <w:p>
      <w:pPr>
        <w:jc w:val="both"/>
        <w:ind w:left="1820" w:right="45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81" w:lineRule="exact"/>
        <w:rPr>
          <w:rFonts w:ascii="Times New Roman" w:cs="Times New Roman" w:eastAsia="Times New Roman" w:hAnsi="Times New Roman"/>
          <w:sz w:val="18"/>
          <w:szCs w:val="18"/>
          <w:color w:val="auto"/>
        </w:rPr>
      </w:pPr>
    </w:p>
    <w:p>
      <w:pPr>
        <w:jc w:val="both"/>
        <w:ind w:left="1820" w:right="5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80" w:right="439" w:firstLine="360"/>
        <w:spacing w:after="0" w:line="229"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60" w:lineRule="exact"/>
        <w:rPr>
          <w:sz w:val="20"/>
          <w:szCs w:val="20"/>
          <w:color w:val="auto"/>
        </w:rPr>
      </w:pPr>
    </w:p>
    <w:p>
      <w:pPr>
        <w:jc w:val="both"/>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54" w:lineRule="exact"/>
        <w:rPr>
          <w:sz w:val="20"/>
          <w:szCs w:val="20"/>
          <w:color w:val="auto"/>
        </w:rPr>
      </w:pPr>
    </w:p>
    <w:p>
      <w:pPr>
        <w:ind w:left="1820" w:right="559" w:hanging="182"/>
        <w:spacing w:after="0" w:line="25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63" w:lineRule="exact"/>
        <w:rPr>
          <w:rFonts w:ascii="Times New Roman" w:cs="Times New Roman" w:eastAsia="Times New Roman" w:hAnsi="Times New Roman"/>
          <w:sz w:val="18"/>
          <w:szCs w:val="18"/>
          <w:color w:val="auto"/>
        </w:rPr>
      </w:pPr>
    </w:p>
    <w:p>
      <w:pPr>
        <w:ind w:left="1820" w:right="459" w:hanging="182"/>
        <w:spacing w:after="0" w:line="229"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announced 6Lite, and 6High, cover the entire spectrum of our ADAS solutions portfolio, and our announced EyeQ Ultra™, a monolithic “AV-on-Chip”, covers our autonomous driving solutions portfolio;</w:t>
      </w:r>
    </w:p>
    <w:p>
      <w:pPr>
        <w:spacing w:after="0" w:line="104"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81"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As of October 1, 2022, our solutions had been installed in approximately 800 vehicle models (including local country, year, and other vehicle model variations), and our SoCs had been deployed in over</w:t>
      </w:r>
    </w:p>
    <w:p>
      <w:pPr>
        <w:ind w:left="1280" w:right="479"/>
        <w:spacing w:after="0" w:line="250" w:lineRule="auto"/>
        <w:rPr>
          <w:sz w:val="20"/>
          <w:szCs w:val="20"/>
          <w:color w:val="auto"/>
        </w:rPr>
      </w:pPr>
      <w:r>
        <w:rPr>
          <w:rFonts w:ascii="Times New Roman" w:cs="Times New Roman" w:eastAsia="Times New Roman" w:hAnsi="Times New Roman"/>
          <w:sz w:val="18"/>
          <w:szCs w:val="18"/>
          <w:color w:val="auto"/>
        </w:rPr>
        <w:t>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w:t>
      </w:r>
    </w:p>
    <w:p>
      <w:pPr>
        <w:spacing w:after="0" w:line="3" w:lineRule="exact"/>
        <w:rPr>
          <w:sz w:val="20"/>
          <w:szCs w:val="20"/>
          <w:color w:val="auto"/>
        </w:rPr>
      </w:pPr>
    </w:p>
    <w:p>
      <w:pPr>
        <w:ind w:left="1280" w:right="599"/>
        <w:spacing w:after="0" w:line="260" w:lineRule="auto"/>
        <w:rPr>
          <w:sz w:val="20"/>
          <w:szCs w:val="20"/>
          <w:color w:val="auto"/>
        </w:rPr>
      </w:pPr>
      <w:r>
        <w:rPr>
          <w:rFonts w:ascii="Times New Roman" w:cs="Times New Roman" w:eastAsia="Times New Roman" w:hAnsi="Times New Roman"/>
          <w:sz w:val="18"/>
          <w:szCs w:val="18"/>
          <w:color w:val="auto"/>
        </w:rPr>
        <w:t>54 million vehicles based on our 2022 design wins through October 1, 2022 and approximately 50 million vehicles based on our 2021 design wins.</w:t>
      </w:r>
    </w:p>
    <w:p>
      <w:pPr>
        <w:spacing w:after="0" w:line="114" w:lineRule="exact"/>
        <w:rPr>
          <w:sz w:val="20"/>
          <w:szCs w:val="20"/>
          <w:color w:val="auto"/>
        </w:rPr>
      </w:pPr>
    </w:p>
    <w:p>
      <w:pPr>
        <w:ind w:left="1280" w:right="939" w:firstLine="360"/>
        <w:spacing w:after="0" w:line="282" w:lineRule="auto"/>
        <w:rPr>
          <w:sz w:val="20"/>
          <w:szCs w:val="20"/>
          <w:color w:val="auto"/>
        </w:rPr>
      </w:pPr>
      <w:r>
        <w:rPr>
          <w:rFonts w:ascii="Times New Roman" w:cs="Times New Roman" w:eastAsia="Times New Roman" w:hAnsi="Times New Roman"/>
          <w:sz w:val="18"/>
          <w:szCs w:val="18"/>
          <w:color w:val="auto"/>
        </w:rPr>
        <w:t>We currently ship a variety of ADAS solutions to 13 of the 15 largest automakers in the world in addition to many smaller OEMs, and we are recognized for our top-rated safety solutions globally.</w:t>
      </w:r>
    </w:p>
    <w:p>
      <w:pPr>
        <w:spacing w:after="0" w:line="55" w:lineRule="exact"/>
        <w:rPr>
          <w:sz w:val="20"/>
          <w:szCs w:val="20"/>
          <w:color w:val="auto"/>
        </w:rPr>
      </w:pPr>
    </w:p>
    <w:p>
      <w:pPr>
        <w:ind w:left="1280" w:right="65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66" w:lineRule="exact"/>
        <w:rPr>
          <w:sz w:val="20"/>
          <w:szCs w:val="20"/>
          <w:color w:val="auto"/>
        </w:rPr>
      </w:pPr>
    </w:p>
    <w:p>
      <w:pPr>
        <w:ind w:left="1280" w:right="399" w:firstLine="360"/>
        <w:spacing w:after="0" w:line="232"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Electronic Control Unit (“ECU”) architecture, thereby supporting a variety of ADAS solution architectures.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SoCs and subsequent generations feature EyeQ Kit™ — an end-to-end software-development kit (“SDK”) intended to enable the co-hosting of our partners’ and customers’ workloads alongside our cutting-edge artificial intelligence (“AI”) technologies.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19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Road Experience Management™</w:t>
      </w:r>
    </w:p>
    <w:p>
      <w:pPr>
        <w:spacing w:after="0" w:line="160"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REM™ is a cloud-based system that leverages the broad installed-base of REM™-equipped vehicles to build Mobileye Roadbook™, our crowd-sourced, high-definition maps of roads from around the world.</w:t>
      </w:r>
    </w:p>
    <w:p>
      <w:pPr>
        <w:spacing w:after="0" w:line="81"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By augmenting our base ADAS with REM™ and Mobileye Roadbook™, we have pioneered the new ADAS category of cloud-enhanced ADAS, which we call Cloud-Enhanced Driver Assist.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8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7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True Redundancy™: Our Unique Sensor Fusion Architecture</w:t>
      </w:r>
    </w:p>
    <w:p>
      <w:pPr>
        <w:spacing w:after="0" w:line="146" w:lineRule="exact"/>
        <w:rPr>
          <w:sz w:val="20"/>
          <w:szCs w:val="20"/>
          <w:color w:val="auto"/>
        </w:rPr>
      </w:pPr>
    </w:p>
    <w:p>
      <w:pPr>
        <w:ind w:left="1280" w:right="519" w:firstLine="360"/>
        <w:spacing w:after="0" w:line="275" w:lineRule="auto"/>
        <w:rPr>
          <w:sz w:val="20"/>
          <w:szCs w:val="20"/>
          <w:color w:val="auto"/>
        </w:rPr>
      </w:pPr>
      <w:r>
        <w:rPr>
          <w:rFonts w:ascii="Times New Roman" w:cs="Times New Roman" w:eastAsia="Times New Roman" w:hAnsi="Times New Roman"/>
          <w:sz w:val="18"/>
          <w:szCs w:val="18"/>
          <w:color w:val="auto"/>
        </w:rPr>
        <w:t>Our unique architecture design, called True Redundancy™, further enhances the robustness and safety of our self-driving system. Rather than fusing all different sensor modalities prior to creating an “environment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82" w:lineRule="auto"/>
        <w:rPr>
          <w:sz w:val="20"/>
          <w:szCs w:val="20"/>
          <w:color w:val="auto"/>
        </w:rPr>
      </w:pPr>
      <w:r>
        <w:rPr>
          <w:rFonts w:ascii="Times New Roman" w:cs="Times New Roman" w:eastAsia="Times New Roman" w:hAnsi="Times New Roman"/>
          <w:sz w:val="18"/>
          <w:szCs w:val="18"/>
          <w:color w:val="auto"/>
        </w:rPr>
        <w:t>model” of the world, we are developing two independent perception subsystems. One subsystem is powered solely by cameras and the other is powered by active sensors (radars and lidars).</w:t>
      </w:r>
    </w:p>
    <w:p>
      <w:pPr>
        <w:spacing w:after="0" w:line="81" w:lineRule="exact"/>
        <w:rPr>
          <w:sz w:val="20"/>
          <w:szCs w:val="20"/>
          <w:color w:val="auto"/>
        </w:rPr>
      </w:pPr>
    </w:p>
    <w:p>
      <w:pPr>
        <w:ind w:left="1280" w:right="459" w:firstLine="360"/>
        <w:spacing w:after="0" w:line="246" w:lineRule="auto"/>
        <w:rPr>
          <w:sz w:val="20"/>
          <w:szCs w:val="20"/>
          <w:color w:val="auto"/>
        </w:rPr>
      </w:pPr>
      <w:r>
        <w:rPr>
          <w:rFonts w:ascii="Times New Roman" w:cs="Times New Roman" w:eastAsia="Times New Roman" w:hAnsi="Times New Roman"/>
          <w:sz w:val="18"/>
          <w:szCs w:val="18"/>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launched by Geely Group for its ZEEKR premium electric vehicle brand, is a productization of the camera -only subsystem of our autonomous driving development, offering fully operational point-to-point assisted driving navigation.</w:t>
      </w:r>
    </w:p>
    <w:p>
      <w:pPr>
        <w:spacing w:after="0" w:line="114" w:lineRule="exact"/>
        <w:rPr>
          <w:sz w:val="20"/>
          <w:szCs w:val="20"/>
          <w:color w:val="auto"/>
        </w:rPr>
      </w:pPr>
    </w:p>
    <w:p>
      <w:pPr>
        <w:ind w:left="1280" w:right="459" w:firstLine="360"/>
        <w:spacing w:after="0" w:line="246" w:lineRule="auto"/>
        <w:rPr>
          <w:sz w:val="20"/>
          <w:szCs w:val="20"/>
          <w:color w:val="auto"/>
        </w:rPr>
      </w:pPr>
      <w:r>
        <w:rPr>
          <w:rFonts w:ascii="Times New Roman" w:cs="Times New Roman" w:eastAsia="Times New Roman" w:hAnsi="Times New Roman"/>
          <w:sz w:val="18"/>
          <w:szCs w:val="18"/>
          <w:color w:val="auto"/>
        </w:rPr>
        <w:t>We are designing a first-of -its-kind “software-defined” imaging radar with a dynamic range and resolution backed by advanced processing algorithms to enable an independent “sensing state.” We believe our custom designed imaging radars will allow us to eliminate the need for multiple high- cost lidars around the vehicle and require only a single front-facing lidar, thereby significantly lowering the overall cost of the required sensors compared to other solutions that use lidar-centric or lidar-only systems.</w:t>
      </w:r>
    </w:p>
    <w:p>
      <w:pPr>
        <w:spacing w:after="0" w:line="114" w:lineRule="exact"/>
        <w:rPr>
          <w:sz w:val="20"/>
          <w:szCs w:val="20"/>
          <w:color w:val="auto"/>
        </w:rPr>
      </w:pPr>
    </w:p>
    <w:p>
      <w:pPr>
        <w:ind w:left="1280" w:right="479" w:firstLine="360"/>
        <w:spacing w:after="0" w:line="245"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ZEEKR. Consumer AV ranges from very limited operational design domain (e.g., low-speed, highway-only “traffic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pacing w:after="0" w:line="114" w:lineRule="exact"/>
        <w:rPr>
          <w:sz w:val="20"/>
          <w:szCs w:val="20"/>
          <w:color w:val="auto"/>
        </w:rPr>
      </w:pPr>
    </w:p>
    <w:p>
      <w:pPr>
        <w:ind w:left="1280" w:right="579" w:firstLine="360"/>
        <w:spacing w:after="0" w:line="250" w:lineRule="auto"/>
        <w:rPr>
          <w:sz w:val="20"/>
          <w:szCs w:val="20"/>
          <w:color w:val="auto"/>
        </w:rPr>
      </w:pPr>
      <w:r>
        <w:rPr>
          <w:rFonts w:ascii="Times New Roman" w:cs="Times New Roman" w:eastAsia="Times New Roman" w:hAnsi="Times New Roman"/>
          <w:sz w:val="18"/>
          <w:szCs w:val="18"/>
          <w:color w:val="auto"/>
        </w:rPr>
        <w:t>Building upon Mobileye Chauffeur™, which targets the consumer-owned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62" w:lineRule="exact"/>
        <w:rPr>
          <w:sz w:val="20"/>
          <w:szCs w:val="20"/>
          <w:color w:val="auto"/>
        </w:rPr>
      </w:pPr>
    </w:p>
    <w:p>
      <w:pPr>
        <w:ind w:left="1280" w:right="499" w:firstLine="360"/>
        <w:spacing w:after="0" w:line="246"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4"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80" w:right="779" w:firstLine="360"/>
        <w:spacing w:after="0" w:line="266"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20" w:right="93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w:t>
      </w:r>
    </w:p>
    <w:p>
      <w:pPr>
        <w:spacing w:after="0" w:line="46" w:lineRule="exact"/>
        <w:rPr>
          <w:rFonts w:ascii="Times New Roman" w:cs="Times New Roman" w:eastAsia="Times New Roman" w:hAnsi="Times New Roman"/>
          <w:sz w:val="18"/>
          <w:szCs w:val="18"/>
          <w:color w:val="auto"/>
        </w:rPr>
      </w:pPr>
    </w:p>
    <w:p>
      <w:pPr>
        <w:jc w:val="both"/>
        <w:ind w:left="1820" w:right="57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w:t>
      </w:r>
    </w:p>
    <w:p>
      <w:pPr>
        <w:spacing w:after="0" w:line="62" w:lineRule="exact"/>
        <w:rPr>
          <w:rFonts w:ascii="Times New Roman" w:cs="Times New Roman" w:eastAsia="Times New Roman" w:hAnsi="Times New Roman"/>
          <w:sz w:val="18"/>
          <w:szCs w:val="18"/>
          <w:color w:val="auto"/>
        </w:rPr>
      </w:pPr>
    </w:p>
    <w:p>
      <w:pPr>
        <w:ind w:left="1820" w:right="43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In order for autonomous driving consumer vehicles to scale in volume, we believe the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self-driving system needs to be reduced significantly, such as to several thousands of dollars, an order of magnitude lower than the cost of market solutions to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 Our current offerings to Tier 1 and OEM customers do not include cameras, radars, lidar systems, or other sensors (except in particular cases). We intend in the future to offer radar and lidar products that are currently in development stages.</w:t>
      </w:r>
    </w:p>
    <w:p>
      <w:pPr>
        <w:spacing w:after="0" w:line="294" w:lineRule="exact"/>
        <w:rPr>
          <w:sz w:val="20"/>
          <w:szCs w:val="20"/>
          <w:color w:val="auto"/>
        </w:rPr>
      </w:pPr>
    </w:p>
    <w:p>
      <w:pPr>
        <w:ind w:left="1820" w:right="79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Assist. </w:t>
      </w:r>
      <w:r>
        <w:rPr>
          <w:rFonts w:ascii="Times New Roman" w:cs="Times New Roman" w:eastAsia="Times New Roman" w:hAnsi="Times New Roman"/>
          <w:sz w:val="18"/>
          <w:szCs w:val="18"/>
          <w:color w:val="auto"/>
        </w:rPr>
        <w:t>Base Driver Assist functions are foundational to our spectrum of ADAS and AV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and include critical safety features such as real-time detection of road users, geometry, semantics, and markings to provide safety alerts and emergency interventions.</w:t>
      </w:r>
    </w:p>
    <w:p>
      <w:pPr>
        <w:spacing w:after="0" w:line="62" w:lineRule="exact"/>
        <w:rPr>
          <w:rFonts w:ascii="Times New Roman" w:cs="Times New Roman" w:eastAsia="Times New Roman" w:hAnsi="Times New Roman"/>
          <w:sz w:val="18"/>
          <w:szCs w:val="18"/>
          <w:color w:val="auto"/>
        </w:rPr>
      </w:pPr>
    </w:p>
    <w:p>
      <w:pPr>
        <w:ind w:left="1820" w:right="579" w:hanging="182"/>
        <w:spacing w:after="0" w:line="265"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Cloud-Enhanced Driver Assist. </w:t>
      </w:r>
      <w:r>
        <w:rPr>
          <w:rFonts w:ascii="Times New Roman" w:cs="Times New Roman" w:eastAsia="Times New Roman" w:hAnsi="Times New Roman"/>
          <w:sz w:val="18"/>
          <w:szCs w:val="18"/>
          <w:color w:val="auto"/>
        </w:rPr>
        <w:t>Cloud-Enhanced Driver Assist provides drivers with high-accuracy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a scene in real-time utilizing centimeter-level drivable path accuracy, foresight of the path ahead, and other semantic information provided by our crowdsourced REM™ mapping system.</w:t>
      </w:r>
    </w:p>
    <w:p>
      <w:pPr>
        <w:spacing w:after="0" w:line="286" w:lineRule="exact"/>
        <w:rPr>
          <w:rFonts w:ascii="Times New Roman" w:cs="Times New Roman" w:eastAsia="Times New Roman" w:hAnsi="Times New Roman"/>
          <w:sz w:val="18"/>
          <w:szCs w:val="18"/>
          <w:color w:val="auto"/>
        </w:rPr>
      </w:pPr>
    </w:p>
    <w:p>
      <w:pPr>
        <w:ind w:left="1820" w:right="59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SuperVision™ Lite. </w:t>
      </w:r>
      <w:r>
        <w:rPr>
          <w:rFonts w:ascii="Times New Roman" w:cs="Times New Roman" w:eastAsia="Times New Roman" w:hAnsi="Times New Roman"/>
          <w:sz w:val="18"/>
          <w:szCs w:val="18"/>
          <w:color w:val="auto"/>
        </w:rPr>
        <w:t>A new Premium Driver Assist offering which will provide eyes-on/​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hands-free highway navigation and assisted driving as well as autonomous parking utilizing cloud-based enhancements such as REM™ and supporting over-the-air (“OTA”) updates.</w:t>
      </w:r>
    </w:p>
    <w:p>
      <w:pPr>
        <w:spacing w:after="0" w:line="62" w:lineRule="exact"/>
        <w:rPr>
          <w:rFonts w:ascii="Times New Roman" w:cs="Times New Roman" w:eastAsia="Times New Roman" w:hAnsi="Times New Roman"/>
          <w:sz w:val="18"/>
          <w:szCs w:val="18"/>
          <w:color w:val="auto"/>
        </w:rPr>
      </w:pPr>
    </w:p>
    <w:p>
      <w:pPr>
        <w:ind w:left="1820" w:right="59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SuperVision™. </w:t>
      </w:r>
      <w:r>
        <w:rPr>
          <w:rFonts w:ascii="Times New Roman" w:cs="Times New Roman" w:eastAsia="Times New Roman" w:hAnsi="Times New Roman"/>
          <w:sz w:val="18"/>
          <w:szCs w:val="18"/>
          <w:color w:val="auto"/>
        </w:rPr>
        <w:t>Mobileye SuperVision™, our highest-functioning Premium Driver Assist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is a fully operational point-to-point assisted driving navigation solution on various road types and includes cloud-based enhancements such as REM™ and supports OTA updates.</w:t>
      </w:r>
    </w:p>
    <w:p>
      <w:pPr>
        <w:spacing w:after="0" w:line="62" w:lineRule="exact"/>
        <w:rPr>
          <w:rFonts w:ascii="Times New Roman" w:cs="Times New Roman" w:eastAsia="Times New Roman" w:hAnsi="Times New Roman"/>
          <w:sz w:val="18"/>
          <w:szCs w:val="18"/>
          <w:color w:val="auto"/>
        </w:rPr>
      </w:pPr>
    </w:p>
    <w:p>
      <w:pPr>
        <w:ind w:left="1820" w:right="399"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Chauffeur™. </w:t>
      </w:r>
      <w:r>
        <w:rPr>
          <w:rFonts w:ascii="Times New Roman" w:cs="Times New Roman" w:eastAsia="Times New Roman" w:hAnsi="Times New Roman"/>
          <w:sz w:val="18"/>
          <w:szCs w:val="18"/>
          <w:color w:val="auto"/>
        </w:rPr>
        <w:t>Mobileye Chauffeur’s™ first generation solution will be based on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three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6 High SoCs or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207" w:lineRule="exact"/>
        <w:rPr>
          <w:rFonts w:ascii="Times New Roman" w:cs="Times New Roman" w:eastAsia="Times New Roman" w:hAnsi="Times New Roman"/>
          <w:sz w:val="18"/>
          <w:szCs w:val="18"/>
          <w:color w:val="auto"/>
        </w:rPr>
      </w:pPr>
    </w:p>
    <w:p>
      <w:pPr>
        <w:ind w:left="1820" w:right="599" w:hanging="182"/>
        <w:spacing w:after="0" w:line="26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Drive™. </w:t>
      </w:r>
      <w:r>
        <w:rPr>
          <w:rFonts w:ascii="Times New Roman" w:cs="Times New Roman" w:eastAsia="Times New Roman" w:hAnsi="Times New Roman"/>
          <w:sz w:val="18"/>
          <w:szCs w:val="18"/>
          <w:color w:val="auto"/>
        </w:rPr>
        <w:t>Mobileye Drive™, our Level 4 solution, will encompass our core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3" w:lineRule="exact"/>
        <w:rPr>
          <w:sz w:val="20"/>
          <w:szCs w:val="20"/>
          <w:color w:val="auto"/>
        </w:rPr>
      </w:pPr>
    </w:p>
    <w:p>
      <w:pPr>
        <w:ind w:left="1640" w:right="899"/>
        <w:spacing w:after="0" w:line="282" w:lineRule="auto"/>
        <w:rPr>
          <w:sz w:val="20"/>
          <w:szCs w:val="20"/>
          <w:color w:val="auto"/>
        </w:rPr>
      </w:pPr>
      <w:r>
        <w:rPr>
          <w:rFonts w:ascii="Times New Roman" w:cs="Times New Roman" w:eastAsia="Times New Roman" w:hAnsi="Times New Roman"/>
          <w:sz w:val="18"/>
          <w:szCs w:val="18"/>
          <w:color w:val="auto"/>
        </w:rPr>
        <w:t>Mobileye Drive™ may be offered across two increasingly vertically integrated product sets, each underpinned by our full set of autonomous driving technology solutions:</w:t>
      </w:r>
    </w:p>
    <w:p>
      <w:pPr>
        <w:spacing w:after="0" w:line="50" w:lineRule="exact"/>
        <w:rPr>
          <w:sz w:val="20"/>
          <w:szCs w:val="20"/>
          <w:color w:val="auto"/>
        </w:rPr>
      </w:pPr>
    </w:p>
    <w:p>
      <w:pPr>
        <w:ind w:left="2180" w:right="579" w:hanging="182"/>
        <w:spacing w:after="0" w:line="262" w:lineRule="auto"/>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 Level 4 self-driving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68" w:lineRule="exact"/>
        <w:rPr>
          <w:rFonts w:ascii="Times New Roman" w:cs="Times New Roman" w:eastAsia="Times New Roman" w:hAnsi="Times New Roman"/>
          <w:sz w:val="18"/>
          <w:szCs w:val="18"/>
          <w:color w:val="auto"/>
        </w:rPr>
      </w:pPr>
    </w:p>
    <w:p>
      <w:pPr>
        <w:ind w:left="2180" w:right="459" w:hanging="182"/>
        <w:spacing w:after="0" w:line="258" w:lineRule="auto"/>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also will provide the necessary service and user-base layer within our own AMaaS solution where we plan to deploy Mobileye-Drive-enabled self-driving vehicles in partnership with fleet operators.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 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18" w:lineRule="exact"/>
        <w:rPr>
          <w:sz w:val="20"/>
          <w:szCs w:val="20"/>
          <w:color w:val="auto"/>
        </w:rPr>
      </w:pPr>
    </w:p>
    <w:p>
      <w:pPr>
        <w:ind w:left="1280" w:right="519" w:firstLine="360"/>
        <w:spacing w:after="0" w:line="232" w:lineRule="auto"/>
        <w:rPr>
          <w:sz w:val="20"/>
          <w:szCs w:val="20"/>
          <w:color w:val="auto"/>
        </w:rPr>
      </w:pPr>
      <w:r>
        <w:rPr>
          <w:rFonts w:ascii="Times New Roman" w:cs="Times New Roman" w:eastAsia="Times New Roman" w:hAnsi="Times New Roman"/>
          <w:sz w:val="18"/>
          <w:szCs w:val="18"/>
          <w:color w:val="auto"/>
        </w:rPr>
        <w:t>Additionally, we have created a separate dataset of 8.6 billion miles of roads driven as of July 2, 2022 from, based on our estimates, approximately 1.5 million REM™- enabled vehicles worldwide. We then apply a series of on-cloud algorithms to build this crowd-sourced data into a high-definition, rapidly updating map that contains a rich variety of information, including road geometry, drivable paths, common speeds, right-of-way, and traffic light-to-lane associations. We estimate that the data we have accumulated covers over 90% and 80%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33"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These two datasets create powerful network effects as we seek to continually improve our solutions as more vehicles are deployed with our technology.</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80" w:right="63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80" w:right="439" w:hanging="2"/>
        <w:spacing w:after="0" w:line="246" w:lineRule="auto"/>
        <w:tabs>
          <w:tab w:leader="none" w:pos="15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68"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with the computational workloads required by the software stack. Our approach results in low power consumption and lean compute, yet is able to support a very powerful range of solutions for the ADAS and AV markets.</w:t>
      </w:r>
    </w:p>
    <w:p>
      <w:pPr>
        <w:spacing w:after="0" w:line="36" w:lineRule="exact"/>
        <w:rPr>
          <w:rFonts w:ascii="Times New Roman" w:cs="Times New Roman" w:eastAsia="Times New Roman" w:hAnsi="Times New Roman"/>
          <w:sz w:val="18"/>
          <w:szCs w:val="18"/>
          <w:color w:val="auto"/>
        </w:rPr>
      </w:pPr>
    </w:p>
    <w:p>
      <w:pPr>
        <w:ind w:left="1820" w:right="519" w:hanging="182"/>
        <w:spacing w:after="0" w:line="224"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54" w:lineRule="exact"/>
        <w:rPr>
          <w:rFonts w:ascii="Times New Roman" w:cs="Times New Roman" w:eastAsia="Times New Roman" w:hAnsi="Times New Roman"/>
          <w:sz w:val="18"/>
          <w:szCs w:val="18"/>
          <w:color w:val="auto"/>
        </w:rPr>
      </w:pPr>
    </w:p>
    <w:p>
      <w:pPr>
        <w:ind w:left="1820" w:right="459" w:hanging="182"/>
        <w:spacing w:after="0" w:line="247"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 </w:t>
      </w:r>
      <w:r>
        <w:rPr>
          <w:rFonts w:ascii="Times New Roman" w:cs="Times New Roman" w:eastAsia="Times New Roman" w:hAnsi="Times New Roman"/>
          <w:sz w:val="18"/>
          <w:szCs w:val="18"/>
          <w:color w:val="auto"/>
        </w:rPr>
        <w:t>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We believe EyeQ Kit™ accelerates time to market for our customers at a lower cost than alternative in-house solutions while strengthening our partnerships by encouraging our customers to customize their offerings on top of our platform.</w:t>
      </w:r>
    </w:p>
    <w:p>
      <w:pPr>
        <w:spacing w:after="0" w:line="79" w:lineRule="exact"/>
        <w:rPr>
          <w:rFonts w:ascii="Times New Roman" w:cs="Times New Roman" w:eastAsia="Times New Roman" w:hAnsi="Times New Roman"/>
          <w:sz w:val="18"/>
          <w:szCs w:val="18"/>
          <w:color w:val="auto"/>
        </w:rPr>
      </w:pPr>
    </w:p>
    <w:p>
      <w:pPr>
        <w:ind w:left="1820" w:right="539" w:hanging="182"/>
        <w:spacing w:after="0" w:line="262"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leading computer vision capabilities — </w:t>
      </w:r>
      <w:r>
        <w:rPr>
          <w:rFonts w:ascii="Times New Roman" w:cs="Times New Roman" w:eastAsia="Times New Roman" w:hAnsi="Times New Roman"/>
          <w:sz w:val="18"/>
          <w:szCs w:val="18"/>
          <w:color w:val="auto"/>
        </w:rPr>
        <w:t>We are a technology leader for computer 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ADAS, and we have continuously enhanced our leadership position since we launched with customers in 2007 through our ability to meet the extreme performance, accuracy, and cost metrics of our OEM customers.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right="499" w:hanging="182"/>
        <w:spacing w:after="0" w:line="26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 mapping technology, our True Redundancy™ approach, our RSS and driving policy, and our active sensor architecture based on our imaging radars.</w:t>
      </w:r>
    </w:p>
    <w:p>
      <w:pPr>
        <w:spacing w:after="0" w:line="76" w:lineRule="exact"/>
        <w:rPr>
          <w:rFonts w:ascii="Times New Roman" w:cs="Times New Roman" w:eastAsia="Times New Roman" w:hAnsi="Times New Roman"/>
          <w:sz w:val="18"/>
          <w:szCs w:val="18"/>
          <w:color w:val="auto"/>
        </w:rPr>
      </w:pPr>
    </w:p>
    <w:p>
      <w:pPr>
        <w:ind w:left="1820" w:right="699" w:hanging="182"/>
        <w:spacing w:after="0" w:line="259"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Autonomous driving-ADAS synergies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autonomous driving-ADAS interplay is bi-directional: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71" w:lineRule="exact"/>
        <w:rPr>
          <w:rFonts w:ascii="Times New Roman" w:cs="Times New Roman" w:eastAsia="Times New Roman" w:hAnsi="Times New Roman"/>
          <w:sz w:val="18"/>
          <w:szCs w:val="18"/>
          <w:color w:val="auto"/>
        </w:rPr>
      </w:pPr>
    </w:p>
    <w:p>
      <w:pPr>
        <w:jc w:val="both"/>
        <w:ind w:left="1820" w:right="419" w:hanging="182"/>
        <w:spacing w:after="0" w:line="25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creates a powerful network effect and long-term competitive advantage — </w:t>
      </w:r>
      <w:r>
        <w:rPr>
          <w:rFonts w:ascii="Times New Roman" w:cs="Times New Roman" w:eastAsia="Times New Roman" w:hAnsi="Times New Roman"/>
          <w:sz w:val="18"/>
          <w:szCs w:val="18"/>
          <w:color w:val="auto"/>
        </w:rPr>
        <w:t>Our REM™ system is a crucial ingredient that we believe allows for: (1) defining a new category of cloud-enhanced ADAS that we call Cloud-Enhanced Driver Assist; (2) evolving ADAS to an “eyes-on/hands-free” point-to-point assisted driving navigation; and (3) the scale deployment of AV.</w:t>
      </w:r>
    </w:p>
    <w:p>
      <w:pPr>
        <w:spacing w:after="0" w:line="3" w:lineRule="exact"/>
        <w:rPr>
          <w:rFonts w:ascii="Times New Roman" w:cs="Times New Roman" w:eastAsia="Times New Roman" w:hAnsi="Times New Roman"/>
          <w:sz w:val="18"/>
          <w:szCs w:val="18"/>
          <w:color w:val="auto"/>
        </w:rPr>
      </w:pPr>
    </w:p>
    <w:p>
      <w:pPr>
        <w:ind w:left="18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pacing w:after="0" w:line="77"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and technology advantage — </w:t>
      </w:r>
      <w:r>
        <w:rPr>
          <w:rFonts w:ascii="Times New Roman" w:cs="Times New Roman" w:eastAsia="Times New Roman" w:hAnsi="Times New Roman"/>
          <w:sz w:val="18"/>
          <w:szCs w:val="18"/>
          <w:color w:val="auto"/>
        </w:rPr>
        <w:t>We have assembled a substantial dataset of real-world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encompassing over 200 petabytes of data, which includes over 23 million clips collected over decades of driving on urban, highway, and arterial roads in over 80 countries. We utilize up to approximately 500,000 cloud CPU cores to process approximately 100 petabytes of data every month, which we believe demonstrates the size and scale of our data repository. Our dataset creates a powerful network effect as we seek to continually improve our solutions as more vehicles are deployed with our technology.</w:t>
      </w:r>
    </w:p>
    <w:p>
      <w:pPr>
        <w:spacing w:after="0" w:line="88" w:lineRule="exact"/>
        <w:rPr>
          <w:rFonts w:ascii="Times New Roman" w:cs="Times New Roman" w:eastAsia="Times New Roman" w:hAnsi="Times New Roman"/>
          <w:sz w:val="18"/>
          <w:szCs w:val="18"/>
          <w:color w:val="auto"/>
        </w:rPr>
      </w:pPr>
    </w:p>
    <w:p>
      <w:pPr>
        <w:ind w:left="1820" w:right="579" w:hanging="182"/>
        <w:spacing w:after="0" w:line="26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RSS and driving policy are designed for global deployment — </w:t>
      </w:r>
      <w:r>
        <w:rPr>
          <w:rFonts w:ascii="Times New Roman" w:cs="Times New Roman" w:eastAsia="Times New Roman" w:hAnsi="Times New Roman"/>
          <w:sz w:val="18"/>
          <w:szCs w:val="18"/>
          <w:color w:val="auto"/>
        </w:rPr>
        <w:t>RSS is the key enabler of our “lean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68" w:lineRule="exact"/>
        <w:rPr>
          <w:rFonts w:ascii="Times New Roman" w:cs="Times New Roman" w:eastAsia="Times New Roman" w:hAnsi="Times New Roman"/>
          <w:sz w:val="18"/>
          <w:szCs w:val="18"/>
          <w:color w:val="auto"/>
        </w:rPr>
      </w:pPr>
    </w:p>
    <w:p>
      <w:pPr>
        <w:ind w:left="1820" w:right="419" w:hanging="182"/>
        <w:spacing w:after="0" w:line="25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 architecture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291"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71" w:lineRule="exact"/>
        <w:rPr>
          <w:rFonts w:ascii="Times New Roman" w:cs="Times New Roman" w:eastAsia="Times New Roman" w:hAnsi="Times New Roman"/>
          <w:sz w:val="18"/>
          <w:szCs w:val="18"/>
          <w:color w:val="auto"/>
        </w:rPr>
      </w:pPr>
    </w:p>
    <w:p>
      <w:pPr>
        <w:ind w:left="1820" w:right="639" w:hanging="182"/>
        <w:spacing w:after="0" w:line="26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collaborative ecosystem relationships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20" w:right="419" w:hanging="182"/>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right="419" w:hanging="182"/>
        <w:spacing w:after="0" w:line="234"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 technology. In the future, we plan to create revenue streams from our OTA capabilities and AV maps through solution upgrades.</w:t>
      </w:r>
    </w:p>
    <w:p>
      <w:pPr>
        <w:spacing w:after="0" w:line="88" w:lineRule="exact"/>
        <w:rPr>
          <w:rFonts w:ascii="Times New Roman" w:cs="Times New Roman" w:eastAsia="Times New Roman" w:hAnsi="Times New Roman"/>
          <w:sz w:val="18"/>
          <w:szCs w:val="18"/>
          <w:color w:val="auto"/>
        </w:rPr>
      </w:pPr>
    </w:p>
    <w:p>
      <w:pPr>
        <w:ind w:left="1820" w:right="619" w:hanging="182"/>
        <w:spacing w:after="0" w:line="257"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enhance our Premium Driver Assist solutions — </w:t>
      </w:r>
      <w:r>
        <w:rPr>
          <w:rFonts w:ascii="Times New Roman" w:cs="Times New Roman" w:eastAsia="Times New Roman" w:hAnsi="Times New Roman"/>
          <w:sz w:val="18"/>
          <w:szCs w:val="18"/>
          <w:color w:val="auto"/>
        </w:rPr>
        <w:t>Our Mobileye SuperVision™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Lite solutions represent comprehensive “eyes-on/hands-free” ADAS solutions that can be supplemented by OEMs through the use of our EyeQ Kit™ platform to customize their offerings on top of our platform. We believe that the high value-add, our continuous efforts to add capabilities, as well as the competitive price point of Mobileye SuperVision™ will allow it to gain strong market traction in the coming years.</w:t>
      </w:r>
    </w:p>
    <w:p>
      <w:pPr>
        <w:spacing w:after="0" w:line="74" w:lineRule="exact"/>
        <w:rPr>
          <w:rFonts w:ascii="Times New Roman" w:cs="Times New Roman" w:eastAsia="Times New Roman" w:hAnsi="Times New Roman"/>
          <w:sz w:val="18"/>
          <w:szCs w:val="18"/>
          <w:color w:val="auto"/>
        </w:rPr>
      </w:pPr>
    </w:p>
    <w:p>
      <w:pPr>
        <w:ind w:left="1820" w:right="459" w:hanging="182"/>
        <w:spacing w:after="0" w:line="25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 our surround computer vision Mobileye SuperVision™ solution, and our True Redundancy™ architecture, we believe that we will be 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74" w:lineRule="exact"/>
        <w:rPr>
          <w:rFonts w:ascii="Times New Roman" w:cs="Times New Roman" w:eastAsia="Times New Roman" w:hAnsi="Times New Roman"/>
          <w:sz w:val="18"/>
          <w:szCs w:val="18"/>
          <w:color w:val="auto"/>
        </w:rPr>
      </w:pPr>
    </w:p>
    <w:p>
      <w:pPr>
        <w:ind w:left="1820" w:right="619" w:hanging="182"/>
        <w:spacing w:after="0" w:line="24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capabilities and features that they demand by customizing their offerings on top of our platform. We are partnering with leading technology suppliers to expand our products by offering features and services alongside our core technology platform.</w:t>
      </w:r>
    </w:p>
    <w:p>
      <w:pPr>
        <w:spacing w:after="0" w:line="72"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 AI capabilities. Together with Intel, we also are currently in the early stages of development of frequency-modulated continuous wave (“FMCW”) lidar, which has the potential to replace alternative third-party lidar to further enhance the performance of our sensor suite.</w:t>
      </w:r>
    </w:p>
    <w:p>
      <w:pPr>
        <w:spacing w:after="0" w:line="49" w:lineRule="exact"/>
        <w:rPr>
          <w:rFonts w:ascii="Times New Roman" w:cs="Times New Roman" w:eastAsia="Times New Roman" w:hAnsi="Times New Roman"/>
          <w:sz w:val="18"/>
          <w:szCs w:val="18"/>
          <w:color w:val="auto"/>
        </w:rPr>
      </w:pPr>
    </w:p>
    <w:p>
      <w:pPr>
        <w:ind w:left="1820" w:right="439" w:hanging="182"/>
        <w:spacing w:after="0" w:line="244"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82" w:lineRule="exact"/>
        <w:rPr>
          <w:rFonts w:ascii="Times New Roman" w:cs="Times New Roman" w:eastAsia="Times New Roman" w:hAnsi="Times New Roman"/>
          <w:sz w:val="18"/>
          <w:szCs w:val="18"/>
          <w:color w:val="auto"/>
        </w:rPr>
      </w:pPr>
    </w:p>
    <w:p>
      <w:pPr>
        <w:ind w:left="1820" w:right="499" w:hanging="182"/>
        <w:spacing w:after="0" w:line="25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18"/>
          <w:szCs w:val="18"/>
          <w:color w:val="auto"/>
        </w:rPr>
        <w:t> — 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 2022, encompassed over 200 petabytes of data and 8.6 billion miles of AV mapped roads from, based on our estimates, approximately 1.5 million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74" w:lineRule="exact"/>
        <w:rPr>
          <w:rFonts w:ascii="Times New Roman" w:cs="Times New Roman" w:eastAsia="Times New Roman" w:hAnsi="Times New Roman"/>
          <w:sz w:val="18"/>
          <w:szCs w:val="18"/>
          <w:color w:val="auto"/>
        </w:rPr>
      </w:pPr>
    </w:p>
    <w:p>
      <w:pPr>
        <w:ind w:left="1820" w:right="55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w:t>
      </w:r>
      <w:r>
        <w:rPr>
          <w:rFonts w:ascii="Times New Roman" w:cs="Times New Roman" w:eastAsia="Times New Roman" w:hAnsi="Times New Roman"/>
          <w:sz w:val="18"/>
          <w:szCs w:val="18"/>
          <w:color w:val="auto"/>
        </w:rPr>
        <w:t> — We believe that Mobileye Chauffeur™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71"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w:t>
      </w:r>
      <w:r>
        <w:rPr>
          <w:rFonts w:ascii="Times New Roman" w:cs="Times New Roman" w:eastAsia="Times New Roman" w:hAnsi="Times New Roman"/>
          <w:sz w:val="18"/>
          <w:szCs w:val="18"/>
          <w:color w:val="auto"/>
        </w:rPr>
        <w:t> — 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Relationship with Intel</w:t>
      </w:r>
    </w:p>
    <w:p>
      <w:pPr>
        <w:spacing w:after="0" w:line="162"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99.4% of the voting power of our common stock (or approximately 99.3%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this offering,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“Risk Factors — Risks Related to our Relationship with Intel and our Dual Class Structure”.</w:t>
      </w:r>
    </w:p>
    <w:p>
      <w:pPr>
        <w:spacing w:after="0" w:line="325"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and Intel expect to continue as strategic partners following the completion of this offering, collaborating on projects to pursue the growth of computing and advanced technology in the automotive sector. In connection with this offering, we have entered into certain agreements (collectively, the “Intercompany Agreements”) with Intel and certain of its subsidiaries that will provide a framework for our ongoing relationship with Intel, including the Master Transaction Agreement, which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330"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color w:val="auto"/>
        </w:rPr>
        <w:t>Key provisions of the Master Transaction Agreement include: we will use our reasonable commercial efforts to satisfy certain conditions to the completion of this offering; we will provide Intel, after the date that is 180 days after the closing of this offering or such earlier date as provided in the Master Transaction Agreement, with certain registration rights to register our common stock, because the shares of our common stock held by Intel after this offering will be deemed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 basis; we and Intel agree to hold the other in most favored status with respect to products purchased or sold for internal use,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rPr>
          <w:sz w:val="20"/>
          <w:szCs w:val="20"/>
          <w:color w:val="auto"/>
        </w:rPr>
      </w:pPr>
      <w:r>
        <w:rPr>
          <w:rFonts w:ascii="Times New Roman" w:cs="Times New Roman" w:eastAsia="Times New Roman" w:hAnsi="Times New Roman"/>
          <w:sz w:val="18"/>
          <w:szCs w:val="18"/>
          <w:color w:val="auto"/>
        </w:rPr>
        <w:t>meaning that the product prices, terms, warranties and benefits provided between us and Intel shall be comparable to or better than the equivalent terms being offered by the party providing the products to any single, present customer of such party; we will grant Intel a continuing right to purchase from us shares of Class A common stock or Class B common stock as is necessary for Intel to maintain an aggregate ownership interest of our common stock representing at least 80.1% of our common stock outstanding; we and Intel will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this offering; for so long as Intel provides us with accounting and financial services under the Administrative Services Agreement that we have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this offering,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this offering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 See “Certain Relationships and Related Party Transactions — Intercompany Agreements.”</w:t>
      </w:r>
    </w:p>
    <w:p>
      <w:pPr>
        <w:spacing w:after="0" w:line="356" w:lineRule="exact"/>
        <w:rPr>
          <w:sz w:val="20"/>
          <w:szCs w:val="20"/>
          <w:color w:val="auto"/>
        </w:rPr>
      </w:pPr>
    </w:p>
    <w:p>
      <w:pPr>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we have entered into a LiDAR Product Collaboration Agreement with Intel and a Technology and Services Agreement with Intel pursuant to which Intel has granted us a limited license to sensitive core technology relating to lidar and radar, respectively. Pursuant to the LiDAR Product Collaboration Agreement, the license is limited to a particular lidar sensor system for ADAS and AV systems in automobiles and to certain types of customers (Tier 1s, OEMs and MaaS), and the development by us of any future products based on Intel technology will depend on future agreements. Further, we are not licensed to manufacture products based on Intel technology with anyone other than Intel.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lidar and radar intellectual property, even if developed solely by us. If we are not able to continue to use or license sensitive core technology related to lidar and radar from Intel, we may not be able to secure alternatives in a timely manner or at all, and our ability to remain competitive would be harmed and that could adversely affect our business, results of operations and financial condition. See “Risk Factors — Risks Related to our Relationship with Intel and our Dual Class Structure — We may have conflicts of interest with Intel and, because of (i) certain provisions in our amended and restated certificate of incorporation relating to related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79"/>
        <w:spacing w:after="0" w:line="266" w:lineRule="auto"/>
        <w:rPr>
          <w:sz w:val="20"/>
          <w:szCs w:val="20"/>
          <w:color w:val="auto"/>
        </w:rPr>
      </w:pPr>
      <w:r>
        <w:rPr>
          <w:rFonts w:ascii="Times New Roman" w:cs="Times New Roman" w:eastAsia="Times New Roman" w:hAnsi="Times New Roman"/>
          <w:sz w:val="18"/>
          <w:szCs w:val="18"/>
          <w:color w:val="auto"/>
        </w:rPr>
        <w:t>person transactions and corporate opportunities, (ii) agreements we have with Intel in connection with this offering, and (iii) Intel’s controlling beneficial ownership interest in our company, we may not be able to resolve such conflicts on terms favorable to us.</w:t>
      </w:r>
    </w:p>
    <w:p>
      <w:pPr>
        <w:spacing w:after="0" w:line="108"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Several of our officers, directors and director nominees also serve as officers, directors and/or other positions at Intel. Mr. Gelsinger, the Chair of our Board of Directors, is the Chief Executive Officer and a director of Intel. Ms. Pambianchi, our director nominee, is an Executive Vice President and the Chief People Officer of Intel. Mr. Huntsman, our director nominee, is the co-chair of the Government Affairs Advisory Committee of Intel. Mr. Yeary, our director nominee, is a director of Intel.</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48" w:lineRule="exact"/>
        <w:rPr>
          <w:sz w:val="20"/>
          <w:szCs w:val="20"/>
          <w:color w:val="auto"/>
        </w:rPr>
      </w:pPr>
    </w:p>
    <w:p>
      <w:pPr>
        <w:ind w:left="1280" w:right="459" w:firstLine="360"/>
        <w:spacing w:after="0" w:line="236" w:lineRule="auto"/>
        <w:rPr>
          <w:sz w:val="20"/>
          <w:szCs w:val="20"/>
          <w:color w:val="auto"/>
        </w:rPr>
      </w:pPr>
      <w:r>
        <w:rPr>
          <w:rFonts w:ascii="Times New Roman" w:cs="Times New Roman" w:eastAsia="Times New Roman" w:hAnsi="Times New Roman"/>
          <w:sz w:val="18"/>
          <w:szCs w:val="18"/>
          <w:color w:val="auto"/>
        </w:rPr>
        <w:t>The Mobileye name, our logo, and other trademarks mentioned in this prospectus, including, among others,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 Ultra™, EyeQ Kit™, Road Experience Management™, REM™, True Redundancy™, Mobileye Chauffeur™, Mobileye Drive™, Mobileye SuperVision™, and Moovit, are the property of Mobileye. Trade names, trademarks, and service marks of other companies appearing in this prospectus are the property of their respective holders.</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99.4% of the voting power of our common stock (or approximately 99.3% if the underwriters exercise their option to purchase additional shares of our Class A common stock in full). In connection with this offering, we have consummated the following transactions:</w:t>
      </w:r>
    </w:p>
    <w:p>
      <w:pPr>
        <w:spacing w:after="0" w:line="75" w:lineRule="exact"/>
        <w:rPr>
          <w:sz w:val="20"/>
          <w:szCs w:val="20"/>
          <w:color w:val="auto"/>
        </w:rPr>
      </w:pPr>
    </w:p>
    <w:p>
      <w:pPr>
        <w:ind w:left="1820" w:right="8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67" w:lineRule="exact"/>
        <w:rPr>
          <w:rFonts w:ascii="Times New Roman" w:cs="Times New Roman" w:eastAsia="Times New Roman" w:hAnsi="Times New Roman"/>
          <w:sz w:val="18"/>
          <w:szCs w:val="18"/>
          <w:color w:val="auto"/>
        </w:rPr>
      </w:pPr>
    </w:p>
    <w:p>
      <w:pPr>
        <w:ind w:left="1820" w:right="67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53"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dividend in an aggregate amount of $336 million to Intel (the “Dividend”), net of $14 million of cash paid to tax authorities to settle related tax obligations, which we completed on May 12, 2022;</w:t>
      </w:r>
    </w:p>
    <w:p>
      <w:pPr>
        <w:spacing w:after="0" w:line="67"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on April 21, 2022 to Intel of a promissory note pursuant to which Cyclops Holdings Corporation, which became one of our consolidated subsidiaries following the completion of the Reorganization, agreed to pay Intel an aggregate of $3.5 billion (the “Dividend Note”);</w:t>
      </w:r>
    </w:p>
    <w:p>
      <w:pPr>
        <w:spacing w:after="0" w:line="67" w:lineRule="exact"/>
        <w:rPr>
          <w:rFonts w:ascii="Times New Roman" w:cs="Times New Roman" w:eastAsia="Times New Roman" w:hAnsi="Times New Roman"/>
          <w:sz w:val="18"/>
          <w:szCs w:val="18"/>
          <w:color w:val="auto"/>
        </w:rPr>
      </w:pPr>
    </w:p>
    <w:p>
      <w:pPr>
        <w:ind w:left="1820" w:right="599" w:hanging="182"/>
        <w:spacing w:after="0" w:line="261"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 which we completed as of the date of this prospectus; and</w:t>
      </w:r>
    </w:p>
    <w:p>
      <w:pPr>
        <w:spacing w:after="0" w:line="85" w:lineRule="exact"/>
        <w:rPr>
          <w:rFonts w:ascii="Times New Roman" w:cs="Times New Roman" w:eastAsia="Times New Roman" w:hAnsi="Times New Roman"/>
          <w:sz w:val="18"/>
          <w:szCs w:val="18"/>
          <w:color w:val="auto"/>
        </w:rPr>
      </w:pPr>
    </w:p>
    <w:p>
      <w:pPr>
        <w:ind w:left="1820" w:right="49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 which we completed as of the date of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99" w:firstLine="360"/>
        <w:spacing w:after="0" w:line="250" w:lineRule="auto"/>
        <w:rPr>
          <w:sz w:val="20"/>
          <w:szCs w:val="20"/>
          <w:color w:val="auto"/>
        </w:rPr>
      </w:pPr>
      <w:r>
        <w:rPr>
          <w:rFonts w:ascii="Times New Roman" w:cs="Times New Roman" w:eastAsia="Times New Roman" w:hAnsi="Times New Roman"/>
          <w:sz w:val="18"/>
          <w:szCs w:val="18"/>
          <w:color w:val="auto"/>
        </w:rPr>
        <w:t>We refer to the foregoing transactions we have consummated in connection with this offering collectively as the “Reorganization.” For further information and descriptions of the transactions in the Reorganization, see “Certain Relationships and Related Party Transactions” and “Unaudited Pro Forma Condensed Combined Financial Information.”</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organizational chart depicts our ownership structure after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40" w:right="539" w:hanging="362"/>
        <w:spacing w:after="0" w:line="282"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Operations” refers to Cyclops Holdings Corporation, Mobileye B.V. and their consolidated subsidiaries, which are the entities primarily conducting our operations, not including Moovit.</w:t>
      </w:r>
    </w:p>
    <w:p>
      <w:pPr>
        <w:spacing w:after="0" w:line="13" w:lineRule="exact"/>
        <w:rPr>
          <w:sz w:val="20"/>
          <w:szCs w:val="20"/>
          <w:color w:val="auto"/>
        </w:rPr>
      </w:pPr>
    </w:p>
    <w:p>
      <w:pPr>
        <w:ind w:left="1640" w:right="659" w:hanging="362"/>
        <w:spacing w:after="0" w:line="261" w:lineRule="auto"/>
        <w:tabs>
          <w:tab w:leader="none" w:pos="1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reflect ownership of Class A and Class B common stock and exclude shares of Class A common stock issuable upon exercise of stock options and shares of Class A common stock issuable upon vesting of restricted stock units, in each case to be issued under our equity incentive plan upon completion of this offering.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Immediately following this offering and the application of the net proceeds from this offering:</w:t>
      </w:r>
    </w:p>
    <w:p>
      <w:pPr>
        <w:spacing w:after="0" w:line="117" w:lineRule="exact"/>
        <w:rPr>
          <w:sz w:val="20"/>
          <w:szCs w:val="20"/>
          <w:color w:val="auto"/>
        </w:rPr>
      </w:pPr>
    </w:p>
    <w:p>
      <w:pPr>
        <w:ind w:left="1820" w:right="499" w:hanging="182"/>
        <w:spacing w:after="0" w:line="25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and outstanding common stock will be held as follows: 45,761,905 shares of our Class A common stock (or 51,911,905 shares if the underwriters exercise their option to purchase additional shares of our Class A common stock in full), representing all of the issued and outstanding shares of our Class A common stock, will be held by investors in this offering and the concurrent private placement; and 750,000,000 shares of our Class B common stock, representing all of the issued and outstanding shares of our Class B common stock, will be beneficially owned by Intel; and</w:t>
      </w:r>
    </w:p>
    <w:p>
      <w:pPr>
        <w:spacing w:after="0" w:line="65" w:lineRule="exact"/>
        <w:rPr>
          <w:rFonts w:ascii="Times New Roman" w:cs="Times New Roman" w:eastAsia="Times New Roman" w:hAnsi="Times New Roman"/>
          <w:sz w:val="18"/>
          <w:szCs w:val="18"/>
          <w:color w:val="auto"/>
        </w:rPr>
      </w:pPr>
    </w:p>
    <w:p>
      <w:pPr>
        <w:jc w:val="both"/>
        <w:ind w:left="1820" w:right="51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voting power will be held as follows: approximately 0.6% (or approximately 0.7% if the underwriters exercise their option to purchase additional shares of our Class A common stock in</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39"/>
        <w:spacing w:after="0" w:line="266" w:lineRule="auto"/>
        <w:rPr>
          <w:sz w:val="20"/>
          <w:szCs w:val="20"/>
          <w:color w:val="auto"/>
        </w:rPr>
      </w:pPr>
      <w:r>
        <w:rPr>
          <w:rFonts w:ascii="Times New Roman" w:cs="Times New Roman" w:eastAsia="Times New Roman" w:hAnsi="Times New Roman"/>
          <w:sz w:val="18"/>
          <w:szCs w:val="18"/>
          <w:color w:val="auto"/>
        </w:rPr>
        <w:t>full) by investors in this offering and the concurrent private placement; and approximately 99.4% (or approximately 99.3% if the underwriters exercise their option to purchase additional shares of our Class A common stock in full) beneficially by Intel.</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General Atlantic has agreed to purchase $100 million of shares of our Class A common stock at a price per share equal to the initial public offering price per share in the concurrent private placement. The sale of such shares will not be registered under the Securities Act, and such shares will be subject to a lock-up agreement with the underwriters for a period of 180 days after the date of this prospectus. See “Underwriting” for a description of the lock-up agreements applicable to our shares. The concurrent private placement is expected to close immediately following the closing of this offering and is subject to customary closing conditions, including the completion of this offering. The closing of this offering is not conditioned upon the closing of the concurrent private placement.</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Revenue for the Three Months Ended October 1, 2022 and September 25, 2021</w:t>
      </w:r>
    </w:p>
    <w:p>
      <w:pPr>
        <w:spacing w:after="0" w:line="146" w:lineRule="exact"/>
        <w:rPr>
          <w:sz w:val="20"/>
          <w:szCs w:val="20"/>
          <w:color w:val="auto"/>
        </w:rPr>
      </w:pPr>
    </w:p>
    <w:p>
      <w:pPr>
        <w:ind w:left="1280" w:right="73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our revenue for the three months ended October 1, 2022 and for the three months ended September 25, 2021 (unaudited).</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 w:type="dxa"/>
            <w:vAlign w:val="bottom"/>
          </w:tcPr>
          <w:p>
            <w:pPr>
              <w:spacing w:after="0"/>
              <w:rPr>
                <w:sz w:val="14"/>
                <w:szCs w:val="14"/>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October 1, 2022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25,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(Actual)</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(Actual)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34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6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$326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1280" w:right="659" w:firstLine="360"/>
        <w:spacing w:after="0" w:line="236" w:lineRule="auto"/>
        <w:rPr>
          <w:sz w:val="20"/>
          <w:szCs w:val="20"/>
          <w:color w:val="auto"/>
        </w:rPr>
      </w:pPr>
      <w:r>
        <w:rPr>
          <w:rFonts w:ascii="Times New Roman" w:cs="Times New Roman" w:eastAsia="Times New Roman" w:hAnsi="Times New Roman"/>
          <w:sz w:val="18"/>
          <w:szCs w:val="18"/>
          <w:color w:val="auto"/>
        </w:rPr>
        <w:t>Revenue for the three months ended October 1, 2022 was $450 million, up by $124 million, or 38%, compared to the three months ended September 25, 2021, driven by an increase of $87 million in sales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an increase of $37 million in sales of Mobileye SuperVisions™, which was launched during the fourth quarter of 2021 and for which no revenue was generated in the three months ended September 25, 2021.</w:t>
      </w:r>
    </w:p>
    <w:p>
      <w:pPr>
        <w:spacing w:after="0" w:line="199" w:lineRule="exact"/>
        <w:rPr>
          <w:sz w:val="20"/>
          <w:szCs w:val="20"/>
          <w:color w:val="auto"/>
        </w:rPr>
      </w:pPr>
    </w:p>
    <w:p>
      <w:pPr>
        <w:ind w:left="1640" w:right="1359"/>
        <w:spacing w:after="0" w:line="340" w:lineRule="auto"/>
        <w:rPr>
          <w:sz w:val="20"/>
          <w:szCs w:val="20"/>
          <w:color w:val="auto"/>
        </w:rPr>
      </w:pPr>
      <w:r>
        <w:rPr>
          <w:rFonts w:ascii="Times New Roman" w:cs="Times New Roman" w:eastAsia="Times New Roman" w:hAnsi="Times New Roman"/>
          <w:sz w:val="18"/>
          <w:szCs w:val="18"/>
          <w:i w:val="1"/>
          <w:iCs w:val="1"/>
          <w:color w:val="auto"/>
        </w:rPr>
        <w:t xml:space="preserve">Preliminary Estimated Operating Results for the Three Months Ended October 1, 2022 </w:t>
      </w:r>
      <w:r>
        <w:rPr>
          <w:rFonts w:ascii="Times New Roman" w:cs="Times New Roman" w:eastAsia="Times New Roman" w:hAnsi="Times New Roman"/>
          <w:sz w:val="18"/>
          <w:szCs w:val="18"/>
          <w:color w:val="auto"/>
        </w:rPr>
        <w:t>Set forth below are preliminary unaudited estimates of certain financial information for the</w:t>
      </w:r>
    </w:p>
    <w:p>
      <w:pPr>
        <w:spacing w:after="0" w:line="1" w:lineRule="exact"/>
        <w:rPr>
          <w:sz w:val="20"/>
          <w:szCs w:val="20"/>
          <w:color w:val="auto"/>
        </w:rPr>
      </w:pPr>
    </w:p>
    <w:p>
      <w:pPr>
        <w:ind w:left="1280" w:right="459"/>
        <w:spacing w:after="0" w:line="251" w:lineRule="auto"/>
        <w:rPr>
          <w:sz w:val="20"/>
          <w:szCs w:val="20"/>
          <w:color w:val="auto"/>
        </w:rPr>
      </w:pPr>
      <w:r>
        <w:rPr>
          <w:rFonts w:ascii="Times New Roman" w:cs="Times New Roman" w:eastAsia="Times New Roman" w:hAnsi="Times New Roman"/>
          <w:sz w:val="18"/>
          <w:szCs w:val="18"/>
          <w:color w:val="auto"/>
        </w:rPr>
        <w:t>three months ended October 1, 2022 and actual unaudited financial information for the three months ended September 25, 2021. We have not yet finalized our financial information for the three months ended October 1, 2022, and therefore the unaudited financial information for the three months ended October 1, 2022 presented herein reflects preliminary estimates based on currently available information and is subject to completion of our financial closing procedures, which we do not expect to complete for the three months ended October 1, 2022 until after the completion of this offering. As a result, our actual results will not be available to you prior to investing in this offering and may vary from the preliminary estimates presented herein. You should also note that additional information on results presented herein will be included in future reports expected to be available only after this offering, such as complete financial results for the three months ended October 1, 2022 and September 25, 2021 and footnote disclosures associated with our financial results.</w:t>
      </w:r>
    </w:p>
    <w:p>
      <w:pPr>
        <w:spacing w:after="0" w:line="341" w:lineRule="exact"/>
        <w:rPr>
          <w:sz w:val="20"/>
          <w:szCs w:val="20"/>
          <w:color w:val="auto"/>
        </w:rPr>
      </w:pPr>
    </w:p>
    <w:p>
      <w:pPr>
        <w:ind w:left="1280" w:right="419" w:firstLine="360"/>
        <w:spacing w:after="0" w:line="256" w:lineRule="auto"/>
        <w:rPr>
          <w:sz w:val="20"/>
          <w:szCs w:val="20"/>
          <w:color w:val="auto"/>
        </w:rPr>
      </w:pPr>
      <w:r>
        <w:rPr>
          <w:rFonts w:ascii="Times New Roman" w:cs="Times New Roman" w:eastAsia="Times New Roman" w:hAnsi="Times New Roman"/>
          <w:sz w:val="18"/>
          <w:szCs w:val="18"/>
          <w:color w:val="auto"/>
        </w:rPr>
        <w:t>These estimates should not be viewed as a substitute for our historical combined financial statements and the accompanying notes included elsewhere in this prospectus. These estimates may not be indicative of the results for any future period as a result of various factors, including, but not limited to, those discussed in the sections titled “Risk Factors” and “Cautionary Note Regarding Forward-Looking Statements.” This information should be read in conjunction with “Management’s Discussion and Analysis of Financial Condition and Results of Operations” for prior periods included elsewhere in this prospectus.</w:t>
      </w:r>
    </w:p>
    <w:p>
      <w:pPr>
        <w:spacing w:after="0" w:line="120" w:lineRule="exact"/>
        <w:rPr>
          <w:sz w:val="20"/>
          <w:szCs w:val="20"/>
          <w:color w:val="auto"/>
        </w:rPr>
      </w:pPr>
    </w:p>
    <w:p>
      <w:pPr>
        <w:ind w:left="1280" w:right="739" w:firstLine="360"/>
        <w:spacing w:after="0" w:line="282" w:lineRule="auto"/>
        <w:rPr>
          <w:sz w:val="20"/>
          <w:szCs w:val="20"/>
          <w:color w:val="auto"/>
        </w:rPr>
      </w:pPr>
      <w:r>
        <w:rPr>
          <w:rFonts w:ascii="Times New Roman" w:cs="Times New Roman" w:eastAsia="Times New Roman" w:hAnsi="Times New Roman"/>
          <w:sz w:val="18"/>
          <w:szCs w:val="18"/>
          <w:color w:val="auto"/>
        </w:rPr>
        <w:t>The estimates presented below have been prepared by, and are the responsibility of, Mobileye’s management. Kesselman &amp; Kesselman (“PwC”), our independent registered public accounting firm, has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19"/>
        <w:spacing w:after="0" w:line="258" w:lineRule="auto"/>
        <w:rPr>
          <w:sz w:val="20"/>
          <w:szCs w:val="20"/>
          <w:color w:val="auto"/>
        </w:rPr>
      </w:pPr>
      <w:r>
        <w:rPr>
          <w:rFonts w:ascii="Times New Roman" w:cs="Times New Roman" w:eastAsia="Times New Roman" w:hAnsi="Times New Roman"/>
          <w:sz w:val="18"/>
          <w:szCs w:val="18"/>
          <w:color w:val="auto"/>
        </w:rPr>
        <w:t>not audited, reviewed, examined, compiled, or applied agreed-upon procedures with respect to the preliminary estimated financial information. Accordingly, PwC does not express an opinion or any other form of assurance with respect thereto.</w:t>
      </w:r>
    </w:p>
    <w:p>
      <w:pPr>
        <w:spacing w:after="0" w:line="136"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October 1, 2022</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25,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Low (estimate)</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High (estimate)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900" w:type="dxa"/>
            <w:vAlign w:val="bottom"/>
            <w:gridSpan w:val="5"/>
          </w:tcPr>
          <w:p>
            <w:pPr>
              <w:jc w:val="center"/>
              <w:ind w:left="26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14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62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w:t>
            </w:r>
          </w:p>
        </w:tc>
        <w:tc>
          <w:tcPr>
            <w:tcW w:w="8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and margin</w:t>
            </w:r>
          </w:p>
        </w:tc>
        <w:tc>
          <w:tcPr>
            <w:tcW w:w="54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 ​</w:t>
            </w:r>
          </w:p>
        </w:tc>
        <w:tc>
          <w:tcPr>
            <w:tcW w:w="5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217</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 ​</w:t>
            </w:r>
          </w:p>
        </w:tc>
        <w:tc>
          <w:tcPr>
            <w:tcW w:w="5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Operating loss and margin</w:t>
            </w:r>
          </w:p>
        </w:tc>
        <w:tc>
          <w:tcPr>
            <w:tcW w:w="5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3"/>
              <w:spacing w:after="0" w:line="202"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040" w:type="dxa"/>
            <w:vAlign w:val="bottom"/>
            <w:gridSpan w:val="2"/>
          </w:tcPr>
          <w:p>
            <w:pPr>
              <w:ind w:left="38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20" w:type="dxa"/>
            <w:vAlign w:val="bottom"/>
            <w:vMerge w:val="continue"/>
          </w:tcPr>
          <w:p>
            <w:pPr>
              <w:spacing w:after="0"/>
              <w:rPr>
                <w:sz w:val="4"/>
                <w:szCs w:val="4"/>
                <w:color w:val="auto"/>
              </w:rPr>
            </w:pPr>
          </w:p>
        </w:tc>
        <w:tc>
          <w:tcPr>
            <w:tcW w:w="5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gridSpan w:val="2"/>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tcPr>
          <w:p>
            <w:pPr>
              <w:jc w:val="right"/>
              <w:ind w:right="263"/>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tcPr>
          <w:p>
            <w:pPr>
              <w:spacing w:after="0"/>
              <w:rPr>
                <w:sz w:val="4"/>
                <w:szCs w:val="4"/>
                <w:color w:val="auto"/>
              </w:rPr>
            </w:pPr>
          </w:p>
        </w:tc>
        <w:tc>
          <w:tcPr>
            <w:tcW w:w="5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tcPr>
          <w:p>
            <w:pPr>
              <w:jc w:val="right"/>
              <w:ind w:right="265"/>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gridSpan w:val="2"/>
            <w:vMerge w:val="continue"/>
          </w:tcPr>
          <w:p>
            <w:pPr>
              <w:spacing w:after="0"/>
              <w:rPr>
                <w:sz w:val="4"/>
                <w:szCs w:val="4"/>
                <w:color w:val="auto"/>
              </w:rPr>
            </w:pPr>
          </w:p>
        </w:tc>
        <w:tc>
          <w:tcPr>
            <w:tcW w:w="440" w:type="dxa"/>
            <w:vAlign w:val="bottom"/>
          </w:tcPr>
          <w:p>
            <w:pPr>
              <w:jc w:val="right"/>
              <w:ind w:right="243"/>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8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r>
              <w:rPr>
                <w:rFonts w:ascii="Times New Roman" w:cs="Times New Roman" w:eastAsia="Times New Roman" w:hAnsi="Times New Roman"/>
                <w:sz w:val="23"/>
                <w:szCs w:val="23"/>
                <w:b w:val="1"/>
                <w:bCs w:val="1"/>
                <w:color w:val="auto"/>
                <w:vertAlign w:val="superscript"/>
              </w:rPr>
              <w:t>(1)</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73%​​ ​</w:t>
            </w:r>
          </w:p>
        </w:tc>
        <w:tc>
          <w:tcPr>
            <w:tcW w:w="5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74%​​ ​</w:t>
            </w:r>
          </w:p>
        </w:tc>
        <w:tc>
          <w:tcPr>
            <w:tcW w:w="5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1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and Margin</w:t>
            </w:r>
            <w:r>
              <w:rPr>
                <w:rFonts w:ascii="Times New Roman" w:cs="Times New Roman" w:eastAsia="Times New Roman" w:hAnsi="Times New Roman"/>
                <w:sz w:val="23"/>
                <w:szCs w:val="23"/>
                <w:b w:val="1"/>
                <w:bCs w:val="1"/>
                <w:color w:val="auto"/>
                <w:vertAlign w:val="superscript"/>
              </w:rPr>
              <w:t>(2)</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 ​</w:t>
            </w: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 ​</w:t>
            </w:r>
          </w:p>
        </w:tc>
        <w:tc>
          <w:tcPr>
            <w:tcW w:w="54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1640" w:right="499" w:hanging="362"/>
        <w:spacing w:after="0" w:line="258"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 For additional information about our non-GAAP measures, see “Management’s Discussion and Analysis of Financial Condition and Result of Operations — Non-GAAP Financial Measures.”</w:t>
      </w:r>
    </w:p>
    <w:p>
      <w:pPr>
        <w:spacing w:after="0" w:line="34" w:lineRule="exact"/>
        <w:rPr>
          <w:rFonts w:ascii="Times New Roman" w:cs="Times New Roman" w:eastAsia="Times New Roman" w:hAnsi="Times New Roman"/>
          <w:sz w:val="18"/>
          <w:szCs w:val="18"/>
          <w:color w:val="auto"/>
        </w:rPr>
      </w:pPr>
    </w:p>
    <w:p>
      <w:pPr>
        <w:ind w:left="1640" w:right="539" w:hanging="362"/>
        <w:spacing w:after="0" w:line="256"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share-based compensation expenses and expenses related to this offering. Operating margin is calculated as operating loss divided by total revenue, and Adjusted Operating Margin is calculated as Adjusted Operating Income divided by total revenue. For additional information about our non-GAAP measures, see “Management’s Discussion and Analysis of Financial Condition and Result of Operations — Non-GAAP Financial Measures.”</w:t>
      </w:r>
    </w:p>
    <w:p>
      <w:pPr>
        <w:spacing w:after="0" w:line="120"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color w:val="auto"/>
        </w:rPr>
        <w:t>We estimate our gross profit for the three months ended October 1, 2022 to increase by $62 million to $64 million as compared to the three months ended September 25, 2021, primarily due to our increase in revenue. We estimate our gross margin to increase to 48% during the three months ended October 1, 2022 from 47% during the three months ended September 25, 2021, mainly due to the lower impact of the cost attributable to amortization of intangible assets as a percentage of revenues. This was partially offset by the impact of SuperVision™ sales contributing lower margin given the greater hardware content this product contains. The rise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due to the global semiconductor shortage and inflationary pressures also had a downward impact on our gross margin, but to a lesser extent than the foregoing because we entered 2022 with an opening balance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inventory that we previously acquired at lower-than-current prices and passed on some of the increased costs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acquired at current prices to our customers.</w:t>
      </w:r>
    </w:p>
    <w:p>
      <w:pPr>
        <w:spacing w:after="0" w:line="219" w:lineRule="exact"/>
        <w:rPr>
          <w:sz w:val="20"/>
          <w:szCs w:val="20"/>
          <w:color w:val="auto"/>
        </w:r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We estimate our operating loss for the three months ended October 1, 2022 to increase by $5 million to $9 million as compared to the three months ended September 25, 2021, due to an increase in research and development expenses and an increase in amortization of acquired intangible assets and share-based compensation expense, partially offset by revenue growth.</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 w:type="dxa"/>
            <w:vAlign w:val="bottom"/>
          </w:tcPr>
          <w:p>
            <w:pPr>
              <w:spacing w:after="0"/>
              <w:rPr>
                <w:sz w:val="14"/>
                <w:szCs w:val="14"/>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October 1, 2022</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25,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6"/>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Low (estimate)</w:t>
            </w:r>
          </w:p>
        </w:tc>
        <w:tc>
          <w:tcPr>
            <w:tcW w:w="1400" w:type="dxa"/>
            <w:vAlign w:val="bottom"/>
            <w:gridSpan w:val="6"/>
          </w:tcPr>
          <w:p>
            <w:pPr>
              <w:jc w:val="right"/>
              <w:ind w:righ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High (estimate)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940" w:type="dxa"/>
            <w:vAlign w:val="bottom"/>
            <w:gridSpan w:val="1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1440" w:type="dxa"/>
            <w:vAlign w:val="bottom"/>
            <w:gridSpan w:val="9"/>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r>
      <w:tr>
        <w:trPr>
          <w:trHeight w:val="20"/>
        </w:trPr>
        <w:tc>
          <w:tcPr>
            <w:tcW w:w="38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9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​$215 ​​ ​</w:t>
            </w:r>
          </w:p>
        </w:tc>
        <w:tc>
          <w:tcPr>
            <w:tcW w:w="10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 ​ ​$217 ​​ ​</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​$153 ​​ ​</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​115 ​​ ​</w:t>
            </w:r>
          </w:p>
        </w:tc>
        <w:tc>
          <w:tcPr>
            <w:tcW w:w="10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 ​ ​ ​115 ​​ ​</w:t>
            </w:r>
          </w:p>
        </w:tc>
        <w:tc>
          <w:tcPr>
            <w:tcW w:w="1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​100 ​​ ​</w:t>
            </w: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b w:val="1"/>
                <w:bCs w:val="1"/>
                <w:color w:val="auto"/>
              </w:rPr>
              <w:t xml:space="preserve"> ​</w:t>
            </w:r>
          </w:p>
        </w:tc>
      </w:tr>
      <w:tr>
        <w:trPr>
          <w:trHeight w:val="27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9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1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line="269" w:lineRule="exact"/>
              <w:rPr>
                <w:sz w:val="20"/>
                <w:szCs w:val="20"/>
                <w:color w:val="auto"/>
              </w:rPr>
            </w:pPr>
            <w:r>
              <w:rPr>
                <w:rFonts w:ascii="Times New Roman" w:cs="Times New Roman" w:eastAsia="Times New Roman" w:hAnsi="Times New Roman"/>
                <w:sz w:val="17"/>
                <w:szCs w:val="17"/>
                <w:color w:val="auto"/>
                <w:w w:val="86"/>
              </w:rPr>
              <w:t>​</w:t>
            </w:r>
            <w:r>
              <w:rPr>
                <w:rFonts w:ascii="Times New Roman" w:cs="Times New Roman" w:eastAsia="Times New Roman" w:hAnsi="Times New Roman"/>
                <w:sz w:val="31"/>
                <w:szCs w:val="31"/>
                <w:color w:val="auto"/>
                <w:w w:val="86"/>
                <w:vertAlign w:val="superscript"/>
              </w:rPr>
              <w:t>—</w:t>
            </w:r>
          </w:p>
        </w:tc>
        <w:tc>
          <w:tcPr>
            <w:tcW w:w="9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1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w w:val="86"/>
              </w:rPr>
              <w:t>​</w:t>
            </w:r>
            <w:r>
              <w:rPr>
                <w:rFonts w:ascii="Times New Roman" w:cs="Times New Roman" w:eastAsia="Times New Roman" w:hAnsi="Times New Roman"/>
                <w:sz w:val="31"/>
                <w:szCs w:val="31"/>
                <w:color w:val="auto"/>
                <w:w w:val="86"/>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4"/>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3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35"/>
                <w:szCs w:val="35"/>
                <w:color w:val="auto"/>
                <w:vertAlign w:val="superscript"/>
              </w:rPr>
              <w:t>$330</w:t>
            </w:r>
            <w:r>
              <w:rPr>
                <w:rFonts w:ascii="Times New Roman" w:cs="Times New Roman" w:eastAsia="Times New Roman" w:hAnsi="Times New Roman"/>
                <w:sz w:val="18"/>
                <w:szCs w:val="18"/>
                <w:color w:val="auto"/>
              </w:rPr>
              <w:t xml:space="preserve"> ​​ ​</w:t>
            </w:r>
          </w:p>
        </w:tc>
        <w:tc>
          <w:tcPr>
            <w:tcW w:w="10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73%</w:t>
            </w:r>
            <w:r>
              <w:rPr>
                <w:rFonts w:ascii="Times New Roman" w:cs="Times New Roman" w:eastAsia="Times New Roman" w:hAnsi="Times New Roman"/>
                <w:sz w:val="18"/>
                <w:szCs w:val="18"/>
                <w:color w:val="auto"/>
              </w:rPr>
              <w:t>​​ ​ ​</w:t>
            </w:r>
            <w:r>
              <w:rPr>
                <w:rFonts w:ascii="Times New Roman" w:cs="Times New Roman" w:eastAsia="Times New Roman" w:hAnsi="Times New Roman"/>
                <w:sz w:val="35"/>
                <w:szCs w:val="35"/>
                <w:color w:val="auto"/>
                <w:vertAlign w:val="superscript"/>
              </w:rPr>
              <w:t>$332</w:t>
            </w:r>
            <w:r>
              <w:rPr>
                <w:rFonts w:ascii="Times New Roman" w:cs="Times New Roman" w:eastAsia="Times New Roman" w:hAnsi="Times New Roman"/>
                <w:sz w:val="18"/>
                <w:szCs w:val="18"/>
                <w:color w:val="auto"/>
              </w:rPr>
              <w:t xml:space="preserve"> ​​ ​</w:t>
            </w: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74%</w:t>
            </w:r>
            <w:r>
              <w:rPr>
                <w:rFonts w:ascii="Times New Roman" w:cs="Times New Roman" w:eastAsia="Times New Roman" w:hAnsi="Times New Roman"/>
                <w:sz w:val="35"/>
                <w:szCs w:val="35"/>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35"/>
                <w:szCs w:val="35"/>
                <w:color w:val="auto"/>
                <w:vertAlign w:val="subscript"/>
              </w:rPr>
              <w:t>​​ ​</w:t>
            </w:r>
          </w:p>
        </w:tc>
        <w:tc>
          <w:tcPr>
            <w:tcW w:w="4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b w:val="1"/>
                <w:bCs w:val="1"/>
                <w:color w:val="auto"/>
                <w:vertAlign w:val="subscript"/>
              </w:rPr>
              <w:t>​</w:t>
            </w:r>
          </w:p>
        </w:tc>
      </w:tr>
    </w:tbl>
    <w:p>
      <w:pPr>
        <w:spacing w:after="0" w:line="175" w:lineRule="exact"/>
        <w:rPr>
          <w:sz w:val="20"/>
          <w:szCs w:val="20"/>
          <w:color w:val="auto"/>
        </w:rPr>
      </w:pPr>
    </w:p>
    <w:p>
      <w:pPr>
        <w:sectPr>
          <w:pgSz w:w="11900" w:h="16838" w:orient="portrait"/>
          <w:cols w:equalWidth="0" w:num="1">
            <w:col w:w="9879"/>
          </w:cols>
          <w:pgMar w:left="580" w:top="97" w:right="1440" w:bottom="1440" w:gutter="0" w:footer="0" w:header="0"/>
        </w:sect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estimate our Adjusted Gross Margin to decrease to a range between 73% and 74% for the</w:t>
      </w:r>
    </w:p>
    <w:p>
      <w:pPr>
        <w:spacing w:after="0" w:line="27" w:lineRule="exact"/>
        <w:rPr>
          <w:sz w:val="20"/>
          <w:szCs w:val="20"/>
          <w:color w:val="auto"/>
        </w:rPr>
      </w:pPr>
    </w:p>
    <w:p>
      <w:pPr>
        <w:ind w:left="1280" w:right="459"/>
        <w:spacing w:after="0" w:line="255" w:lineRule="auto"/>
        <w:rPr>
          <w:sz w:val="20"/>
          <w:szCs w:val="20"/>
          <w:color w:val="auto"/>
        </w:rPr>
      </w:pPr>
      <w:r>
        <w:rPr>
          <w:rFonts w:ascii="Times New Roman" w:cs="Times New Roman" w:eastAsia="Times New Roman" w:hAnsi="Times New Roman"/>
          <w:sz w:val="18"/>
          <w:szCs w:val="18"/>
          <w:color w:val="auto"/>
        </w:rPr>
        <w:t>three months ended October 1, 2022 from 78% for the three months ended September 25, 2021, primarily due to the increased sales of Mobileye SuperVision™ contributing lower margin given the greater hardware content this product contains.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October 1, 2022</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25,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7"/>
          </w:tcPr>
          <w:p>
            <w:pPr>
              <w:ind w:left="1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Low (estimate)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High (estimate)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40" w:type="dxa"/>
            <w:vAlign w:val="bottom"/>
            <w:gridSpan w:val="1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1440" w:type="dxa"/>
            <w:vAlign w:val="bottom"/>
            <w:gridSpan w:val="9"/>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(loss) and operating margin</w:t>
            </w:r>
          </w:p>
        </w:tc>
        <w:tc>
          <w:tcPr>
            <w:tcW w:w="3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1"/>
              </w:rPr>
              <w:t>$ (29)</w:t>
            </w:r>
          </w:p>
        </w:tc>
        <w:tc>
          <w:tcPr>
            <w:tcW w:w="26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jc w:val="right"/>
              <w:ind w:right="126"/>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60" w:type="dxa"/>
            <w:vAlign w:val="bottom"/>
            <w:gridSpan w:val="3"/>
            <w:shd w:val="clear" w:color="auto" w:fill="CCEEFF"/>
          </w:tcPr>
          <w:p>
            <w:pPr>
              <w:jc w:val="right"/>
              <w:ind w:right="145"/>
              <w:spacing w:after="0" w:line="196" w:lineRule="exact"/>
              <w:rPr>
                <w:sz w:val="20"/>
                <w:szCs w:val="20"/>
                <w:color w:val="auto"/>
              </w:rPr>
            </w:pPr>
            <w:r>
              <w:rPr>
                <w:rFonts w:ascii="Times New Roman" w:cs="Times New Roman" w:eastAsia="Times New Roman" w:hAnsi="Times New Roman"/>
                <w:sz w:val="18"/>
                <w:szCs w:val="18"/>
                <w:color w:val="auto"/>
                <w:w w:val="96"/>
              </w:rPr>
              <w:t>$ (25)</w:t>
            </w:r>
          </w:p>
        </w:tc>
        <w:tc>
          <w:tcPr>
            <w:tcW w:w="640" w:type="dxa"/>
            <w:vAlign w:val="bottom"/>
            <w:gridSpan w:val="4"/>
            <w:shd w:val="clear" w:color="auto" w:fill="CCEEFF"/>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w w:val="96"/>
              </w:rPr>
              <w:t>$ (20)</w:t>
            </w:r>
          </w:p>
        </w:tc>
        <w:tc>
          <w:tcPr>
            <w:tcW w:w="380" w:type="dxa"/>
            <w:vAlign w:val="bottom"/>
            <w:tcBorders>
              <w:right w:val="single" w:sz="8" w:color="CCEEFF"/>
            </w:tcBorders>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w w:val="83"/>
              </w:rPr>
              <w:t>(6)%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780" w:type="dxa"/>
            <w:vAlign w:val="bottom"/>
            <w:shd w:val="clear" w:color="auto" w:fill="CCEEFF"/>
          </w:tcPr>
          <w:p>
            <w:pPr>
              <w:spacing w:after="0"/>
              <w:rPr>
                <w:sz w:val="4"/>
                <w:szCs w:val="4"/>
                <w:color w:val="auto"/>
              </w:rPr>
            </w:pPr>
          </w:p>
        </w:tc>
        <w:tc>
          <w:tcPr>
            <w:tcW w:w="560" w:type="dxa"/>
            <w:vAlign w:val="bottom"/>
            <w:gridSpan w:val="2"/>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 ​ ​</w:t>
            </w:r>
          </w:p>
        </w:tc>
        <w:tc>
          <w:tcPr>
            <w:tcW w:w="220" w:type="dxa"/>
            <w:vAlign w:val="bottom"/>
            <w:tcBorders>
              <w:right w:val="single" w:sz="8" w:color="CCEEFF"/>
            </w:tcBorders>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22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ind w:right="3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3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shd w:val="clear" w:color="auto" w:fill="CCEEFF"/>
          </w:tcPr>
          <w:p>
            <w:pPr>
              <w:spacing w:after="0"/>
              <w:rPr>
                <w:sz w:val="4"/>
                <w:szCs w:val="4"/>
                <w:color w:val="auto"/>
              </w:rPr>
            </w:pPr>
          </w:p>
        </w:tc>
        <w:tc>
          <w:tcPr>
            <w:tcW w:w="380" w:type="dxa"/>
            <w:vAlign w:val="bottom"/>
            <w:tcBorders>
              <w:right w:val="single" w:sz="8" w:color="CCEEFF"/>
            </w:tcBorders>
            <w:gridSpan w:val="2"/>
            <w:vMerge w:val="continue"/>
            <w:shd w:val="clear" w:color="auto" w:fill="CCEEFF"/>
          </w:tcPr>
          <w:p>
            <w:pPr>
              <w:spacing w:after="0"/>
              <w:rPr>
                <w:sz w:val="4"/>
                <w:szCs w:val="4"/>
                <w:color w:val="auto"/>
              </w:rPr>
            </w:pPr>
          </w:p>
        </w:tc>
        <w:tc>
          <w:tcPr>
            <w:tcW w:w="38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 ​ ​131 ​​ ​</w:t>
            </w:r>
          </w:p>
        </w:tc>
        <w:tc>
          <w:tcPr>
            <w:tcW w:w="10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​131 ​​ ​</w:t>
            </w:r>
          </w:p>
        </w:tc>
        <w:tc>
          <w:tcPr>
            <w:tcW w:w="160" w:type="dxa"/>
            <w:vAlign w:val="bottom"/>
          </w:tcPr>
          <w:p>
            <w:pPr>
              <w:spacing w:after="0"/>
              <w:rPr>
                <w:sz w:val="22"/>
                <w:szCs w:val="2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 ​</w:t>
            </w:r>
          </w:p>
        </w:tc>
        <w:tc>
          <w:tcPr>
            <w:tcW w:w="80" w:type="dxa"/>
            <w:vAlign w:val="bottom"/>
          </w:tcPr>
          <w:p>
            <w:pPr>
              <w:spacing w:after="0"/>
              <w:rPr>
                <w:sz w:val="22"/>
                <w:szCs w:val="22"/>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​123 ​​ ​</w:t>
            </w: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78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 ​ 36</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 ​</w:t>
            </w: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24 ​​ ​</w:t>
            </w:r>
          </w:p>
        </w:tc>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this offering</w:t>
            </w:r>
          </w:p>
        </w:tc>
        <w:tc>
          <w:tcPr>
            <w:tcW w:w="56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3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34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w w:val="86"/>
              </w:rPr>
              <w:t>​</w:t>
            </w:r>
            <w:r>
              <w:rPr>
                <w:rFonts w:ascii="Times New Roman" w:cs="Times New Roman" w:eastAsia="Times New Roman" w:hAnsi="Times New Roman"/>
                <w:sz w:val="31"/>
                <w:szCs w:val="31"/>
                <w:color w:val="auto"/>
                <w:w w:val="86"/>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840" w:type="dxa"/>
            <w:vAlign w:val="bottom"/>
            <w:gridSpan w:val="4"/>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and margin</w:t>
            </w: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vMerge w:val="continue"/>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$139</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31%</w:t>
            </w:r>
          </w:p>
        </w:tc>
        <w:tc>
          <w:tcPr>
            <w:tcW w:w="68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$143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56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32%</w:t>
            </w: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4"/>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$127</w:t>
            </w:r>
            <w:r>
              <w:rPr>
                <w:rFonts w:ascii="Times New Roman" w:cs="Times New Roman" w:eastAsia="Times New Roman" w:hAnsi="Times New Roman"/>
                <w:sz w:val="16"/>
                <w:szCs w:val="16"/>
                <w:color w:val="auto"/>
              </w:rPr>
              <w:t xml:space="preserve"> ​​ ​</w:t>
            </w:r>
          </w:p>
        </w:tc>
        <w:tc>
          <w:tcPr>
            <w:tcW w:w="380" w:type="dxa"/>
            <w:vAlign w:val="bottom"/>
            <w:tcBorders>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We estimate our Adjusted Operating Income for the three months ended October 1, 2022 to increase by $12 million to $16 million as compared to the three months ended September 25, 2021, primarily due to the growth in our overall business, partially offset by an increase in research and development expenses.</w:t>
      </w:r>
    </w:p>
    <w:p>
      <w:pPr>
        <w:spacing w:after="0" w:line="95"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We estimate our Adjusted Operating Margin to decrease to 31% to 32% for the three months ended October 1, 2022 from 39% for the three months ended September 25, 2021, primarily due to a decrease in our Adjusted Gross Margin and the impact of increased research and development expenses.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81" w:lineRule="exact"/>
        <w:rPr>
          <w:sz w:val="20"/>
          <w:szCs w:val="20"/>
          <w:color w:val="auto"/>
        </w:rPr>
      </w:pPr>
    </w:p>
    <w:p>
      <w:pPr>
        <w:jc w:val="both"/>
        <w:ind w:left="1820" w:right="69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81"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8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w:t>
      </w:r>
    </w:p>
    <w:p>
      <w:pPr>
        <w:spacing w:after="0" w:line="109" w:lineRule="exact"/>
        <w:rPr>
          <w:rFonts w:ascii="Times New Roman" w:cs="Times New Roman" w:eastAsia="Times New Roman" w:hAnsi="Times New Roman"/>
          <w:sz w:val="18"/>
          <w:szCs w:val="18"/>
          <w:color w:val="auto"/>
        </w:rPr>
      </w:pPr>
    </w:p>
    <w:p>
      <w:pPr>
        <w:jc w:val="both"/>
        <w:ind w:left="1820" w:right="539" w:hanging="182"/>
        <w:spacing w:after="0"/>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242" w:lineRule="exact"/>
        <w:rPr>
          <w:rFonts w:ascii="Times New Roman" w:cs="Times New Roman" w:eastAsia="Times New Roman" w:hAnsi="Times New Roman"/>
          <w:sz w:val="18"/>
          <w:szCs w:val="18"/>
          <w:color w:val="auto"/>
        </w:rPr>
      </w:pPr>
    </w:p>
    <w:p>
      <w:pPr>
        <w:jc w:val="both"/>
        <w:ind w:left="1820" w:right="59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81" w:lineRule="exact"/>
        <w:rPr>
          <w:rFonts w:ascii="Times New Roman" w:cs="Times New Roman" w:eastAsia="Times New Roman" w:hAnsi="Times New Roman"/>
          <w:sz w:val="18"/>
          <w:szCs w:val="18"/>
          <w:color w:val="auto"/>
        </w:rPr>
      </w:pPr>
    </w:p>
    <w:p>
      <w:pPr>
        <w:ind w:left="1820" w:right="115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the materials and other components that we use in our solutions would adversely affect our business, results of operations, and financial condition.</w:t>
      </w:r>
    </w:p>
    <w:p>
      <w:pPr>
        <w:spacing w:after="0" w:line="80" w:lineRule="exact"/>
        <w:rPr>
          <w:rFonts w:ascii="Times New Roman" w:cs="Times New Roman" w:eastAsia="Times New Roman" w:hAnsi="Times New Roman"/>
          <w:sz w:val="18"/>
          <w:szCs w:val="18"/>
          <w:color w:val="auto"/>
        </w:rPr>
      </w:pPr>
    </w:p>
    <w:p>
      <w:pPr>
        <w:jc w:val="both"/>
        <w:ind w:left="1820" w:right="419" w:hanging="182"/>
        <w:spacing w:after="0" w:line="261"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519" w:hanging="182"/>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71"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67" w:lineRule="exact"/>
        <w:rPr>
          <w:rFonts w:ascii="Times New Roman" w:cs="Times New Roman" w:eastAsia="Times New Roman" w:hAnsi="Times New Roman"/>
          <w:sz w:val="18"/>
          <w:szCs w:val="18"/>
          <w:color w:val="auto"/>
        </w:rPr>
      </w:pPr>
    </w:p>
    <w:p>
      <w:pPr>
        <w:ind w:left="1820" w:right="779" w:hanging="182"/>
        <w:spacing w:after="0" w:line="258"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5"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Professor Amnon Shashua, our President and Chief Executive Officer.</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and motivate key employees, then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integration risks and costs associated with companies, assets, employees, products, and technologies that we have or that we may acquire, including with our acquisition of Moovit.</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technology systems and networks and cybersecurity incidents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of our in-vehicle systems and related data could impact the safety of our end users and reduce confidence in us and our solutions.</w:t>
      </w:r>
    </w:p>
    <w:p>
      <w:pPr>
        <w:spacing w:after="0" w:line="53"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uncertain economic environment and inflationary conditions may adversely affect global vehicle production and demand for our solutions.</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OEMs are unable to maintain and increase consumer acceptance of ADAS and autonomous driving technology,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new and rapidly evolving, and market opportunity estimates and market growth forecasts included in this prospectus are subject to significant uncertainty.</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67" w:lineRule="exact"/>
        <w:rPr>
          <w:rFonts w:ascii="Times New Roman" w:cs="Times New Roman" w:eastAsia="Times New Roman" w:hAnsi="Times New Roman"/>
          <w:sz w:val="18"/>
          <w:szCs w:val="18"/>
          <w:color w:val="auto"/>
        </w:rPr>
      </w:pPr>
    </w:p>
    <w:p>
      <w:pPr>
        <w:ind w:left="1820" w:right="419" w:hanging="182"/>
        <w:spacing w:after="0" w:line="258"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Intel, and Intel will beneficially own shares of our Class B common stock, representing a majority of the shares of our common stock and approximately 99.4% of the voting power of our outstanding capital stock immediately following this offering. This will limit or preclude your ability to influence corporate matters.</w:t>
      </w:r>
    </w:p>
    <w:p>
      <w:pPr>
        <w:spacing w:after="0" w:line="75" w:lineRule="exact"/>
        <w:rPr>
          <w:rFonts w:ascii="Times New Roman" w:cs="Times New Roman" w:eastAsia="Times New Roman" w:hAnsi="Times New Roman"/>
          <w:sz w:val="18"/>
          <w:szCs w:val="18"/>
          <w:color w:val="auto"/>
        </w:rPr>
      </w:pPr>
    </w:p>
    <w:p>
      <w:pPr>
        <w:ind w:left="1820" w:right="699" w:hanging="182"/>
        <w:spacing w:after="0" w:line="258"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this offering, and (iii) Intel’s controlling beneficial ownership interest in our company, we may not be able to resolve such conflicts on terms favorable to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11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to be sold by us in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60" w:right="80" w:hanging="179"/>
        <w:spacing w:after="0" w:line="266" w:lineRule="auto"/>
        <w:rPr>
          <w:sz w:val="20"/>
          <w:szCs w:val="20"/>
          <w:color w:val="auto"/>
        </w:rPr>
      </w:pPr>
      <w:r>
        <w:rPr>
          <w:rFonts w:ascii="Times New Roman" w:cs="Times New Roman" w:eastAsia="Times New Roman" w:hAnsi="Times New Roman"/>
          <w:sz w:val="18"/>
          <w:szCs w:val="18"/>
          <w:color w:val="auto"/>
        </w:rPr>
        <w:t>Class A common stock to be outstanding after this offering and the concurrent private placement</w:t>
      </w:r>
    </w:p>
    <w:p>
      <w:pPr>
        <w:spacing w:after="0" w:line="200" w:lineRule="exact"/>
        <w:rPr>
          <w:sz w:val="20"/>
          <w:szCs w:val="20"/>
          <w:color w:val="auto"/>
        </w:rPr>
      </w:pPr>
    </w:p>
    <w:p>
      <w:pPr>
        <w:spacing w:after="0" w:line="300" w:lineRule="exact"/>
        <w:rPr>
          <w:sz w:val="20"/>
          <w:szCs w:val="20"/>
          <w:color w:val="auto"/>
        </w:rPr>
      </w:pPr>
    </w:p>
    <w:p>
      <w:pPr>
        <w:ind w:left="1460" w:right="20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right="80" w:hanging="179"/>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54"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 and the concurrent private placement</w:t>
      </w:r>
    </w:p>
    <w:p>
      <w:pPr>
        <w:spacing w:after="0" w:line="200" w:lineRule="exact"/>
        <w:rPr>
          <w:sz w:val="20"/>
          <w:szCs w:val="20"/>
          <w:color w:val="auto"/>
        </w:rPr>
      </w:pPr>
    </w:p>
    <w:p>
      <w:pPr>
        <w:spacing w:after="0" w:line="3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41,000,000 shares</w:t>
      </w:r>
    </w:p>
    <w:p>
      <w:pPr>
        <w:spacing w:after="0" w:line="333" w:lineRule="exact"/>
        <w:rPr>
          <w:sz w:val="20"/>
          <w:szCs w:val="20"/>
          <w:color w:val="auto"/>
        </w:rPr>
      </w:pPr>
    </w:p>
    <w:p>
      <w:pPr>
        <w:ind w:left="240" w:right="419"/>
        <w:spacing w:after="0" w:line="252" w:lineRule="auto"/>
        <w:rPr>
          <w:sz w:val="20"/>
          <w:szCs w:val="20"/>
          <w:color w:val="auto"/>
        </w:rPr>
      </w:pPr>
      <w:r>
        <w:rPr>
          <w:rFonts w:ascii="Times New Roman" w:cs="Times New Roman" w:eastAsia="Times New Roman" w:hAnsi="Times New Roman"/>
          <w:sz w:val="18"/>
          <w:szCs w:val="18"/>
          <w:color w:val="auto"/>
        </w:rPr>
        <w:t>General Atlantic has agreed to purchase $100 million of shares of our Class A common stock at a price per share equal to the initial public offering price per share in the concurrent private placement, or 4,761,905 shares of our Class A common stock based on the initial public offering price of $21.00 per share. The sale of such shares will not be registered under the Securities Act, and such shares will be subject to a lock-up agreement with the underwriters for a period of 180 days after the date of this prospectus. See “Underwriting” for a description of the lock-up agreements applicable to our shares. The concurrent private placement is expected to close immediately following the closing of this offering and is subject to customary closing conditions, including the completion of this offering. The closing of this offering is not conditioned upon the closing of the concurrent private placement.</w:t>
      </w:r>
    </w:p>
    <w:p>
      <w:pPr>
        <w:spacing w:after="0" w:line="200" w:lineRule="exact"/>
        <w:rPr>
          <w:sz w:val="20"/>
          <w:szCs w:val="20"/>
          <w:color w:val="auto"/>
        </w:rPr>
      </w:pPr>
    </w:p>
    <w:p>
      <w:pPr>
        <w:spacing w:after="0" w:line="319" w:lineRule="exact"/>
        <w:rPr>
          <w:sz w:val="20"/>
          <w:szCs w:val="20"/>
          <w:color w:val="auto"/>
        </w:rPr>
      </w:pPr>
    </w:p>
    <w:p>
      <w:pPr>
        <w:ind w:left="240" w:right="439"/>
        <w:spacing w:after="0" w:line="266" w:lineRule="auto"/>
        <w:rPr>
          <w:sz w:val="20"/>
          <w:szCs w:val="20"/>
          <w:color w:val="auto"/>
        </w:rPr>
      </w:pPr>
      <w:r>
        <w:rPr>
          <w:rFonts w:ascii="Times New Roman" w:cs="Times New Roman" w:eastAsia="Times New Roman" w:hAnsi="Times New Roman"/>
          <w:sz w:val="18"/>
          <w:szCs w:val="18"/>
          <w:color w:val="auto"/>
        </w:rPr>
        <w:t>45,761,905 shares (or 51,911,905 shares if the underwriters exercise their option to purchase additional shares of our Class A common stock in full).</w:t>
      </w:r>
    </w:p>
    <w:p>
      <w:pPr>
        <w:spacing w:after="0" w:line="284" w:lineRule="exact"/>
        <w:rPr>
          <w:sz w:val="20"/>
          <w:szCs w:val="20"/>
          <w:color w:val="auto"/>
        </w:rPr>
      </w:pPr>
    </w:p>
    <w:p>
      <w:pPr>
        <w:ind w:left="240" w:right="499"/>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6,150,000 additional shares of our Class A common stock. The underwriters may exercise this option at any time within 30 days from the date of this prospectus. See “Underwriting.”</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750,000,000 shares</w:t>
      </w:r>
    </w:p>
    <w:p>
      <w:pPr>
        <w:spacing w:after="0" w:line="200" w:lineRule="exact"/>
        <w:rPr>
          <w:sz w:val="20"/>
          <w:szCs w:val="20"/>
          <w:color w:val="auto"/>
        </w:rPr>
      </w:pPr>
    </w:p>
    <w:p>
      <w:pPr>
        <w:spacing w:after="0" w:line="349" w:lineRule="exact"/>
        <w:rPr>
          <w:sz w:val="20"/>
          <w:szCs w:val="20"/>
          <w:color w:val="auto"/>
        </w:rPr>
      </w:pPr>
    </w:p>
    <w:p>
      <w:pPr>
        <w:ind w:left="240" w:right="679"/>
        <w:spacing w:after="0" w:line="266" w:lineRule="auto"/>
        <w:rPr>
          <w:sz w:val="20"/>
          <w:szCs w:val="20"/>
          <w:color w:val="auto"/>
        </w:rPr>
      </w:pPr>
      <w:r>
        <w:rPr>
          <w:rFonts w:ascii="Times New Roman" w:cs="Times New Roman" w:eastAsia="Times New Roman" w:hAnsi="Times New Roman"/>
          <w:sz w:val="18"/>
          <w:szCs w:val="18"/>
          <w:color w:val="auto"/>
        </w:rPr>
        <w:t>795,761,905 shares (or 801,911,905 shares if the underwriters exercise their option to purchase additional shares of our Class A common stock in full).</w:t>
      </w:r>
    </w:p>
    <w:p>
      <w:pPr>
        <w:spacing w:after="0" w:line="68" w:lineRule="exact"/>
        <w:rPr>
          <w:sz w:val="20"/>
          <w:szCs w:val="20"/>
          <w:color w:val="auto"/>
        </w:rPr>
      </w:pPr>
    </w:p>
    <w:p>
      <w:pPr>
        <w:ind w:left="240" w:right="579"/>
        <w:spacing w:after="0" w:line="254" w:lineRule="auto"/>
        <w:rPr>
          <w:sz w:val="20"/>
          <w:szCs w:val="20"/>
          <w:color w:val="auto"/>
        </w:rPr>
      </w:pPr>
      <w:r>
        <w:rPr>
          <w:rFonts w:ascii="Times New Roman" w:cs="Times New Roman" w:eastAsia="Times New Roman" w:hAnsi="Times New Roman"/>
          <w:sz w:val="18"/>
          <w:szCs w:val="18"/>
          <w:color w:val="auto"/>
        </w:rPr>
        <w:t>We expect to receive net proceeds of approximately $0.9 billion (or approximately $1.0 billion if the underwriters exercise their option to purchase additional shares of our Class A common stock in full) from the sale of our Class A common stock in this offering and the concurrent private placement based on the initial public offering price of $21.00 per share and after deducting commissions and estimated offering expenses payable by us.</w:t>
      </w:r>
    </w:p>
    <w:p>
      <w:pPr>
        <w:spacing w:after="0" w:line="200" w:lineRule="exact"/>
        <w:rPr>
          <w:sz w:val="20"/>
          <w:szCs w:val="20"/>
          <w:color w:val="auto"/>
        </w:rPr>
      </w:pPr>
    </w:p>
    <w:p>
      <w:pPr>
        <w:sectPr>
          <w:pgSz w:w="11900" w:h="16838" w:orient="portrait"/>
          <w:cols w:equalWidth="0" w:num="2">
            <w:col w:w="4440" w:space="280"/>
            <w:col w:w="51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intend to use the net proceeds that we receive from this</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and the concurrent private placement to: (i) retain</w:t>
      </w:r>
    </w:p>
    <w:p>
      <w:pPr>
        <w:ind w:left="4960"/>
        <w:spacing w:after="0" w:line="234" w:lineRule="auto"/>
        <w:rPr>
          <w:sz w:val="20"/>
          <w:szCs w:val="20"/>
          <w:color w:val="auto"/>
        </w:rPr>
      </w:pPr>
      <w:r>
        <w:rPr>
          <w:rFonts w:ascii="Times New Roman" w:cs="Times New Roman" w:eastAsia="Times New Roman" w:hAnsi="Times New Roman"/>
          <w:sz w:val="18"/>
          <w:szCs w:val="18"/>
          <w:color w:val="auto"/>
        </w:rPr>
        <w:t>for working capital and general corporate purposes a</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portion of the net proceeds in such amount as is necessary</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 meet the minimum cash requirement in the Master</w:t>
      </w:r>
    </w:p>
    <w:p>
      <w:pPr>
        <w:ind w:left="4960"/>
        <w:spacing w:after="0" w:line="234" w:lineRule="auto"/>
        <w:rPr>
          <w:sz w:val="20"/>
          <w:szCs w:val="20"/>
          <w:color w:val="auto"/>
        </w:rPr>
      </w:pPr>
      <w:r>
        <w:rPr>
          <w:rFonts w:ascii="Times New Roman" w:cs="Times New Roman" w:eastAsia="Times New Roman" w:hAnsi="Times New Roman"/>
          <w:sz w:val="18"/>
          <w:szCs w:val="18"/>
          <w:color w:val="auto"/>
        </w:rPr>
        <w:t>Transaction Agreement described below; and (ii) to repay a</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portion of the indebtedness owed to Intel under the</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Dividend Note. Intel has agreed to contribute to Mobileye</w:t>
      </w:r>
    </w:p>
    <w:p>
      <w:pPr>
        <w:ind w:left="4960"/>
        <w:spacing w:after="0" w:line="234" w:lineRule="auto"/>
        <w:rPr>
          <w:sz w:val="20"/>
          <w:szCs w:val="20"/>
          <w:color w:val="auto"/>
        </w:rPr>
      </w:pPr>
      <w:r>
        <w:rPr>
          <w:rFonts w:ascii="Times New Roman" w:cs="Times New Roman" w:eastAsia="Times New Roman" w:hAnsi="Times New Roman"/>
          <w:sz w:val="18"/>
          <w:szCs w:val="18"/>
          <w:color w:val="auto"/>
        </w:rPr>
        <w:t>Global Inc. any remaining portion of the Dividend Note in</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excess of such repayment in connection with this offering</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the concurrent private placement, so that no amounts</w:t>
      </w:r>
    </w:p>
    <w:p>
      <w:pPr>
        <w:ind w:left="4960"/>
        <w:spacing w:after="0" w:line="234" w:lineRule="auto"/>
        <w:rPr>
          <w:sz w:val="20"/>
          <w:szCs w:val="20"/>
          <w:color w:val="auto"/>
        </w:rPr>
      </w:pPr>
      <w:r>
        <w:rPr>
          <w:rFonts w:ascii="Times New Roman" w:cs="Times New Roman" w:eastAsia="Times New Roman" w:hAnsi="Times New Roman"/>
          <w:sz w:val="18"/>
          <w:szCs w:val="18"/>
          <w:color w:val="auto"/>
        </w:rPr>
        <w:t>under the Dividend Note would remain owed by us to Intel</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after the completion of the transactions contemplated by</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this offering and the concurrent private placement. Under</w:t>
      </w:r>
    </w:p>
    <w:p>
      <w:pPr>
        <w:ind w:left="4960"/>
        <w:spacing w:after="0" w:line="234" w:lineRule="auto"/>
        <w:rPr>
          <w:sz w:val="20"/>
          <w:szCs w:val="20"/>
          <w:color w:val="auto"/>
        </w:rPr>
      </w:pPr>
      <w:r>
        <w:rPr>
          <w:rFonts w:ascii="Times New Roman" w:cs="Times New Roman" w:eastAsia="Times New Roman" w:hAnsi="Times New Roman"/>
          <w:sz w:val="18"/>
          <w:szCs w:val="18"/>
          <w:color w:val="auto"/>
        </w:rPr>
        <w:t>the terms of the Master Transaction Agreement we have</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entered into with Intel in connection with this offering,</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immediately after completion of this offering and on a pro</w:t>
      </w:r>
    </w:p>
    <w:p>
      <w:pPr>
        <w:ind w:left="4960"/>
        <w:spacing w:after="0" w:line="234" w:lineRule="auto"/>
        <w:rPr>
          <w:sz w:val="20"/>
          <w:szCs w:val="20"/>
          <w:color w:val="auto"/>
        </w:rPr>
      </w:pPr>
      <w:r>
        <w:rPr>
          <w:rFonts w:ascii="Times New Roman" w:cs="Times New Roman" w:eastAsia="Times New Roman" w:hAnsi="Times New Roman"/>
          <w:sz w:val="18"/>
          <w:szCs w:val="18"/>
          <w:color w:val="auto"/>
        </w:rPr>
        <w:t>forma basis after all expenses of this offering have been</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paid (and after giving effect to any repayment of</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indebtedness by us to Intel and any other transactions</w:t>
      </w:r>
    </w:p>
    <w:p>
      <w:pPr>
        <w:ind w:left="4960"/>
        <w:spacing w:after="0" w:line="234" w:lineRule="auto"/>
        <w:rPr>
          <w:sz w:val="20"/>
          <w:szCs w:val="20"/>
          <w:color w:val="auto"/>
        </w:rPr>
      </w:pPr>
      <w:r>
        <w:rPr>
          <w:rFonts w:ascii="Times New Roman" w:cs="Times New Roman" w:eastAsia="Times New Roman" w:hAnsi="Times New Roman"/>
          <w:sz w:val="18"/>
          <w:szCs w:val="18"/>
          <w:color w:val="auto"/>
        </w:rPr>
        <w:t>contemplated to occur substantially concurrently with this</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Intel agreed to ensure that we will have $1.0</w:t>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billion in cash, cash equivalents, or marketable securities.</w:t>
      </w:r>
    </w:p>
    <w:p>
      <w:pPr>
        <w:spacing w:after="0" w:line="1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Directed Share Program</w:t>
      </w:r>
      <w:r>
        <w:rPr>
          <w:sz w:val="20"/>
          <w:szCs w:val="20"/>
          <w:color w:val="auto"/>
        </w:rPr>
        <w:tab/>
      </w:r>
      <w:r>
        <w:rPr>
          <w:rFonts w:ascii="Times New Roman" w:cs="Times New Roman" w:eastAsia="Times New Roman" w:hAnsi="Times New Roman"/>
          <w:sz w:val="18"/>
          <w:szCs w:val="18"/>
          <w:color w:val="auto"/>
        </w:rPr>
        <w:t>At our request, the underwriters have reserved up 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2,050,000 shares of Class A common stock, or 5%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offered by this prospectus, for sale at the initial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public offering price to our directors and to the directors,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executive officers, and certain employees of Intel. Shares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purchased through the directed share program will not be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subject to a lock-up restriction, except in the case of shares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purchased by any of our directors. The number of shares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Class A common stock available for sale to the general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public will be reduced to the extent these individuals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purchase such reserved shares. Any reserved shares that are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not so purchased will be offered by the underwriters to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general public on the same basis as the other shares offered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this prospectus. Morgan Stanley &amp; Co. LLC is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administering our directed share program. See “Certain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Relationships and Related Party Transactions,” “Shares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Eligible for Future Sale,” and “Underwriting — Directed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 Program.”</w:t>
      </w:r>
    </w:p>
    <w:p>
      <w:pPr>
        <w:spacing w:after="0" w:line="99" w:lineRule="exact"/>
        <w:rPr>
          <w:sz w:val="20"/>
          <w:szCs w:val="20"/>
          <w:color w:val="auto"/>
        </w:rPr>
      </w:pPr>
    </w:p>
    <w:p>
      <w:pPr>
        <w:jc w:val="both"/>
        <w:ind w:left="4960" w:right="459" w:hanging="3679"/>
        <w:spacing w:after="0" w:line="266" w:lineRule="auto"/>
        <w:tabs>
          <w:tab w:leader="none" w:pos="4940" w:val="left"/>
        </w:tabs>
        <w:rPr>
          <w:sz w:val="20"/>
          <w:szCs w:val="20"/>
          <w:color w:val="auto"/>
        </w:rPr>
      </w:pPr>
      <w:r>
        <w:rPr>
          <w:rFonts w:ascii="Times New Roman" w:cs="Times New Roman" w:eastAsia="Times New Roman" w:hAnsi="Times New Roman"/>
          <w:sz w:val="18"/>
          <w:szCs w:val="18"/>
          <w:color w:val="auto"/>
        </w:rPr>
        <w:t>Voting</w:t>
      </w:r>
      <w:r>
        <w:rPr>
          <w:sz w:val="20"/>
          <w:szCs w:val="20"/>
          <w:color w:val="auto"/>
        </w:rPr>
        <w:tab/>
      </w:r>
      <w:r>
        <w:rPr>
          <w:rFonts w:ascii="Times New Roman" w:cs="Times New Roman" w:eastAsia="Times New Roman" w:hAnsi="Times New Roman"/>
          <w:sz w:val="18"/>
          <w:szCs w:val="18"/>
          <w:color w:val="auto"/>
        </w:rPr>
        <w:t>Each share of our Class A common stock will be entitled to one vote. Each share of our Class B common stock will be entitled to ten votes.</w:t>
      </w:r>
    </w:p>
    <w:p>
      <w:pPr>
        <w:spacing w:after="0" w:line="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holders of our Class A common stock and Class B</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 will generally vote together as a single class</w:t>
      </w:r>
    </w:p>
    <w:p>
      <w:pPr>
        <w:ind w:left="4960"/>
        <w:spacing w:after="0" w:line="234" w:lineRule="auto"/>
        <w:rPr>
          <w:sz w:val="20"/>
          <w:szCs w:val="20"/>
          <w:color w:val="auto"/>
        </w:rPr>
      </w:pPr>
      <w:r>
        <w:rPr>
          <w:rFonts w:ascii="Times New Roman" w:cs="Times New Roman" w:eastAsia="Times New Roman" w:hAnsi="Times New Roman"/>
          <w:sz w:val="18"/>
          <w:szCs w:val="18"/>
          <w:color w:val="auto"/>
        </w:rPr>
        <w:t>on all matters submitted to a vote of our stockholders</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unless otherwise required by Delaware law or our amended</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restated certificate of incorporation. See “Description</w:t>
      </w:r>
    </w:p>
    <w:p>
      <w:pPr>
        <w:ind w:left="4960"/>
        <w:spacing w:after="0"/>
        <w:rPr>
          <w:sz w:val="20"/>
          <w:szCs w:val="20"/>
          <w:color w:val="auto"/>
        </w:rPr>
      </w:pPr>
      <w:r>
        <w:rPr>
          <w:rFonts w:ascii="Times New Roman" w:cs="Times New Roman" w:eastAsia="Times New Roman" w:hAnsi="Times New Roman"/>
          <w:sz w:val="18"/>
          <w:szCs w:val="18"/>
          <w:color w:val="auto"/>
        </w:rPr>
        <w:t>of Capital Stock.”</w:t>
      </w:r>
    </w:p>
    <w:p>
      <w:pPr>
        <w:spacing w:after="0" w:line="84" w:lineRule="exact"/>
        <w:rPr>
          <w:sz w:val="20"/>
          <w:szCs w:val="20"/>
          <w:color w:val="auto"/>
        </w:rPr>
      </w:pPr>
    </w:p>
    <w:p>
      <w:pPr>
        <w:ind w:left="4960" w:right="759" w:hanging="3671"/>
        <w:spacing w:after="0" w:line="282" w:lineRule="auto"/>
        <w:tabs>
          <w:tab w:leader="none" w:pos="4940" w:val="left"/>
        </w:tabs>
        <w:rPr>
          <w:sz w:val="20"/>
          <w:szCs w:val="20"/>
          <w:color w:val="auto"/>
        </w:rPr>
      </w:pPr>
      <w:r>
        <w:rPr>
          <w:rFonts w:ascii="Times New Roman" w:cs="Times New Roman" w:eastAsia="Times New Roman" w:hAnsi="Times New Roman"/>
          <w:sz w:val="18"/>
          <w:szCs w:val="18"/>
          <w:color w:val="auto"/>
        </w:rPr>
        <w:t>Concentration of ownership</w:t>
      </w:r>
      <w:r>
        <w:rPr>
          <w:sz w:val="20"/>
          <w:szCs w:val="20"/>
          <w:color w:val="auto"/>
        </w:rPr>
        <w:tab/>
      </w:r>
      <w:r>
        <w:rPr>
          <w:rFonts w:ascii="Times New Roman" w:cs="Times New Roman" w:eastAsia="Times New Roman" w:hAnsi="Times New Roman"/>
          <w:sz w:val="18"/>
          <w:szCs w:val="18"/>
          <w:color w:val="auto"/>
        </w:rPr>
        <w:t>Intel, which beneficially owns 100% of the outstanding shares of our common stock prior to this offering,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beneficially own approximately 99.4% of the voting power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(or approximately 99.3% if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 our Class A common stock in full) after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completion of this offering and, as a result, will have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ability to control the outcome of matters submitted to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stockholders for approval, including the election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transactions. See “Description of Capital Stock.”</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will be a “controlled company” within the meaning of</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corporate governance standards of Nasdaq. See</w:t>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“Management — Controlled Company Exemption.”</w:t>
      </w:r>
    </w:p>
    <w:p>
      <w:pPr>
        <w:spacing w:after="0" w:line="8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In connection with the Reorganization, on April 21, 2022,</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distributed to Intel the Dividend Note agreeing to pay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Intel an aggregate of $3.5 billion. We intend to use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significant portion of the net proceeds that we receive from</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this offering and the concurrent private placement to repay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indebtedness under the Dividend Note. Intel has agreed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contribute to Mobileye Global Inc. any remaining portion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the Dividend Note in excess of such repayment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connection with this offering and the concurrent private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placement, so that no amounts under the Dividend Note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will remain owed by us to Intel after the completion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transactions contemplated by this offering and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concurrent private placement. See “Use of Proceeds.”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connection with the Reorganization, on May 12, 2022, we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declared and paid the Dividend in an aggregate amount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$336 million to Intel, net of $14 million of cash paid to tax</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authorities to settle related tax obligations.</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Following the completion of this offering, we intend to</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retain any future earnings and do not anticipate declaring or</w:t>
      </w:r>
    </w:p>
    <w:p>
      <w:pPr>
        <w:ind w:left="4960"/>
        <w:spacing w:after="0"/>
        <w:rPr>
          <w:sz w:val="20"/>
          <w:szCs w:val="20"/>
          <w:color w:val="auto"/>
        </w:rPr>
      </w:pPr>
      <w:r>
        <w:rPr>
          <w:rFonts w:ascii="Times New Roman" w:cs="Times New Roman" w:eastAsia="Times New Roman" w:hAnsi="Times New Roman"/>
          <w:sz w:val="18"/>
          <w:szCs w:val="18"/>
          <w:color w:val="auto"/>
        </w:rPr>
        <w:t>paying any cash dividends in the foreseeable future.</w:t>
      </w:r>
    </w:p>
    <w:p>
      <w:pPr>
        <w:spacing w:after="0" w:line="1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declaration and payment of future dividends to holders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will be at the sole discretion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board of directors and will depend on many factors,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including economic conditions, our financial condition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operating results, our available cash and current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anticipated cash needs, capital requirements, legal, tax,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regulatory restrictions, including restrictive covenants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contained in certain of our subsidiaries’ credit facilities,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such other factors as our board of directors may deem</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relevant. See “Dividend Policy.”</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Intercompany Agreements</w:t>
      </w:r>
      <w:r>
        <w:rPr>
          <w:sz w:val="20"/>
          <w:szCs w:val="20"/>
          <w:color w:val="auto"/>
        </w:rPr>
        <w:tab/>
      </w:r>
      <w:r>
        <w:rPr>
          <w:rFonts w:ascii="Times New Roman" w:cs="Times New Roman" w:eastAsia="Times New Roman" w:hAnsi="Times New Roman"/>
          <w:sz w:val="18"/>
          <w:szCs w:val="18"/>
          <w:color w:val="auto"/>
        </w:rPr>
        <w:t>In connection with this offering, we have entered into the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Intercompany Agreements with Intel and certain of its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subsidiaries, whereby Intel and such subsidiaries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continue to provide certain administrative and operational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services and will supply and license certain technologies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us, and we will supply Intel with certain technologies.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“Certain Relationships and Related Party Transactions —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Intercompany Agreements.”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Our Class A common stock has been approved for listing</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Nasdaq under the symbol “MBLY”.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Indications of interest</w:t>
      </w:r>
      <w:r>
        <w:rPr>
          <w:sz w:val="20"/>
          <w:szCs w:val="20"/>
          <w:color w:val="auto"/>
        </w:rPr>
        <w:tab/>
      </w:r>
      <w:r>
        <w:rPr>
          <w:rFonts w:ascii="Times New Roman" w:cs="Times New Roman" w:eastAsia="Times New Roman" w:hAnsi="Times New Roman"/>
          <w:sz w:val="18"/>
          <w:szCs w:val="18"/>
          <w:color w:val="auto"/>
        </w:rPr>
        <w:t>The Cornerstone Investors have, severally and not jointly,</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indicated an interest in purchasing up to an aggregate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$330 million of the shares of our Class A common stock</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offered in this offering at the initial public offering price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on the same terms and conditions as the other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purchasers in this offering. The underwriters will receive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same underwriting discount on any shares of our Class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 common stock purchased by the Cornerstone Investors as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they will from any other shares of Class A common stock</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sold to the public in this offering, and any such shares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would not be subject to a lock-up. In addition, Professor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Shashua, our Chief Executive Officer, President, and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member of our board of directors, has indicated an interest</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 purchasing up to $10 million of the shares of our Class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 offered in this offering at the initial public</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price, and any such shares would be subject to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lock-up agreement with the underwriters.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“Underwriting” for a description of the lock-up agreements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applicable to our shares. Because these indications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interest are not binding agreements or commitments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purchase, the Cornerstone Investors and/or Professor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Shashua could determine to purchase more, less, or no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in this offering, and the underwriters could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determine to sell more, less, or no shares to any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Cornerstone Investors or Professor Shashua. As a result,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underwriters may allocate such shares to other investors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this offering.</w:t>
      </w:r>
    </w:p>
    <w:p>
      <w:pPr>
        <w:spacing w:after="0" w:line="4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for a discussion of factors you should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carefully consider before deciding to invest in our Class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w:t>
      </w:r>
    </w:p>
    <w:p>
      <w:pPr>
        <w:spacing w:after="0" w:line="45" w:lineRule="exact"/>
        <w:rPr>
          <w:sz w:val="20"/>
          <w:szCs w:val="20"/>
          <w:color w:val="auto"/>
        </w:rPr>
      </w:pPr>
    </w:p>
    <w:p>
      <w:pPr>
        <w:ind w:left="1280" w:right="919" w:firstLine="360"/>
        <w:spacing w:after="0" w:line="281"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and concurrent private placement:</w:t>
      </w:r>
    </w:p>
    <w:p>
      <w:pPr>
        <w:spacing w:after="0" w:line="1" w:lineRule="exact"/>
        <w:rPr>
          <w:sz w:val="20"/>
          <w:szCs w:val="20"/>
          <w:color w:val="auto"/>
        </w:rPr>
      </w:pPr>
    </w:p>
    <w:p>
      <w:pPr>
        <w:ind w:left="1820" w:right="1079" w:hanging="182"/>
        <w:spacing w:after="0" w:line="281"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zero shares of our Class A common stock and 750,000,000 shares of our Class B common stock outstanding as of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1820" w:right="419" w:hanging="182"/>
        <w:spacing w:after="0" w:line="258"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12,595,238 shares of our Class A common stock based on the initial public offering price of $21.00 per share, issuable upon the vesting of restricted stock units to be issued under our equity incentive plan upon the completion of this offering, none of which restricted stock units will be vested at such time (our board of directors has approved these issuances in an aggregate value of $264,500,000); and</w:t>
      </w:r>
    </w:p>
    <w:p>
      <w:pPr>
        <w:spacing w:after="0" w:line="21"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additional 27,192,857 shares of our Class A common stock reserved for future issuance under our equity incentive plan.</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w:t>
      </w:r>
    </w:p>
    <w:p>
      <w:pPr>
        <w:spacing w:after="0" w:line="63" w:lineRule="exact"/>
        <w:rPr>
          <w:sz w:val="20"/>
          <w:szCs w:val="20"/>
          <w:color w:val="auto"/>
        </w:rPr>
      </w:pPr>
    </w:p>
    <w:p>
      <w:pPr>
        <w:ind w:left="1820" w:hanging="182"/>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Reorganization;</w:t>
      </w:r>
    </w:p>
    <w:p>
      <w:pPr>
        <w:spacing w:after="0" w:line="6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the initial public offering price of $21.00 per share of our Class A common stock;</w:t>
      </w:r>
    </w:p>
    <w:p>
      <w:pPr>
        <w:spacing w:after="0" w:line="63" w:lineRule="exact"/>
        <w:rPr>
          <w:rFonts w:ascii="Times New Roman" w:cs="Times New Roman" w:eastAsia="Times New Roman" w:hAnsi="Times New Roman"/>
          <w:sz w:val="18"/>
          <w:szCs w:val="18"/>
          <w:color w:val="auto"/>
        </w:rPr>
      </w:pPr>
    </w:p>
    <w:p>
      <w:pPr>
        <w:ind w:left="1820" w:right="639" w:hanging="182"/>
        <w:spacing w:after="0" w:line="281"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filing and effectiveness of our amended and restated certificate of incorporation and the adoption of our amended and restated bylaws;</w:t>
      </w:r>
    </w:p>
    <w:p>
      <w:pPr>
        <w:spacing w:after="0" w:line="1" w:lineRule="exact"/>
        <w:rPr>
          <w:rFonts w:ascii="Times New Roman" w:cs="Times New Roman" w:eastAsia="Times New Roman" w:hAnsi="Times New Roman"/>
          <w:sz w:val="18"/>
          <w:szCs w:val="18"/>
          <w:color w:val="auto"/>
        </w:rPr>
      </w:pPr>
    </w:p>
    <w:p>
      <w:pPr>
        <w:ind w:left="1820" w:right="1079" w:hanging="182"/>
        <w:spacing w:after="0" w:line="281"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our Class A common stock; and</w:t>
      </w:r>
    </w:p>
    <w:p>
      <w:pPr>
        <w:spacing w:after="0" w:line="1" w:lineRule="exact"/>
        <w:rPr>
          <w:rFonts w:ascii="Times New Roman" w:cs="Times New Roman" w:eastAsia="Times New Roman" w:hAnsi="Times New Roman"/>
          <w:sz w:val="18"/>
          <w:szCs w:val="18"/>
          <w:color w:val="auto"/>
        </w:rPr>
      </w:pPr>
    </w:p>
    <w:p>
      <w:pPr>
        <w:ind w:left="1820" w:right="55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and sale by us of 4,761,905 shares of our Class A common stock based on the initial public offering price of $21.00 per share to General Atlantic upon the closing of the concurrent private placement.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900" w:right="120"/>
        <w:spacing w:after="0" w:line="286" w:lineRule="auto"/>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COMBINED FINANCIAL INFORMATION</w:t>
      </w:r>
    </w:p>
    <w:p>
      <w:pPr>
        <w:spacing w:after="0" w:line="91"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Set forth below are summary historical and unaudited pro forma condensed combined financial information. The summary historical combined financial information includes costs of our business, which include the allocation of certain expenses from Intel. We believe these allocations were made on a reasonable basis. The summary historical combined balance sheet information as of December 25, 2021 and December 26, 2020, and the summary historical combined statements of operations information for</w:t>
      </w:r>
    </w:p>
    <w:p>
      <w:pPr>
        <w:spacing w:after="0" w:line="3"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the years ended December 25, 2021, December 26, 2020, and December 28, 2019 have been derived from the historical combined financial statements of Mobileye Group (as such term is described in our combined financial statements and the accompanying notes included elsewhere in this prospectus) and included elsewhere in this prospectus. The summary condensed combined statements of operations for the six months ended July 2, 2022 and June 26, 2021 and the condensed combined balance sheet data as of July 2, 2022, have been derived from our unaudited condensed combined financial statements included elsewhere in this prospectus. The unaudited condensed combined financial statements were prepared on the same basis as the audited combined financial statements and have included all adjustments, consisting only of normal recurring adjustments that, in our opinion, are necessary to state fairly the financial information set forth in those statements. The summary unaudited pro forma condensed combined financial information has been derived from the information contained in the section titled “Unaudited Pro Forma Condensed Combined Financial Information.”</w:t>
      </w:r>
    </w:p>
    <w:p>
      <w:pPr>
        <w:spacing w:after="0" w:line="341" w:lineRule="exact"/>
        <w:rPr>
          <w:sz w:val="20"/>
          <w:szCs w:val="20"/>
          <w:color w:val="auto"/>
        </w:rPr>
      </w:pPr>
    </w:p>
    <w:p>
      <w:pPr>
        <w:ind w:left="1280" w:right="619" w:firstLine="360"/>
        <w:spacing w:after="0" w:line="256" w:lineRule="auto"/>
        <w:rPr>
          <w:sz w:val="20"/>
          <w:szCs w:val="20"/>
          <w:color w:val="auto"/>
        </w:rPr>
      </w:pPr>
      <w:r>
        <w:rPr>
          <w:rFonts w:ascii="Times New Roman" w:cs="Times New Roman" w:eastAsia="Times New Roman" w:hAnsi="Times New Roman"/>
          <w:sz w:val="18"/>
          <w:szCs w:val="18"/>
          <w:color w:val="auto"/>
        </w:rPr>
        <w:t>The summary historical and unaudited pro forma condensed combined financial information may not be indicative of our future performance as a stand-alone public company. You should read the summary financial information presented below in conjunction with the information included under the headings “Unaudited Pro Forma Condensed Combined Financial Information” and “Management’s Discussion and Analysis of Financial Condition and Results of Operations” and our historical combined financial statements and the accompanying notes included elsewhere in this prospectus.</w:t>
      </w:r>
    </w:p>
    <w:p>
      <w:pPr>
        <w:sectPr>
          <w:pgSz w:w="11900" w:h="16838" w:orient="portrait"/>
          <w:cols w:equalWidth="0" w:num="1">
            <w:col w:w="9879"/>
          </w:cols>
          <w:pgMar w:left="580" w:top="97" w:right="1440" w:bottom="1440" w:gutter="0" w:footer="0" w:header="0"/>
        </w:sectPr>
      </w:pPr>
    </w:p>
    <w:p>
      <w:pPr>
        <w:spacing w:after="0" w:line="316"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5"/>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Adjusted</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3"/>
                <w:szCs w:val="13"/>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9" w:lineRule="exact"/>
        <w:rPr>
          <w:sz w:val="20"/>
          <w:szCs w:val="20"/>
          <w:color w:val="auto"/>
        </w:rPr>
      </w:pPr>
    </w:p>
    <w:p>
      <w:pPr>
        <w:sectPr>
          <w:pgSz w:w="11900" w:h="16838" w:orient="portrait"/>
          <w:cols w:equalWidth="0" w:num="2">
            <w:col w:w="5420" w:space="20"/>
            <w:col w:w="44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​$1,386</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​$1,386</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​$ 967</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​$ 879</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653</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​376</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​423</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(174)</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​(213)</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(86)</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(185)</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​(196)</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​(328)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(0.23)</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N/A</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​N/A</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​N/A</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center"/>
              <w:ind w:right="15"/>
              <w:spacing w:after="0" w:line="187" w:lineRule="exact"/>
              <w:rPr>
                <w:sz w:val="20"/>
                <w:szCs w:val="20"/>
                <w:color w:val="auto"/>
              </w:rPr>
            </w:pPr>
            <w:r>
              <w:rPr>
                <w:rFonts w:ascii="Times New Roman" w:cs="Times New Roman" w:eastAsia="Times New Roman" w:hAnsi="Times New Roman"/>
                <w:sz w:val="14"/>
                <w:szCs w:val="14"/>
                <w:b w:val="1"/>
                <w:bCs w:val="1"/>
                <w:color w:val="auto"/>
                <w:w w:val="94"/>
              </w:rPr>
              <w:t>Adjusted</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1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July 2, 2022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June 26,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ind w:right="95"/>
              <w:spacing w:after="0" w:line="196" w:lineRule="exact"/>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top w:val="single" w:sz="8" w:color="auto"/>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​$ 854</w:t>
            </w:r>
          </w:p>
        </w:tc>
        <w:tc>
          <w:tcPr>
            <w:tcW w:w="2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​$ 704</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5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 ​ 405</w:t>
            </w:r>
          </w:p>
        </w:tc>
        <w:tc>
          <w:tcPr>
            <w:tcW w:w="1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 ​405</w:t>
            </w:r>
          </w:p>
        </w:tc>
        <w:tc>
          <w:tcPr>
            <w:tcW w:w="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 ​348</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5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ind w:right="35"/>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 ​ (36)</w:t>
            </w:r>
          </w:p>
        </w:tc>
        <w:tc>
          <w:tcPr>
            <w:tcW w:w="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5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ind w:right="35"/>
              <w:spacing w:after="0" w:line="202" w:lineRule="exact"/>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 ​ (67)</w:t>
            </w:r>
          </w:p>
        </w:tc>
        <w:tc>
          <w:tcPr>
            <w:tcW w:w="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​N/A</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​N/A</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3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Adjusted</w:t>
            </w:r>
            <w:r>
              <w:rPr>
                <w:rFonts w:ascii="Times New Roman" w:cs="Times New Roman" w:eastAsia="Times New Roman" w:hAnsi="Times New Roman"/>
                <w:sz w:val="17"/>
                <w:szCs w:val="17"/>
                <w:b w:val="1"/>
                <w:bCs w:val="1"/>
                <w:color w:val="auto"/>
                <w:w w:val="91"/>
                <w:vertAlign w:val="superscript"/>
              </w:rPr>
              <w:t>(1)(2)</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3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jc w:val="center"/>
              <w:ind w:left="121"/>
              <w:spacing w:after="0" w:line="131" w:lineRule="exact"/>
              <w:rPr>
                <w:sz w:val="20"/>
                <w:szCs w:val="20"/>
                <w:color w:val="auto"/>
              </w:rPr>
            </w:pPr>
            <w:r>
              <w:rPr>
                <w:rFonts w:ascii="Times New Roman" w:cs="Times New Roman" w:eastAsia="Times New Roman" w:hAnsi="Times New Roman"/>
                <w:sz w:val="14"/>
                <w:szCs w:val="14"/>
                <w:b w:val="1"/>
                <w:bCs w:val="1"/>
                <w:color w:val="auto"/>
                <w:w w:val="95"/>
              </w:rPr>
              <w:t>July 2,</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2"/>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40" w:type="dxa"/>
            <w:vAlign w:val="bottom"/>
            <w:tcBorders>
              <w:top w:val="single" w:sz="8" w:color="auto"/>
            </w:tcBorders>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60" w:type="dxa"/>
            <w:vAlign w:val="bottom"/>
          </w:tcPr>
          <w:p>
            <w:pPr>
              <w:spacing w:after="0"/>
              <w:rPr>
                <w:sz w:val="11"/>
                <w:szCs w:val="11"/>
                <w:color w:val="auto"/>
              </w:rPr>
            </w:pPr>
          </w:p>
        </w:tc>
      </w:tr>
      <w:tr>
        <w:trPr>
          <w:trHeight w:val="18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ind w:left="1280"/>
        <w:spacing w:after="0" w:line="236" w:lineRule="auto"/>
        <w:rPr>
          <w:sz w:val="20"/>
          <w:szCs w:val="20"/>
          <w:color w:val="auto"/>
        </w:rPr>
      </w:pPr>
      <w:r>
        <w:rPr>
          <w:rFonts w:ascii="Times New Roman" w:cs="Times New Roman" w:eastAsia="Times New Roman" w:hAnsi="Times New Roman"/>
          <w:sz w:val="18"/>
          <w:szCs w:val="18"/>
          <w:color w:val="auto"/>
        </w:rPr>
        <w:t>Cash and cash equivalents</w:t>
      </w:r>
    </w:p>
    <w:p>
      <w:pPr>
        <w:ind w:left="1280"/>
        <w:spacing w:after="0" w:line="186" w:lineRule="auto"/>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p>
      <w:pPr>
        <w:ind w:left="1280"/>
        <w:spacing w:after="0"/>
        <w:rPr>
          <w:sz w:val="20"/>
          <w:szCs w:val="20"/>
          <w:color w:val="auto"/>
        </w:rPr>
      </w:pPr>
      <w:r>
        <w:rPr>
          <w:rFonts w:ascii="Times New Roman" w:cs="Times New Roman" w:eastAsia="Times New Roman" w:hAnsi="Times New Roman"/>
          <w:sz w:val="18"/>
          <w:szCs w:val="18"/>
          <w:color w:val="auto"/>
        </w:rPr>
        <w:t>Dividend Note with related party</w:t>
      </w:r>
      <w:r>
        <w:rPr>
          <w:rFonts w:ascii="Times New Roman" w:cs="Times New Roman" w:eastAsia="Times New Roman" w:hAnsi="Times New Roman"/>
          <w:sz w:val="23"/>
          <w:szCs w:val="23"/>
          <w:color w:val="auto"/>
          <w:vertAlign w:val="superscript"/>
        </w:rPr>
        <w:t>(2)</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000000"/>
          </w:tcPr>
          <w:p>
            <w:pPr>
              <w:spacing w:after="0"/>
              <w:rPr>
                <w:sz w:val="3"/>
                <w:szCs w:val="3"/>
                <w:color w:val="auto"/>
              </w:rPr>
            </w:pPr>
          </w:p>
        </w:tc>
        <w:tc>
          <w:tcPr>
            <w:tcW w:w="560" w:type="dxa"/>
            <w:vAlign w:val="bottom"/>
            <w:tcBorders>
              <w:right w:val="single" w:sz="8" w:color="auto"/>
            </w:tcBorders>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71"/>
        </w:trPr>
        <w:tc>
          <w:tcPr>
            <w:tcW w:w="160" w:type="dxa"/>
            <w:vAlign w:val="bottom"/>
            <w:vMerge w:val="continue"/>
          </w:tcPr>
          <w:p>
            <w:pPr>
              <w:spacing w:after="0"/>
              <w:rPr>
                <w:sz w:val="14"/>
                <w:szCs w:val="14"/>
                <w:color w:val="auto"/>
              </w:rPr>
            </w:pPr>
          </w:p>
        </w:tc>
        <w:tc>
          <w:tcPr>
            <w:tcW w:w="2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1,000</w:t>
            </w:r>
          </w:p>
        </w:tc>
        <w:tc>
          <w:tcPr>
            <w:tcW w:w="104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 ​​$   774​​ ​</w:t>
            </w:r>
          </w:p>
        </w:tc>
        <w:tc>
          <w:tcPr>
            <w:tcW w:w="36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85</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​16,374</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​16,162​​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​16,655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​16,462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3,509​​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$14,920</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​​$11,199​​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00" w:space="720"/>
            <w:col w:w="4359"/>
          </w:cols>
          <w:pgMar w:left="580" w:top="97" w:right="1440" w:bottom="1440" w:gutter="0" w:footer="0" w:header="0"/>
          <w:type w:val="continuous"/>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right="639" w:hanging="362"/>
        <w:spacing w:after="0" w:line="266"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section titled “Unaudited Pro Forma Condensed Combined Financial Information” for pro forma adjustments reflected and related methodologies applied in preparing the unaudited condensed combined pro forma statement of operations and balance sheet.</w:t>
      </w:r>
    </w:p>
    <w:p>
      <w:pPr>
        <w:spacing w:after="0" w:line="40" w:lineRule="exact"/>
        <w:rPr>
          <w:rFonts w:ascii="Times New Roman" w:cs="Times New Roman" w:eastAsia="Times New Roman" w:hAnsi="Times New Roman"/>
          <w:sz w:val="18"/>
          <w:szCs w:val="18"/>
          <w:color w:val="auto"/>
        </w:rPr>
      </w:pPr>
    </w:p>
    <w:p>
      <w:pPr>
        <w:ind w:left="1640" w:right="499" w:hanging="362"/>
        <w:spacing w:after="0" w:line="256"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Master Transaction Agreement we have entered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$1.0 billion in cash, cash equivalents, or marketable securities. Any excess net proceeds from this offering will be used to repay indebtedness owed to Intel under the Dividend Note.</w:t>
      </w:r>
    </w:p>
    <w:p>
      <w:pPr>
        <w:spacing w:after="0" w:line="254" w:lineRule="exact"/>
        <w:rPr>
          <w:rFonts w:ascii="Times New Roman" w:cs="Times New Roman" w:eastAsia="Times New Roman" w:hAnsi="Times New Roman"/>
          <w:sz w:val="18"/>
          <w:szCs w:val="18"/>
          <w:color w:val="auto"/>
        </w:rPr>
      </w:pPr>
    </w:p>
    <w:p>
      <w:pPr>
        <w:ind w:left="1640" w:right="419" w:hanging="362"/>
        <w:spacing w:after="0" w:line="266"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goodwill and intangible assets, net, in the amounts of $13.7 billion, on a pro forma as adjusted basis as of July 2, 2022, and $13.7 billion, $14.0 billion, and $14.5 billion as of July 2, 2022, December 25, 2021, and December 26, 2020, respectively.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29"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ind w:left="1260" w:right="439"/>
        <w:spacing w:after="0" w:line="239" w:lineRule="auto"/>
        <w:rPr>
          <w:sz w:val="20"/>
          <w:szCs w:val="20"/>
          <w:color w:val="auto"/>
        </w:rPr>
      </w:pPr>
      <w:r>
        <w:rPr>
          <w:rFonts w:ascii="Times New Roman" w:cs="Times New Roman" w:eastAsia="Times New Roman" w:hAnsi="Times New Roman"/>
          <w:sz w:val="18"/>
          <w:szCs w:val="18"/>
          <w:color w:val="auto"/>
        </w:rPr>
        <w:t>SoCs and our software- defined radar, and source lidar cost effectively, which could include the development of our FMCW lidar, all of which are important components of our planned approach to address the AMaaS and consumer AV markets. This prospectus contains descriptions of our current expectations regarding</w:t>
      </w:r>
    </w:p>
    <w:p>
      <w:pPr>
        <w:spacing w:after="0" w:line="1" w:lineRule="exact"/>
        <w:rPr>
          <w:sz w:val="20"/>
          <w:szCs w:val="20"/>
          <w:color w:val="auto"/>
        </w:rPr>
      </w:pPr>
    </w:p>
    <w:p>
      <w:pPr>
        <w:ind w:left="1260" w:right="559"/>
        <w:spacing w:after="0"/>
        <w:rPr>
          <w:sz w:val="20"/>
          <w:szCs w:val="20"/>
          <w:color w:val="auto"/>
        </w:rPr>
      </w:pPr>
      <w:r>
        <w:rPr>
          <w:rFonts w:ascii="Times New Roman" w:cs="Times New Roman" w:eastAsia="Times New Roman" w:hAnsi="Times New Roman"/>
          <w:sz w:val="18"/>
          <w:szCs w:val="18"/>
          <w:color w:val="auto"/>
        </w:rPr>
        <w:t>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283" w:lineRule="exact"/>
        <w:rPr>
          <w:sz w:val="20"/>
          <w:szCs w:val="20"/>
          <w:color w:val="auto"/>
        </w:rPr>
      </w:pPr>
    </w:p>
    <w:p>
      <w:pPr>
        <w:ind w:left="1800" w:right="9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accurate, and safety- and comfort-enhancing functions that differentiate our solutions from those of our competitors;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improve the reliability of, and reduce and ultimately remove the requirement for human intervention with, our autonomous driving technology;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effectively on new designs and development with our customers, suppliers and partners;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and product announcements by our competitors;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customer requirements, market conditions, and regulatory and rating standards quickly and cost-effectively.</w:t>
      </w:r>
    </w:p>
    <w:p>
      <w:pPr>
        <w:spacing w:after="0" w:line="94" w:lineRule="exact"/>
        <w:rPr>
          <w:sz w:val="20"/>
          <w:szCs w:val="20"/>
          <w:color w:val="auto"/>
        </w:rPr>
      </w:pPr>
    </w:p>
    <w:p>
      <w:pPr>
        <w:ind w:left="1260" w:right="459" w:firstLine="360"/>
        <w:spacing w:after="0" w:line="229" w:lineRule="auto"/>
        <w:rPr>
          <w:sz w:val="20"/>
          <w:szCs w:val="20"/>
          <w:color w:val="auto"/>
        </w:rPr>
      </w:pPr>
      <w:r>
        <w:rPr>
          <w:rFonts w:ascii="Times New Roman" w:cs="Times New Roman" w:eastAsia="Times New Roman" w:hAnsi="Times New Roman"/>
          <w:sz w:val="18"/>
          <w:szCs w:val="18"/>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w:t>
      </w:r>
    </w:p>
    <w:p>
      <w:pPr>
        <w:spacing w:after="0" w:line="3"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expect that our gross margin will decrease on a percentage basis because of the greater third-party hardware content.</w:t>
      </w:r>
    </w:p>
    <w:p>
      <w:pPr>
        <w:spacing w:after="0" w:line="178" w:lineRule="exact"/>
        <w:rPr>
          <w:sz w:val="20"/>
          <w:szCs w:val="20"/>
          <w:color w:val="auto"/>
        </w:rPr>
      </w:pPr>
    </w:p>
    <w:p>
      <w:pPr>
        <w:jc w:val="both"/>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To compete successfully, we must maintain successful research and development efforts, develop new solutions, and improve our existing solutions, all ahead of competitors. We are focusing our research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195" w:lineRule="auto"/>
        <w:rPr>
          <w:sz w:val="20"/>
          <w:szCs w:val="20"/>
          <w:color w:val="auto"/>
        </w:rPr>
      </w:pPr>
      <w:r>
        <w:rPr>
          <w:rFonts w:ascii="Times New Roman" w:cs="Times New Roman" w:eastAsia="Times New Roman" w:hAnsi="Times New Roman"/>
          <w:sz w:val="18"/>
          <w:szCs w:val="18"/>
          <w:color w:val="auto"/>
        </w:rPr>
        <w:t>development efforts across several key emerging technologies, including computer vision, software-defined radar and FMCW lidar,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sensor fusion architecture,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technology and our RSS model, and the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Lite,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systems. These are ambitious initiatives, and we cannot guarantee that all of these</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0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338"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2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Waymo, Yandex, and Zoox in the United States and Europe and Auto X, Baidu, Deeproute.ai, Didi Chuxing, Momenta, and WeRide in China. Consumer AV competitors include Apple, Sony, and Tesla, who are developing self-driving vehicles for consumers.</w:t>
      </w:r>
    </w:p>
    <w:p>
      <w:pPr>
        <w:spacing w:after="0" w:line="102" w:lineRule="exact"/>
        <w:rPr>
          <w:sz w:val="20"/>
          <w:szCs w:val="20"/>
          <w:color w:val="auto"/>
        </w:rPr>
      </w:pPr>
    </w:p>
    <w:p>
      <w:pPr>
        <w:jc w:val="both"/>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 modal ride services and route planning through their own services including Lyft, TransLoc, Trapeze, Uber, and Via.</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“Business — Our Competition.”</w:t>
      </w:r>
    </w:p>
    <w:p>
      <w:pPr>
        <w:spacing w:after="0" w:line="200" w:lineRule="exact"/>
        <w:rPr>
          <w:sz w:val="20"/>
          <w:szCs w:val="20"/>
          <w:color w:val="auto"/>
        </w:rPr>
      </w:pPr>
    </w:p>
    <w:p>
      <w:pPr>
        <w:ind w:left="1260" w:right="499"/>
        <w:spacing w:after="0" w:line="210"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are continuing to experience constraints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as the result of the global semiconductor shortage, and future shortages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or other critical parts would adversely affect our business, results of operations, and financial condition.</w:t>
      </w:r>
    </w:p>
    <w:p>
      <w:pPr>
        <w:spacing w:after="0" w:line="118"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a shortage of semiconductors. During 2021 and through the first half of 2022, STMicroelectronics N.V.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and, due to continuing supply chain constraints, we are operating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to fulfill customer orders and are unable to offset future supply constraints through the use of inventory on hand, In addition, without a solution to the shortages, we may continue to have insufficient inventory in subsequent fiscal years.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our ADAS and autonomous driving solutions,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meet our production needs would impair our ability to meet our customers’ requirements in a timely manner, and would adversely affect our business, results of operations, and financial condition. The limited supply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has already led to rescheduling deliveries to our customers on certain occasions and may continue to cause delays in our ability to fulfill our customers’ orders as scheduled. Moreover, global semiconductor shortages are continuing to constrain production and cause production delays by automakers, which we expect to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which could require substantial amounts of capital. Furthermore, accumulating such inventories may expose us to risks regarding the obsolescence of such chips.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w:t>
      </w:r>
    </w:p>
    <w:p>
      <w:pPr>
        <w:spacing w:after="0" w:line="83" w:lineRule="exact"/>
        <w:rPr>
          <w:sz w:val="20"/>
          <w:szCs w:val="20"/>
          <w:color w:val="auto"/>
        </w:rPr>
      </w:pPr>
    </w:p>
    <w:p>
      <w:pPr>
        <w:ind w:left="1260" w:right="419" w:firstLine="360"/>
        <w:spacing w:after="0" w:line="225" w:lineRule="auto"/>
        <w:rPr>
          <w:sz w:val="20"/>
          <w:szCs w:val="20"/>
          <w:color w:val="auto"/>
        </w:rPr>
      </w:pPr>
      <w:r>
        <w:rPr>
          <w:rFonts w:ascii="Times New Roman" w:cs="Times New Roman" w:eastAsia="Times New Roman" w:hAnsi="Times New Roman"/>
          <w:sz w:val="18"/>
          <w:szCs w:val="18"/>
          <w:color w:val="auto"/>
        </w:rPr>
        <w:t>We currently purchase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Because of the complex proprietary nature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cease operations altogether. Moreover, STMicroelectronics depends on Taiwan Semiconductor Manufacturing Company Limited (“TSMC”) as its subcontractor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as a result, we are also vulnerable to the risk that TSMC may be unable to meet demand</w:t>
      </w:r>
    </w:p>
    <w:p>
      <w:pPr>
        <w:sectPr>
          <w:pgSz w:w="11900" w:h="16838" w:orient="portrait"/>
          <w:cols w:equalWidth="0" w:num="1">
            <w:col w:w="9879"/>
          </w:cols>
          <w:pgMar w:left="580" w:top="97" w:right="1440" w:bottom="1440" w:gutter="0" w:footer="0" w:header="0"/>
        </w:sect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21" w:lineRule="auto"/>
        <w:rPr>
          <w:sz w:val="20"/>
          <w:szCs w:val="20"/>
          <w:color w:val="auto"/>
        </w:rPr>
      </w:pPr>
      <w:r>
        <w:rPr>
          <w:rFonts w:ascii="Times New Roman" w:cs="Times New Roman" w:eastAsia="Times New Roman" w:hAnsi="Times New Roman"/>
          <w:sz w:val="18"/>
          <w:szCs w:val="18"/>
          <w:color w:val="auto"/>
        </w:rPr>
        <w:t>or cease operations altogether. In addition, we may be affected by supply constraints and increased costs involving STMicroelectronics and TSMC resulting from the global semiconductor shortage.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9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TSMC is located in Taiwan, and our ability to receive sufficient supplies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could be adversely affected by events such as natural disasters in Taiwan, including earthquakes, drought and typhoons, the escalations of tensions between the People’s Republic of China and Taiwan, including resulting from the People’s Republic of China’s recent step up of military exercises around Taiwan, political unrest, trade restrictions, or war. These same factors may also adversely affect the global supply of microchips and cause additional constraints on global automotive production.</w:t>
      </w:r>
    </w:p>
    <w:p>
      <w:pPr>
        <w:spacing w:after="0" w:line="189" w:lineRule="exact"/>
        <w:rPr>
          <w:sz w:val="20"/>
          <w:szCs w:val="20"/>
          <w:color w:val="auto"/>
        </w:rPr>
      </w:pPr>
    </w:p>
    <w:p>
      <w:pPr>
        <w:ind w:left="1260" w:right="7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6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w:t>
      </w:r>
    </w:p>
    <w:p>
      <w:pPr>
        <w:spacing w:after="0" w:line="16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2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spacing w:after="0" w:line="258" w:lineRule="auto"/>
        <w:rPr>
          <w:sz w:val="20"/>
          <w:szCs w:val="20"/>
          <w:color w:val="auto"/>
        </w:rPr>
      </w:pPr>
      <w:r>
        <w:rPr>
          <w:rFonts w:ascii="Times New Roman" w:cs="Times New Roman" w:eastAsia="Times New Roman" w:hAnsi="Times New Roman"/>
          <w:sz w:val="18"/>
          <w:szCs w:val="18"/>
          <w:color w:val="auto"/>
        </w:rPr>
        <w:t>are unable to manage these risks, our ability to timely supply competitive solutions will be harmed, our costs will increase, and our business, results of operations, and financial condition would be adversely affected.</w:t>
      </w:r>
    </w:p>
    <w:p>
      <w:pPr>
        <w:spacing w:after="0" w:line="165"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78" w:lineRule="exact"/>
        <w:rPr>
          <w:sz w:val="20"/>
          <w:szCs w:val="20"/>
          <w:color w:val="auto"/>
        </w:rPr>
      </w:pPr>
    </w:p>
    <w:p>
      <w:pPr>
        <w:ind w:left="1260" w:right="659" w:firstLine="360"/>
        <w:spacing w:after="0" w:line="220" w:lineRule="auto"/>
        <w:rPr>
          <w:sz w:val="20"/>
          <w:szCs w:val="20"/>
          <w:color w:val="auto"/>
        </w:rPr>
      </w:pPr>
      <w:r>
        <w:rPr>
          <w:rFonts w:ascii="Times New Roman" w:cs="Times New Roman" w:eastAsia="Times New Roman" w:hAnsi="Times New Roman"/>
          <w:sz w:val="18"/>
          <w:szCs w:val="18"/>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with other suppliers, does not provide us with</w:t>
      </w:r>
    </w:p>
    <w:p>
      <w:pPr>
        <w:spacing w:after="0" w:line="1" w:lineRule="exact"/>
        <w:rPr>
          <w:sz w:val="20"/>
          <w:szCs w:val="20"/>
          <w:color w:val="auto"/>
        </w:rPr>
      </w:pPr>
    </w:p>
    <w:p>
      <w:pPr>
        <w:jc w:val="both"/>
        <w:ind w:left="1260" w:right="559"/>
        <w:spacing w:after="0" w:line="213" w:lineRule="auto"/>
        <w:rPr>
          <w:sz w:val="20"/>
          <w:szCs w:val="20"/>
          <w:color w:val="auto"/>
        </w:rPr>
      </w:pPr>
      <w:r>
        <w:rPr>
          <w:rFonts w:ascii="Times New Roman" w:cs="Times New Roman" w:eastAsia="Times New Roman" w:hAnsi="Times New Roman"/>
          <w:sz w:val="18"/>
          <w:szCs w:val="18"/>
          <w:color w:val="auto"/>
        </w:rPr>
        <w:t>long-term pricing or quantity guarantees. As a result of the global semiconductor shortage and inflationary pressures, we have experienced, continue to experience, and expect to experience in 2023 increases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are seeking to adjust the prices charged to our customers to offset these cost</w:t>
      </w:r>
    </w:p>
    <w:p>
      <w:pPr>
        <w:spacing w:after="0" w:line="2"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increases, but anticipate that, despite such price increases, our gross margin will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1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7" w:lineRule="exact"/>
        <w:rPr>
          <w:sz w:val="20"/>
          <w:szCs w:val="20"/>
          <w:color w:val="auto"/>
        </w:rPr>
      </w:pPr>
    </w:p>
    <w:p>
      <w:pPr>
        <w:jc w:val="both"/>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4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software and hardware,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are complex and, from time to time, have had, and could have or could be alleged to have, defects in design or manufacturing,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02" w:lineRule="exact"/>
        <w:rPr>
          <w:sz w:val="20"/>
          <w:szCs w:val="20"/>
          <w:color w:val="auto"/>
        </w:rPr>
      </w:pPr>
    </w:p>
    <w:p>
      <w:pPr>
        <w:ind w:left="1260" w:right="519" w:firstLine="360"/>
        <w:spacing w:after="0" w:line="194" w:lineRule="auto"/>
        <w:rPr>
          <w:sz w:val="20"/>
          <w:szCs w:val="20"/>
          <w:color w:val="auto"/>
        </w:rPr>
      </w:pPr>
      <w:r>
        <w:rPr>
          <w:rFonts w:ascii="Times New Roman" w:cs="Times New Roman" w:eastAsia="Times New Roman" w:hAnsi="Times New Roman"/>
          <w:sz w:val="18"/>
          <w:szCs w:val="18"/>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our specifications, we retain liability for failure in production caused by</w:t>
      </w:r>
    </w:p>
    <w:p>
      <w:pPr>
        <w:spacing w:after="0" w:line="2" w:lineRule="exact"/>
        <w:rPr>
          <w:sz w:val="20"/>
          <w:szCs w:val="20"/>
          <w:color w:val="auto"/>
        </w:rPr>
      </w:pPr>
    </w:p>
    <w:p>
      <w:pPr>
        <w:ind w:left="1260" w:right="439"/>
        <w:spacing w:after="0" w:line="232" w:lineRule="auto"/>
        <w:rPr>
          <w:sz w:val="20"/>
          <w:szCs w:val="20"/>
          <w:color w:val="auto"/>
        </w:rPr>
      </w:pPr>
      <w:r>
        <w:rPr>
          <w:rFonts w:ascii="Times New Roman" w:cs="Times New Roman" w:eastAsia="Times New Roman" w:hAnsi="Times New Roman"/>
          <w:sz w:val="18"/>
          <w:szCs w:val="18"/>
          <w:color w:val="auto"/>
        </w:rPr>
        <w:t>defective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themselves, could result in additional claims being made against us.</w:t>
      </w:r>
    </w:p>
    <w:p>
      <w:pPr>
        <w:spacing w:after="0" w:line="4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77"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391"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0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generally do not have contracts with customers that require them to purchase our solutions in any certain quantity or at any certain price, and our sales could be less than we forecast if a vehicle model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32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For example, several automakers have decreased their initial 2022 vehicle production projections, and we have adjusted our forecasts accordingly. Furthermore, long development cycles or vehicle model cancellations or postponements would adversely affect our business, results of operations, and financial condition.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w:t>
      </w:r>
    </w:p>
    <w:p>
      <w:pPr>
        <w:spacing w:after="0" w:line="179" w:lineRule="exact"/>
        <w:rPr>
          <w:sz w:val="20"/>
          <w:szCs w:val="20"/>
          <w:color w:val="auto"/>
        </w:rPr>
      </w:pPr>
    </w:p>
    <w:p>
      <w:pPr>
        <w:ind w:left="1260" w:right="7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5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We supply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directly or through our arrangements with automotive</w:t>
      </w: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system integrators, known as Tier 1 automotive suppliers, which are direct suppliers to OEMs. In 2021, our three largest Tier 1 customers, who were ZF, Valeo, and Aptiv, accounted for 35%, 19%, and 17%, respectively, of our revenue. For the six months ended July 2, 2022, our three largest Tier 1 customers, who were ZF, Valeo, and Aptiv, accounted for 43%, 15%, and 15%, respectively, of our revenue. Moreover, in 2021, 14%, 12%, 12%, and 12% of our revenue was derived from the incorporation of our solutions into the vehicle models of four OEMs and a total of 78% of our revenue was derived from the incorporation of our</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solutions into the vehicle models of eight OEMs (including those four) through our Tier 1 customers. In the six months ended July 2, 2022, 13%, 12%, 11%, and 10% of our revenue was derived from the incorporation of our solutions into the vehicle models of four OEMs and a total of 76%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2022.</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AMaaS solutions will depend on their effective deployment and operation by third parties.</w:t>
      </w:r>
    </w:p>
    <w:p>
      <w:pPr>
        <w:spacing w:after="0" w:line="162"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business-to-business and business-to-consumer channels for the purpose of deploying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part of our business-to-business go-to-market strategy, we expect to sell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a range of shuttle network operators and vehicle OEMs that intend to operate consumer-facing AMaaS, transportation on demand, and delivery services. Our current list of publicly announced business-to-business partners is Beep, Benteler, ComfortDelgro, Lohr, Marubeni, RATP Group, Schaeffler, Udelv, and Willer. Additionally, as part of our business-to-customer go-to-market strategy, we expect to deploy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AMaaS offerings by integrating them with our self-driving vehicles in partnership with fleet operators, such as SIXT. Such third parties may also terminate our partnerships with them. For example, in February 2021, we publicly announced a business-to-business partnership with Transdev to deploy autonomous shuttles, and, in June 2022, Transdev notified us that it has decided to end our joint efforts relating to the development of autonomous vehicles as a result of a change in its internal development strategy. Any failures by third parties to effectively deploy and operate our AMaaS solutions, or the termination of our relationships with any such third parties, would adversely affect our business, results of operations, and financial condition.</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Developing RoadBook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depends on continued cooperation by OEMs.</w:t>
      </w:r>
    </w:p>
    <w:p>
      <w:pPr>
        <w:spacing w:after="0" w:line="104"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The success of our Cloud-Enhanced Driver Assist system requires significant amounts of fresh mapping data from series production vehicles around the world in order to develop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Cloud-Enhanced Driver Assist system will not perform as expected, which would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Professor Amnon Shashua, our President and Chief Executive Officer.</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 -founder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79"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 -based awards. Our employee hiring and retention also depend on our ability to build and maintain a diverse and inclusive workplace culture and be viewed as an employer of choice. If our share -based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33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14"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As part of the Reorganization, we have also recruited certain employees relating to the Mobileye business from Intel. The failure to successfully transition and assimilate key employees would adversely affect our results of operations.</w:t>
      </w:r>
    </w:p>
    <w:p>
      <w:pPr>
        <w:spacing w:after="0" w:line="186"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9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We have in the past and, if we are presented with appropriate opportunities, we may in the future</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this offering, and we may be unable to successfully integrate Moovit’s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MaaS platform into our business and may fail to achieve the financial and strategic objectives of the acquisition of Moovit. We have also integrated a number of Intel employees to support and accelerate the development of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341"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terms acceptable to us, or at all.</w:t>
      </w:r>
    </w:p>
    <w:p>
      <w:pPr>
        <w:spacing w:after="0" w:line="14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 majority of our operating expenses are for research and development activities. Our capital requirements will depend on many factors, including, but not limited to:</w:t>
      </w:r>
    </w:p>
    <w:p>
      <w:pPr>
        <w:spacing w:after="0" w:line="40"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9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 and solution enhancements, and the overall level of sales of our solutions;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effects of the COVID-19 pandemic, inflation, rising interest rates, and international conflicts and their impact on the automotive industry in particular.</w:t>
      </w:r>
    </w:p>
    <w:p>
      <w:pPr>
        <w:spacing w:after="0" w:line="94"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200" w:lineRule="exact"/>
        <w:rPr>
          <w:sz w:val="20"/>
          <w:szCs w:val="20"/>
          <w:color w:val="auto"/>
        </w:rPr>
      </w:pPr>
    </w:p>
    <w:p>
      <w:pPr>
        <w:spacing w:after="0" w:line="204"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fluctuations in currency exchange rates, including those in connection with recent inflationary trends in the United States.</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information may not be representative of our results as an independent public company.</w:t>
      </w:r>
    </w:p>
    <w:p>
      <w:pPr>
        <w:spacing w:after="0" w:line="173"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prospectus may not necessarily reflect our results of operations, financial position, and cash flows in the future or what they would have been had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We have provided pro forma financial information that gives effect to the Reorganization, this offering, and the use of net proceeds from this offering and the concurrent private placement, as further described under “Unaudited Pro Forma Condensed Combined Financial Information.” The pro forma financial information included in this prospectus is also not representative of our results as an independent public company. See “Management’s Discussion and Analysis of Financial Condition and Results of Operations,” “Unaudited Pro Forma Condensed Combined Financial Information” and our historical combined financial statements and the accompanying notes included elsewhere in this prospectus.</w:t>
      </w:r>
    </w:p>
    <w:p>
      <w:pPr>
        <w:spacing w:after="0" w:line="181"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7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Privacy, Data, and Cybersecurity</w:t>
      </w:r>
    </w:p>
    <w:p>
      <w:pPr>
        <w:spacing w:after="0" w:line="225"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9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25"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9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data on the cloud with Amazon Web Services, and we depend on 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8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A major breach of our network security and systems may result in fines, penalties, and damages, harm our reputation, and adversely affect our business, results of operations, and financial condition.</w:t>
      </w:r>
    </w:p>
    <w:p>
      <w:pPr>
        <w:spacing w:after="0" w:line="32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defend or enforce our intellectual property rights, and our efforts to do so may be costly.</w:t>
      </w:r>
    </w:p>
    <w:p>
      <w:pPr>
        <w:spacing w:after="0" w:line="9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 -party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5" w:lineRule="auto"/>
        <w:rPr>
          <w:sz w:val="20"/>
          <w:szCs w:val="20"/>
          <w:color w:val="auto"/>
        </w:rPr>
      </w:pPr>
      <w:r>
        <w:rPr>
          <w:rFonts w:ascii="Times New Roman" w:cs="Times New Roman" w:eastAsia="Times New Roman" w:hAnsi="Times New Roman"/>
          <w:sz w:val="18"/>
          <w:szCs w:val="18"/>
          <w:color w:val="auto"/>
        </w:rPr>
        <w:t>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341"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17"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35"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this offering in which we will be granted limited licenses from Intel for sensitive core technology relating to lidar and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this offering, and (iii) Intel’s controlling beneficial ownership interest in our company, we may not be able to resolve such conflicts on terms favorable to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78"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2"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recent years, there has been significant litigation globally involving patents and other intellectual property rights.</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32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 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9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90" w:lineRule="exact"/>
        <w:rPr>
          <w:sz w:val="20"/>
          <w:szCs w:val="20"/>
          <w:color w:val="auto"/>
        </w:rPr>
      </w:pPr>
    </w:p>
    <w:p>
      <w:pPr>
        <w:jc w:val="both"/>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through license and technology transfer agreements.</w:t>
      </w:r>
    </w:p>
    <w:p>
      <w:pPr>
        <w:sectPr>
          <w:pgSz w:w="11900" w:h="16838" w:orient="portrait"/>
          <w:cols w:equalWidth="0" w:num="1">
            <w:col w:w="9879"/>
          </w:cols>
          <w:pgMar w:left="580" w:top="97" w:right="1440" w:bottom="1440" w:gutter="0" w:footer="0" w:header="0"/>
        </w:sect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Under these agreements, we are obligated to pay royalties for each unit of our solutions that we sell that incorporates such third- 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further plan to enter into agreements with Intel in connection with this offering in which we will have a limited license from Intel for sensitive core technology relating to lidar and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this offering, and (iii) Intel’s controlling beneficial ownership interest in our company, we may not be able to resolve such conflicts on terms favorable to us.”</w:t>
      </w:r>
    </w:p>
    <w:p>
      <w:pPr>
        <w:spacing w:after="0" w:line="333"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81" w:lineRule="exact"/>
        <w:rPr>
          <w:sz w:val="20"/>
          <w:szCs w:val="20"/>
          <w:color w:val="auto"/>
        </w:rPr>
      </w:pPr>
    </w:p>
    <w:p>
      <w:pPr>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0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7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 -consuming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325"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75"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34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11"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Further, the use of open-source software can lead to vulnerabilities that may make our software susceptible to attack, and although some open-source vendors provide warranty and support agreements, it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current uncertain economic environment and inflationary conditions may adversely affect global vehicle production and demand for our solutions.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Our business depends on, and is directly affected by, the global automobile industry. Economic</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3% growth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We believe that the expected continued constraint on global automotive production resulting from supply chain shortages and the effect of economic uncertainty will limit our ability to increase our revenue.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392"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acceptance of ADAS and autonomous driving technology does not increase, our business, results of operations, and financial condition would be adversely affected.</w:t>
      </w:r>
    </w:p>
    <w:p>
      <w:pPr>
        <w:spacing w:after="0" w:line="158"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new and rapidly evolving, and the estimates and forecasts of TAM and SAM included in this prospectus are subject to significant uncertainty.</w:t>
      </w:r>
    </w:p>
    <w:p>
      <w:pPr>
        <w:spacing w:after="0" w:line="9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337"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serviceable addressable market (“SAM”) of our current and anticipated future solutions, that are 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 internally generated data prove to be inaccurate or we make errors in our assumptions based on that data, the TAM and SAM for our solutions may be smaller than we have estimated, our future growth opportunities and sales growth may be smaller than we estimate, and our future business, results of operations and financial condition may be adversely affected.</w:t>
      </w:r>
    </w:p>
    <w:p>
      <w:pPr>
        <w:spacing w:after="0" w:line="32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Compliance Risks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91"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worldwide that affect our operations and that differ among jurisdictions, including automotive safety regulations, regulations governing autonomous driving technology,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3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Although we have policies, controls, and procedures designed to help ensure compliance with</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395" w:lineRule="exact"/>
        <w:rPr>
          <w:sz w:val="20"/>
          <w:szCs w:val="20"/>
          <w:color w:val="auto"/>
        </w:rPr>
      </w:pPr>
    </w:p>
    <w:p>
      <w:pPr>
        <w:ind w:left="1260" w:right="7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0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11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trade policies, sanctions, and import and export controls.</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Trade policies and international disputes at times result in increased tariffs, trade barriers and other restrictions, which can increase our manufacturing costs, make our solutions less competitive, reduce demand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59"/>
        <w:spacing w:after="0"/>
        <w:rPr>
          <w:sz w:val="20"/>
          <w:szCs w:val="20"/>
          <w:color w:val="auto"/>
        </w:rPr>
      </w:pPr>
      <w:r>
        <w:rPr>
          <w:rFonts w:ascii="Times New Roman" w:cs="Times New Roman" w:eastAsia="Times New Roman" w:hAnsi="Times New Roman"/>
          <w:sz w:val="18"/>
          <w:szCs w:val="18"/>
          <w:color w:val="auto"/>
        </w:rPr>
        <w:t>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17"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234"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In particular, in response to Russia’s recent invasion of Ukraine, the United States, the European Union, and several other countries are imposing far-reaching sanctions and export control restrictions on Russian entities and individuals. See “— The current conflict between Ukraine and Russia has exacerbated market instability and disrupted the global economy.”</w:t>
      </w:r>
    </w:p>
    <w:p>
      <w:pPr>
        <w:spacing w:after="0" w:line="104" w:lineRule="exact"/>
        <w:rPr>
          <w:sz w:val="20"/>
          <w:szCs w:val="20"/>
          <w:color w:val="auto"/>
        </w:rPr>
      </w:pPr>
    </w:p>
    <w:p>
      <w:pPr>
        <w:ind w:left="1260" w:right="479" w:firstLine="360"/>
        <w:spacing w:after="0" w:line="232" w:lineRule="auto"/>
        <w:rPr>
          <w:sz w:val="20"/>
          <w:szCs w:val="20"/>
          <w:color w:val="auto"/>
        </w:rPr>
      </w:pPr>
      <w:r>
        <w:rPr>
          <w:rFonts w:ascii="Times New Roman" w:cs="Times New Roman" w:eastAsia="Times New Roman" w:hAnsi="Times New Roman"/>
          <w:sz w:val="18"/>
          <w:szCs w:val="18"/>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For example, the United States recently enacted controls on certain transactions involving items for semiconductor manufacturing end uses and advanced computing integrated circuits destined for China. Although we do not believe that these recent controls will materially impede our ability to conduct our business, there can be no assurance that these or future restrictions would not materially adversely affect our financial performance. For example, we derive significant revenue from China. In 2021 and in the six months ended July 2, 2022, we derived approximately 19% and 27%,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15"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03" w:lineRule="exact"/>
        <w:rPr>
          <w:sz w:val="20"/>
          <w:szCs w:val="20"/>
          <w:color w:val="auto"/>
        </w:rPr>
      </w:pPr>
    </w:p>
    <w:p>
      <w:pPr>
        <w:ind w:left="1260" w:right="499" w:firstLine="360"/>
        <w:spacing w:after="0" w:line="233" w:lineRule="auto"/>
        <w:rPr>
          <w:sz w:val="20"/>
          <w:szCs w:val="20"/>
          <w:color w:val="auto"/>
        </w:rPr>
      </w:pPr>
      <w:r>
        <w:rPr>
          <w:rFonts w:ascii="Times New Roman" w:cs="Times New Roman" w:eastAsia="Times New Roman" w:hAnsi="Times New Roman"/>
          <w:sz w:val="18"/>
          <w:szCs w:val="18"/>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 For example, Israeli customs authorities are conducting an inquiry into certain imports by one of our subsidiaries into Israel. We have been cooperating with the customs authorities and, while no allegations or demands have been made to date related to this inquiry, no assurance can be given as to whether any allegations or demands will be made in the future in this regard. Although based on information currently available to us we do not expect this inquiry or its outcome to materially adversely affect our business, results of operations, or financial condition, future inquires or investigations and their outcomes relating to, or changes in, import or export laws could materially adversely affect our business, results of operations, and financial condition.</w:t>
      </w:r>
    </w:p>
    <w:p>
      <w:pPr>
        <w:spacing w:after="0" w:line="187" w:lineRule="exact"/>
        <w:rPr>
          <w:sz w:val="20"/>
          <w:szCs w:val="20"/>
          <w:color w:val="auto"/>
        </w:rPr>
      </w:pPr>
    </w:p>
    <w:p>
      <w:pPr>
        <w:ind w:left="1260" w:right="9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current conflict between Ukraine and Russia has exacerbated market instability and disrupted the global economy.</w:t>
      </w:r>
    </w:p>
    <w:p>
      <w:pPr>
        <w:spacing w:after="0" w:line="11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current conflict between Ukraine and Russia has caused uncertainty about economic and political stability, increasing volatility in the credit and financial markets and disrupting the global economy.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United States, the European Union, and several other countries are imposing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Although we are incorporated under the laws of the State of Delaware, our headquarters and research and development center are located in the State of Israel, and as of July 2, 2022,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103"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pacing w:after="0" w:line="34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We cannot predict the full impact of these conditions on us in the future, particularly if emergency circumstances or an escalation in the political situation occurs. If many of our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employees are called for active duty, our operations in Israel and our business may not be able to function at full capacity, and our business, results of operations, and financial condition could be adversely affected.</w:t>
      </w:r>
    </w:p>
    <w:p>
      <w:pPr>
        <w:spacing w:after="0" w:line="104"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7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349" w:lineRule="exact"/>
        <w:rPr>
          <w:sz w:val="20"/>
          <w:szCs w:val="20"/>
          <w:color w:val="auto"/>
        </w:rPr>
      </w:pPr>
    </w:p>
    <w:p>
      <w:pPr>
        <w:ind w:left="1260" w:right="8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5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Intel and our Dual Class Structure</w:t>
      </w:r>
    </w:p>
    <w:p>
      <w:pPr>
        <w:spacing w:after="0" w:line="185"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has the effect of concentrating voting control with Intel, and Intel will beneficially own shares of our Class B common stock, representing a majority of the shares of our common stock and approximately 99.4% of the voting power of our outstanding capital stock immediately following this offering and the concurrent private placement. This will limit or preclude your ability to influence corporate matters.</w:t>
      </w:r>
    </w:p>
    <w:p>
      <w:pPr>
        <w:spacing w:after="0" w:line="8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which is the stock we are offering in this offering and the concurrent private placement, has one vote per share. Because of the 10-to-1 voting ratio between our Class B common stock and our Class A common stock, immediately following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the offering, Intel, which will be the beneficial holder of 750,000,000 shares of Class B common stock, will beneficially own approximately 99.4% of the voting power of our outstanding capital stock, assuming no exercise by the underwriters of their option to purchase additional shares of our Class A common stock (or 99.3% assuming full exercise by the underwriters of their option to purchase additional shares of our Class A common stock) . Because Intel will beneficially hold significantly more than a majority of the combined voting power of our capital stock upon the completion of this offering and the concurrent private placement, it will be able to control all matters submitted to our stockholders for approval.</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81"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corporate governance standards of Nasdaq. As a result, we will qualify for, and intend to rely on, exemptions from certain corporate governance standards. You will not have the same protections afforded to stockholders of companies that are subject to all corporate governance requirements of Nasdaq.</w:t>
      </w:r>
    </w:p>
    <w:p>
      <w:pPr>
        <w:spacing w:after="0" w:line="9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under listing requirements of Nasdaq. After the completion of this offering and the concurrent private placement, Intel will continue to beneficially hold a majority of the voting power of our outstanding common stock. As a result, we will be a “controlled company” under the Nasdaq rules. As a controlled company, we will be exempt from certain Nasdaq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13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90" w:lineRule="exact"/>
        <w:rPr>
          <w:sz w:val="20"/>
          <w:szCs w:val="20"/>
          <w:color w:val="auto"/>
        </w:rPr>
      </w:pPr>
    </w:p>
    <w:p>
      <w:pPr>
        <w:ind w:left="1260" w:right="6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this offering, and (iii) Intel’s controlling beneficial ownership interest in our company, we may not be able to resolve such conflicts on terms favorable to us.</w:t>
      </w:r>
    </w:p>
    <w:p>
      <w:pPr>
        <w:spacing w:after="0" w:line="93"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Conflicts of interest may arise between Intel and us in a number of areas relating to our ongoing relationship. Potential conflicts of interest that we have identified include the following:</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39" w:hanging="180"/>
        <w:spacing w:after="0" w:line="258"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directors may have conflicts of interest</w:t>
      </w:r>
      <w:r>
        <w:rPr>
          <w:rFonts w:ascii="Times New Roman" w:cs="Times New Roman" w:eastAsia="Times New Roman" w:hAnsi="Times New Roman"/>
          <w:sz w:val="18"/>
          <w:szCs w:val="18"/>
          <w:color w:val="auto"/>
        </w:rPr>
        <w:t>. Each of Patrick Gelsinger, Christine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75"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of our common stock</w:t>
      </w:r>
      <w:r>
        <w:rPr>
          <w:rFonts w:ascii="Times New Roman" w:cs="Times New Roman" w:eastAsia="Times New Roman" w:hAnsi="Times New Roman"/>
          <w:sz w:val="18"/>
          <w:szCs w:val="18"/>
          <w:color w:val="auto"/>
        </w:rPr>
        <w:t>. Intel may decide to sell all or a portion of our shares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 See “Description of Capital Stock — Common Stock — Conversion.”</w:t>
      </w:r>
    </w:p>
    <w:p>
      <w:pPr>
        <w:spacing w:after="0" w:line="302"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Intel’s competitors</w:t>
      </w:r>
      <w:r>
        <w:rPr>
          <w:rFonts w:ascii="Times New Roman" w:cs="Times New Roman" w:eastAsia="Times New Roman" w:hAnsi="Times New Roman"/>
          <w:sz w:val="18"/>
          <w:szCs w:val="18"/>
          <w:color w:val="auto"/>
        </w:rPr>
        <w:t>. We may from time to time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Intel find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and which would complement our businesses. We may be prevented from taking advantage of new business opportunities that Intel has entered into. Furthermore, our amended and restated certificate of incorporation provides that, until the later of (i)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 See “Description of Capital Stock — Provisions of Our Amended and Restated Certificate of Incorporation Relating to Related Person Transactions and Corporate Opportunities.” We may therefore not be entitled to, and Intel may be entitled to, pursue business opportunities which may otherwise be appropriate for us.</w:t>
      </w:r>
    </w:p>
    <w:p>
      <w:pPr>
        <w:spacing w:after="0" w:line="305" w:lineRule="exact"/>
        <w:rPr>
          <w:rFonts w:ascii="Times New Roman" w:cs="Times New Roman" w:eastAsia="Times New Roman" w:hAnsi="Times New Roman"/>
          <w:sz w:val="18"/>
          <w:szCs w:val="18"/>
          <w:color w:val="auto"/>
        </w:rPr>
      </w:pPr>
    </w:p>
    <w:p>
      <w:pPr>
        <w:ind w:left="1800" w:right="479" w:hanging="180"/>
        <w:spacing w:after="0" w:line="24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our products on favorable terms</w:t>
      </w:r>
      <w:r>
        <w:rPr>
          <w:rFonts w:ascii="Times New Roman" w:cs="Times New Roman" w:eastAsia="Times New Roman" w:hAnsi="Times New Roman"/>
          <w:sz w:val="18"/>
          <w:szCs w:val="18"/>
          <w:color w:val="auto"/>
        </w:rPr>
        <w:t>. Under the terms of the Master Transaction Agreement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entered into with Intel in connection with this offering, so long as Intel holds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 basis. We and Intel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87"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Worldwide and perpetual license to patents</w:t>
      </w:r>
      <w:r>
        <w:rPr>
          <w:rFonts w:ascii="Times New Roman" w:cs="Times New Roman" w:eastAsia="Times New Roman" w:hAnsi="Times New Roman"/>
          <w:sz w:val="18"/>
          <w:szCs w:val="18"/>
          <w:color w:val="auto"/>
        </w:rPr>
        <w:t>. We are party to an agreement with Intel under which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44" w:lineRule="auto"/>
        <w:rPr>
          <w:sz w:val="20"/>
          <w:szCs w:val="20"/>
          <w:color w:val="auto"/>
        </w:rPr>
      </w:pPr>
      <w:r>
        <w:rPr>
          <w:rFonts w:ascii="Times New Roman" w:cs="Times New Roman" w:eastAsia="Times New Roman" w:hAnsi="Times New Roman"/>
          <w:sz w:val="18"/>
          <w:szCs w:val="18"/>
          <w:color w:val="auto"/>
        </w:rPr>
        <w:t>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 See “Certain Relationships and Related Party Transactions — Historical Related Party Transactions — Cross-License Agreement.”</w:t>
      </w:r>
    </w:p>
    <w:p>
      <w:pPr>
        <w:spacing w:after="0" w:line="73" w:lineRule="exact"/>
        <w:rPr>
          <w:sz w:val="20"/>
          <w:szCs w:val="20"/>
          <w:color w:val="auto"/>
        </w:rPr>
      </w:pPr>
    </w:p>
    <w:p>
      <w:pPr>
        <w:ind w:left="1800" w:right="419" w:hanging="180"/>
        <w:spacing w:after="0" w:line="25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license from Intel for certain technology related to lidar. </w:t>
      </w:r>
      <w:r>
        <w:rPr>
          <w:rFonts w:ascii="Times New Roman" w:cs="Times New Roman" w:eastAsia="Times New Roman" w:hAnsi="Times New Roman"/>
          <w:sz w:val="18"/>
          <w:szCs w:val="18"/>
          <w:color w:val="auto"/>
        </w:rPr>
        <w:t>Intel has granted us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sensitive core technology relating to lidar pursuant to a LiDAR Product Collaboration Agreement. The license is limited to a particular lidar sensor system for ADAS and AV systems in automobiles and to certain types of customers (Tier 1s, OEMs and MaaS). For this purpose, automobile means a vehicle used primarily on public roads for transportation and not for military purposes. The development by us of any future products based on Intel technology will depend on future agreements. We are not licensed to manufacture the product based on Intel technology with anyone other than Intel. Intellectual property developed by us regarding the lidar technology, except for specifically identified lidar system technology which is developed solely by us following the completion of this offering, will be assigned by us to Intel. As a result we will not own most new lidar intellectual property, even if it is developed solely by us. The agreement will have a term of ten years subject to automatic 24-month renewal periods unless notice of nonrenewal is given. Either party may terminate the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Termination of the agreement would terminate our license and could result in having limited lidar technology and would force us to source third party lidar solutions. Our ability to source lidar cost effectively is an important component of our planned approach to address the AMaaS and consumer AV markets. If we are not able to continue to use or license sensitive core technology related to lidar from Intel, we may not be able to secure alternatives in a timely manner, or at all, and our ability to remain competitive would be harmed, which could adversely affect our business, results of operations and financial condition. See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 In addition, though there is a limited period of up to five years in which we have exclusive rights to market and sell the initial lidar sensor system for defined uses, the non-compete provisions in the agreement do not preclude Intel from developing similar lidar products with our competitors, or directly competing with us with regard to certain substantially similar lidar products. In addition, the agreement includes limitations on our ability (except after review and approval by Intel) to file a patent application based on or using the lidar intellectual property licensed to us under the agreement, or information in Intel’s lidar patents during the term of the agreement and for five years after the completion of the development of the last Mobileye lidar product. See “Certain Relationship and Related Party Transactions — Transactions to be Entered into in Connection with this Offering — Intercompany Agreements — LiDAR Product Collaboration Agreement.”</w:t>
      </w:r>
    </w:p>
    <w:p>
      <w:pPr>
        <w:spacing w:after="0" w:line="200" w:lineRule="exact"/>
        <w:rPr>
          <w:rFonts w:ascii="Times New Roman" w:cs="Times New Roman" w:eastAsia="Times New Roman" w:hAnsi="Times New Roman"/>
          <w:sz w:val="18"/>
          <w:szCs w:val="18"/>
          <w:color w:val="auto"/>
        </w:rPr>
      </w:pPr>
    </w:p>
    <w:p>
      <w:pPr>
        <w:spacing w:after="0" w:line="323" w:lineRule="exact"/>
        <w:rPr>
          <w:rFonts w:ascii="Times New Roman" w:cs="Times New Roman" w:eastAsia="Times New Roman" w:hAnsi="Times New Roman"/>
          <w:sz w:val="18"/>
          <w:szCs w:val="18"/>
          <w:color w:val="auto"/>
        </w:rPr>
      </w:pPr>
    </w:p>
    <w:p>
      <w:pPr>
        <w:ind w:left="1800" w:right="619" w:hanging="180"/>
        <w:spacing w:after="0" w:line="257"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license from Intel for certain technology related to radar. </w:t>
      </w:r>
      <w:r>
        <w:rPr>
          <w:rFonts w:ascii="Times New Roman" w:cs="Times New Roman" w:eastAsia="Times New Roman" w:hAnsi="Times New Roman"/>
          <w:sz w:val="18"/>
          <w:szCs w:val="18"/>
          <w:color w:val="auto"/>
        </w:rPr>
        <w:t>Intel has granted us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sensitive core 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41" w:lineRule="auto"/>
        <w:rPr>
          <w:sz w:val="20"/>
          <w:szCs w:val="20"/>
          <w:color w:val="auto"/>
        </w:rPr>
      </w:pPr>
      <w:r>
        <w:rPr>
          <w:rFonts w:ascii="Times New Roman" w:cs="Times New Roman" w:eastAsia="Times New Roman" w:hAnsi="Times New Roman"/>
          <w:sz w:val="18"/>
          <w:szCs w:val="18"/>
          <w:color w:val="auto"/>
        </w:rPr>
        <w:t>identified radar technology which is developed solely by us following the completion of this offering,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 We are licensed to sell the radar products only for ADAS and AV solutions for automobiles and to certain types of customers (Tier1s, OEMs, MaaS) . The Technology and Services Agreement will have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 See “Certain Relationship and Related Party Transactions —  Transactions to be Entered into in Connection with this Offering — Intercompany Agreements —  Technology and Services Agreement.”</w:t>
      </w:r>
    </w:p>
    <w:p>
      <w:pPr>
        <w:spacing w:after="0" w:line="33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7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Although we have entered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0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have entered into the Tax Sharing Agreement with Intel in connection with this offering. Pursuant to the Tax Sharing Agreement,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previously been included in the Consolidated Group for the most recent annual period and expect to be included in the Consolidated Group following this offering.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0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Under current U.S. federal income tax law, in order to consummate a tax-free spin-off of our stock, Intel would need to have beneficial ownership of our stock representing at least 80% of the total voting power and 80% of each class of non-voting capital stock. As of the date of this prospectus, Intel does not intend or plan to undertake a spin-off of our stock to Intel stockholders. Nevertheless, if Intel were to decide to pursue a possible spin -off,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See “Certain Relationships and Related Party Transactions — Intercompany Agreements — Master Transaction Agreement” and “Certain Relationships and Related Party Transactions — Intercompany Agreements — Tax Sharing Agreement.”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pursuant to this offering,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7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See “Description of Capital Stock — Common Stock —  Approval Rights of Holders of Class B Common Stock.” There can be no guarantee that Intel will consent to such actions, even if they are in our best interests.</w:t>
      </w:r>
    </w:p>
    <w:p>
      <w:pPr>
        <w:spacing w:after="0" w:line="17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utilized and upon completion of this offering plan to continue to utilize various administrative services and licenses provided by Intel, and if we are unable to continue utilizing such services and/or licenses we may fail to replace them at prices or on terms as favorable as those Intel provides. In addition, we have granted Intel a worldwide and perpetual license to our patents and patent applications.</w:t>
      </w:r>
    </w:p>
    <w:p>
      <w:pPr>
        <w:spacing w:after="0" w:line="10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 See “Certain Relationships and Related Party Transactions — Historical Related Party Transactions —  Cross-License Agreement.”</w:t>
      </w:r>
    </w:p>
    <w:p>
      <w:pPr>
        <w:spacing w:after="0" w:line="326"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Following the completion of this offering, Intel will continue to provide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Product Collaboration Agreement. See “Certain Relationships and Related Party Transactions.”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Class A Common Stock</w:t>
      </w:r>
    </w:p>
    <w:p>
      <w:pPr>
        <w:spacing w:after="0" w:line="22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10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Since Intel has completed its acquisition of us, prior to this offering, there has not been a public trading market for shares of our Class A common stock. It is possible that an active trading market for our Class A common stock will not develop or, if developed, not be sustained, which would make it difficult for you to sell your shares of Class A common stock at an attractive price or at all. The initial public offering price per share of our Class A common stock was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fluctuate, and you could lose all or part of your investment.</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83" w:lineRule="exact"/>
        <w:rPr>
          <w:sz w:val="20"/>
          <w:szCs w:val="20"/>
          <w:color w:val="auto"/>
        </w:rPr>
      </w:pPr>
    </w:p>
    <w:p>
      <w:pPr>
        <w:ind w:left="1800" w:right="6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regulators and other safety organizations regarding ADAS, autonomous driving and related technology;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publicized accidents involving ADAS and autonomous driving technology, whether developed by us or our competitors;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management, employees, customers, and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research and development projects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others relating to autonomous driving technology and its adoption by OEMs;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systems and products by others;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particularly Professor Shashua;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and the global supply chain;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irregularities such as worsening inflationary trends, volatile interest rates and labor shortages;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the generation of sales from those products;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research and development and operating expenditures;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or proposed sale by Intel (or other actions taken by Intel) or other significant stockholders of our common stock or other securities in the future; and</w:t>
      </w:r>
    </w:p>
    <w:p>
      <w:pPr>
        <w:spacing w:after="0" w:line="53"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the Cornerstone Investors have, severally and not jointly, indicated an interest in purchasing up to an aggregate of $330 million of the shares of our Class A common stock offered in this offering at the initial public offering price and on the same terms and conditions as the other purchasers in this offering. In addition, Professor Shashua, our Chief Executive Officer, President, and a member of our board of directors, has indicated an interest in purchasing up to $10 million of the shares of our Class A common stock offered in this offering at the initial public offering price.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 If any of the Cornerstone Investors and/or Professor Shashua are allocated a portion or all of, or more than, the shares of Class A common stock in which they have indicated an interest in purchasing in this offering, their election to purchase any such shares could reduce the available public float for our Class A common stock.</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8"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net proceeds from this offering and the concurrent private placement, and we may not use them effectively.</w:t>
      </w:r>
    </w:p>
    <w:p>
      <w:pPr>
        <w:spacing w:after="0" w:line="7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and the concurrent private placement as follows: (i) to retain for working capital and general corporate purposes a portion of the net proceeds in such amount as is necessary so that Intel ensures that, immediately after completion of this offering and on a pro forma as adjusted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in accordance with the terms of the Master Transaction Agreement; and (ii) to use the remainder to repay a portion of the indebtedness owed to Intel under the Dividend Note. On a pro forma as adjusted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basis as of July 2, 2022, the portion of net proceeds retained by us would have been approximately</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$226 million and the portion of net proceeds used to repay a portion of the indebtedness owed to Intel under the Dividend Note would have been approximately $0.7 billion (or $0.8 billion if the underwriters exercise their option to purchase additional shares of our Class A common stock in full). See “Unaudited Pro Forma Condensed Combined Financial Information.” The actual amount of net proceeds retained will be based upon the estimated balance of cash, cash equivalents and marketable securities as of the closing date of this offering, which balance may be higher or lower than the pro forma balance as of July 2, 2022. Intel has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 and the concurrent private placement. Our management will have broad discretion in the application of net proceeds from this offering and the concurrent private placement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32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will be subject to other reporting and corporate governance requirements, including certain requirements of Nasdaq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8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0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Upon becoming a public company, we will be required to comply with the SEC’s rules implementing Sections 302 and 404 of the Sarbanes- Oxley Act, which will require management to certify financial and 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 Oxley Act. We cannot be certain as to the timing of completion of our evaluation, testing and any remediation actions or the impact of the same on our operations.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Investors in this offering and the concurrent private placement will experience immediate and substantial dilution.</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pro forma net tangible book value per share of our common stock immediately following this offering. Therefore, if you purchase shares of our Class A common stock in this offering, then you will experience immediate dilution of $19.45 per share, the difference between the price per share you pay for our Class A common stock and the pro forma as adjusted net tangible book value per share of our common stock as of July 2, 2022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and the concurrent private placement, if anything, in the event of our liquidation. See “Dilution.”</w:t>
      </w:r>
    </w:p>
    <w:p>
      <w:pPr>
        <w:spacing w:after="0" w:line="195"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9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39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After this offering and the concurrent private placement and the use of proceeds to us therefrom, we will have an aggregate of 3,954,238,095 authorized but unissued shares of Class A common stock. 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have entered into with Intel in connection with this offering, we granted Intel a continuing right to purchase from us such number of shares of Class A common stock or Class B common stock as is necessary for Intel to maintain an aggregate ownership of our common stock representing at least 80.1% of our common stock outstanding following the completion of this offering and the concurrent private placement. See “Certain Relationships and Related</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Party Transactions — Transactions to be Entered into in Connection with this Offering — Intercompany Agreements — Master Transaction Agreement.” Any common stock that we issue, including under our equity incentive plan or in connection with the Master Transaction Agreement, would dilute the percentage ownership held by the investors who purchase Class A common stock in this offering.</w:t>
      </w:r>
    </w:p>
    <w:p>
      <w:pPr>
        <w:spacing w:after="0" w:line="11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32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82"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8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88" w:lineRule="exact"/>
        <w:rPr>
          <w:sz w:val="20"/>
          <w:szCs w:val="20"/>
          <w:color w:val="auto"/>
        </w:rPr>
      </w:pPr>
    </w:p>
    <w:p>
      <w:pPr>
        <w:ind w:left="1800" w:right="639" w:hanging="180"/>
        <w:spacing w:after="0" w:line="26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278"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54"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or our Secretary upon written request by a majority of our Board of Directors are authorized to call a special meeting of stockholders;</w:t>
      </w:r>
    </w:p>
    <w:p>
      <w:pPr>
        <w:spacing w:after="0" w:line="5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provides that certain litigation against us can only be brought in Delaware unless we otherwise consent;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75"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81"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0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is in effect as of the date of this prospectus, to the fullest extent permitted by law, provides that, unless we consent in writing to the selection of an alternative forum, the Court of Chancery of the State of Delaware is the sole and exclusive forum for</w:t>
      </w:r>
    </w:p>
    <w:p>
      <w:pPr>
        <w:spacing w:after="0" w:line="2" w:lineRule="exact"/>
        <w:rPr>
          <w:sz w:val="20"/>
          <w:szCs w:val="20"/>
          <w:color w:val="auto"/>
        </w:rPr>
      </w:pPr>
    </w:p>
    <w:p>
      <w:pPr>
        <w:ind w:left="1260" w:right="419"/>
        <w:spacing w:after="0" w:line="241" w:lineRule="auto"/>
        <w:tabs>
          <w:tab w:leader="none" w:pos="15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07"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may reduce our net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number of factors can increase our effective tax rates, which could reduce our net income, including:</w:t>
      </w:r>
    </w:p>
    <w:p>
      <w:pPr>
        <w:spacing w:after="0" w:line="117" w:lineRule="exact"/>
        <w:rPr>
          <w:sz w:val="20"/>
          <w:szCs w:val="20"/>
          <w:color w:val="auto"/>
        </w:rPr>
      </w:pPr>
    </w:p>
    <w:p>
      <w:pPr>
        <w:ind w:left="1800" w:right="8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and in associated deferred tax asset valuation allowance;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tax returns;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equity-based compensation or impairments of goodwill;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new, or renew existing, tax holidays and incentives;</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conditions can adversely affect our business, results of operations, and financial condition.</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and our suppliers have manufacturing, assembly and testing,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For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six months ended July 2, 2022, 73% of our revenue was derived outside of the United States, with China,</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Germany, and the United Kingdom making up 27%, 13%, and 12%,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1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For example, the U.S. economy experienced negative growth during the first two quarters of 2022, and the rate of economic growth in Europe, China, and globally is expected to slow in 2022. This economic slowdown is expected to continue into 2023.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 be adversely affected by other global and regional factors that periodically occur, including:</w:t>
      </w:r>
    </w:p>
    <w:p>
      <w:pPr>
        <w:spacing w:after="0" w:line="117" w:lineRule="exact"/>
        <w:rPr>
          <w:sz w:val="20"/>
          <w:szCs w:val="20"/>
          <w:color w:val="auto"/>
        </w:rPr>
      </w:pPr>
    </w:p>
    <w:p>
      <w:pPr>
        <w:ind w:left="1800" w:right="11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security issues, such as armed conflict and civil or military unrest, political instability, human rights concerns and terrorist activity;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issues (including the COVID-19 pandemic) and other catastrophic events;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a particular country;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legal protection of our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current standards and practices;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uncertainty regarding social, political, immigration and tax and trade policies;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can adversely affect our business, results of operations, and financial condition.</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storms, sea-level rise, and flooding. The long-term effects of climate change on the global economy and the IT industry in particular are unclear, but could be severe.</w:t>
      </w:r>
    </w:p>
    <w:p>
      <w:pPr>
        <w:spacing w:after="0" w:line="94"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2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2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responses to and effects of the COVID-19 pandemic;</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prospectus under “Risk Factors,” “Management’s Discussion and Analysis of Financial Condition and Results of Operations” and “Business.”</w:t>
      </w:r>
    </w:p>
    <w:p>
      <w:pPr>
        <w:spacing w:after="0" w:line="8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These statements are inherently uncertain and investors are cautioned not to unduly rely upon these statements.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20"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2"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IHS Markit, </w:t>
      </w:r>
      <w:r>
        <w:rPr>
          <w:rFonts w:ascii="Times New Roman" w:cs="Times New Roman" w:eastAsia="Times New Roman" w:hAnsi="Times New Roman"/>
          <w:sz w:val="18"/>
          <w:szCs w:val="18"/>
          <w:i w:val="1"/>
          <w:iCs w:val="1"/>
          <w:color w:val="auto"/>
        </w:rPr>
        <w:t>Light Vehicle Production Forecast as of September 2022</w:t>
      </w:r>
      <w:r>
        <w:rPr>
          <w:rFonts w:ascii="Times New Roman" w:cs="Times New Roman" w:eastAsia="Times New Roman" w:hAnsi="Times New Roman"/>
          <w:sz w:val="18"/>
          <w:szCs w:val="18"/>
          <w:color w:val="auto"/>
        </w:rPr>
        <w:t>, dated September 2022.</w:t>
      </w:r>
    </w:p>
    <w:p>
      <w:pPr>
        <w:spacing w:after="0" w:line="119"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National Highway Traffic Safety Administration, </w:t>
      </w:r>
      <w:r>
        <w:rPr>
          <w:rFonts w:ascii="Times New Roman" w:cs="Times New Roman" w:eastAsia="Times New Roman" w:hAnsi="Times New Roman"/>
          <w:sz w:val="18"/>
          <w:szCs w:val="18"/>
          <w:i w:val="1"/>
          <w:iCs w:val="1"/>
          <w:color w:val="auto"/>
        </w:rPr>
        <w:t>Automated Vehicles for Safety: The Road to Full Automation</w:t>
      </w:r>
      <w:r>
        <w:rPr>
          <w:rFonts w:ascii="Times New Roman" w:cs="Times New Roman" w:eastAsia="Times New Roman" w:hAnsi="Times New Roman"/>
          <w:sz w:val="18"/>
          <w:szCs w:val="18"/>
          <w:color w:val="auto"/>
        </w:rPr>
        <w:t>, dated 2022.</w:t>
      </w:r>
    </w:p>
    <w:p>
      <w:pPr>
        <w:spacing w:after="0" w:line="51"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Volpe National Transportation Systems Center, </w:t>
      </w:r>
      <w:r>
        <w:rPr>
          <w:rFonts w:ascii="Times New Roman" w:cs="Times New Roman" w:eastAsia="Times New Roman" w:hAnsi="Times New Roman"/>
          <w:sz w:val="18"/>
          <w:szCs w:val="18"/>
          <w:i w:val="1"/>
          <w:iCs w:val="1"/>
          <w:color w:val="auto"/>
        </w:rPr>
        <w:t>How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Much Time Do Americans Spend Behind the Wheel?</w:t>
      </w:r>
      <w:r>
        <w:rPr>
          <w:rFonts w:ascii="Times New Roman" w:cs="Times New Roman" w:eastAsia="Times New Roman" w:hAnsi="Times New Roman"/>
          <w:sz w:val="18"/>
          <w:szCs w:val="18"/>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expect to receive net proceeds from this offering and the concurrent private placement of approximately $0.9 billion (or approximately $1.0 billion if the underwriters exercise their option to purchase additional shares of our Class A common stock in full), after deducting underwriting discounts and commissions and estimated offering expenses payable by us, based on the initial public offering price of $21.00 per share of Class A common stock.</w:t>
      </w:r>
    </w:p>
    <w:p>
      <w:pPr>
        <w:spacing w:after="0" w:line="116"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and the concurrent private placement as follows: (i) to retain for working capital and general corporate purposes a portion of the net proceeds in such amount as is necessary so that Intel ensures that, immediately after completion of this offering and on a pro forma as adjusted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immediately after the completion of this offering, in accordance with the terms of the Master Transaction Agreement we have entered into with Intel in connection with this offering; and (ii) to use the remainder to repay a portion of the indebtedness owed to Intel under the Dividend Note. On a pro forma as adjusted basis as of July 2, 2022, the portion of net proceeds retained by us is estimated to be approximately $226 million and the portion of net proceeds used to repay a portion of the indebtedness owed to Intel under the Dividend Note would have been approximately $0.7 billion (or $0.8 billion if the underwriters exercise their option to purchase additional shares of our Class A common stock in full). See “Unaudited Pro Forma Condensed Combined Financial Information.” The actual amount of net proceeds retained will be based upon the estimated balance of cash, cash equivalents and marketable securities as of the closing date of this offering, which balance may be higher or lower than the pro forma balance as of July 2, 2022. Intel has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 and the concurrent private placement. The Dividend Note is scheduled to mature on April 21, 2025 and accrues interest at a rate equal to 1.26% per annum. The Dividend Note is being issued in connection with our Reorganization, as described under “Prospectus Summary —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on April 21, 2022, we distributed to Intel the Dividend Note, pursuant to which we have agreed to pay Intel an aggregate of $3.5 billion. We intend to use a significant portion of the net proceeds that we receive from this offering to repay indebtedness under the Dividend Note. Intel has agreed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 See “Use of Proceeds.” In connection with the Reorganization, on May 12, 2022, we declared and paid the Dividend in an aggregate amount of $336 million to Intel, net of $14 million of cash paid to tax authorities to settle related tax obligations.</w:t>
      </w:r>
    </w:p>
    <w:p>
      <w:pPr>
        <w:spacing w:after="0" w:line="121"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we intend to retain any future earnings and do not anticipate declaring or paying any cash dividends in the foreseeable future. See “Risk Factors — Risks Related to this Offering and Our Class A Common Stock — We do not expect to pay dividends in the foreseeable future.”</w:t>
      </w:r>
    </w:p>
    <w:p>
      <w:pPr>
        <w:spacing w:after="0" w:line="9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11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2, 2022:</w:t>
      </w:r>
    </w:p>
    <w:p>
      <w:pPr>
        <w:spacing w:after="0" w:line="117"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transactions described in the section titled “Unaudited Pro Forma Condensed Combined Financial Information” other than this offering and the use of estimated net proceeds from this offering; and</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transactions described in the section titled “Unaudited Pro Forma Condensed Combined Financial Information” including this offering, the concurrent private placement, and the use of the estimated net proceeds from this offering.</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information below is not necessarily indicative of what our cash and cash equivalents and capitalization would have been had the pro forma adjustments described in the section titled “Unaudited Pro Forma Condensed Combined Financial Information” been completed as of July 2, 2022. In addition, it is not indicative of our future cash and cash equivalents and capitalization. The table is derived from and should be read together with the sections of this prospectus entitled “Use of Proceeds,” “Management’s Discussion and Analysis of Financial Condition and Results of Operations,” “Unaudited Pro Forma Condensed Combined Financial Information,” and our unaudited condensed combined financial statements and accompanying notes included elsewhere in this prospectus.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As of July 2,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70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40" w:type="dxa"/>
            <w:vAlign w:val="bottom"/>
          </w:tcPr>
          <w:p>
            <w:pPr>
              <w:spacing w:after="0"/>
              <w:rPr>
                <w:sz w:val="14"/>
                <w:szCs w:val="14"/>
                <w:color w:val="auto"/>
              </w:rPr>
            </w:pP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 ​</w:t>
            </w:r>
          </w:p>
        </w:tc>
        <w:tc>
          <w:tcPr>
            <w:tcW w:w="2700" w:type="dxa"/>
            <w:vAlign w:val="bottom"/>
            <w:tcBorders>
              <w:bottom w:val="single" w:sz="8" w:color="auto"/>
            </w:tcBorders>
          </w:tcPr>
          <w:p>
            <w:pPr>
              <w:ind w:left="1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 Forma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74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w w:val="99"/>
              </w:rPr>
              <w:t xml:space="preserve">(in millions, except share and per share data) </w:t>
            </w:r>
            <w:r>
              <w:rPr>
                <w:rFonts w:ascii="Times New Roman" w:cs="Times New Roman" w:eastAsia="Times New Roman" w:hAnsi="Times New Roman"/>
                <w:sz w:val="28"/>
                <w:szCs w:val="28"/>
                <w:b w:val="1"/>
                <w:bCs w:val="1"/>
                <w:color w:val="auto"/>
                <w:w w:val="99"/>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-189230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-189230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9861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986155"/>
                    </a:xfrm>
                    <a:prstGeom prst="rect">
                      <a:avLst/>
                    </a:prstGeom>
                    <a:noFill/>
                  </pic:spPr>
                </pic:pic>
              </a:graphicData>
            </a:graphic>
          </wp:anchor>
        </w:drawing>
      </w:r>
    </w:p>
    <w:p>
      <w:pPr>
        <w:spacing w:after="0" w:line="16" w:lineRule="exact"/>
        <w:rPr>
          <w:sz w:val="20"/>
          <w:szCs w:val="20"/>
          <w:color w:val="auto"/>
        </w:rPr>
      </w:pPr>
    </w:p>
    <w:p>
      <w:pPr>
        <w:ind w:left="1440" w:hanging="179"/>
        <w:spacing w:after="0" w:line="255" w:lineRule="auto"/>
        <w:rPr>
          <w:sz w:val="20"/>
          <w:szCs w:val="20"/>
          <w:color w:val="auto"/>
        </w:rPr>
      </w:pPr>
      <w:r>
        <w:rPr>
          <w:rFonts w:ascii="Times New Roman" w:cs="Times New Roman" w:eastAsia="Times New Roman" w:hAnsi="Times New Roman"/>
          <w:sz w:val="18"/>
          <w:szCs w:val="18"/>
          <w:color w:val="auto"/>
        </w:rPr>
        <w:t>Class A common stock, par value $0.01 per share; 0, 4,000,000,000, and 4,000,000,000 shares of Class A common stock authorized, actual, pro forma, and pro forma as adjusted, respectively; 0 shares of Class A common stock issued and outstanding, actual, 0 shares of Class A common stock issued and outstanding, pro forma, and 45,761,905 shares of Class A common stock issued and outstanding, pro forma as adjusted</w:t>
      </w:r>
    </w:p>
    <w:p>
      <w:pPr>
        <w:spacing w:after="0" w:line="13" w:lineRule="exact"/>
        <w:rPr>
          <w:sz w:val="20"/>
          <w:szCs w:val="20"/>
          <w:color w:val="auto"/>
        </w:rPr>
      </w:pPr>
    </w:p>
    <w:p>
      <w:pPr>
        <w:ind w:left="1440" w:hanging="179"/>
        <w:spacing w:after="0" w:line="255" w:lineRule="auto"/>
        <w:rPr>
          <w:sz w:val="20"/>
          <w:szCs w:val="20"/>
          <w:color w:val="auto"/>
        </w:rPr>
      </w:pPr>
      <w:r>
        <w:rPr>
          <w:rFonts w:ascii="Times New Roman" w:cs="Times New Roman" w:eastAsia="Times New Roman" w:hAnsi="Times New Roman"/>
          <w:sz w:val="18"/>
          <w:szCs w:val="18"/>
          <w:color w:val="auto"/>
        </w:rPr>
        <w:t>Class B common stock, par value $0.01 per share; 0, 1,500,000,000, and 1,500,000,000 shares of Class B common stock authorized, actual, pro forma, and pro forma as adjusted, respectively; 0 shares of Class B common stock issued and outstanding, actual, 750,000,000 shares of Class B common stock issued and outstanding, pro forma, and 750,000,000 shares of Class B common stock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4"/>
                <w:szCs w:val="14"/>
                <w:color w:val="auto"/>
              </w:rPr>
              <w:t>$   774</w:t>
            </w:r>
          </w:p>
        </w:tc>
        <w:tc>
          <w:tcPr>
            <w:tcW w:w="90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4"/>
                <w:szCs w:val="24"/>
                <w:color w:val="auto"/>
                <w:vertAlign w:val="superscript"/>
              </w:rPr>
              <w:t>$   774</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spacing w:after="0" w:line="20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 3,509</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 ​ 3,509</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540" w:val="left"/>
          <w:tab w:leader="none" w:pos="1440" w:val="left"/>
          <w:tab w:leader="none" w:pos="2040" w:val="left"/>
          <w:tab w:leader="none" w:pos="2460" w:val="left"/>
          <w:tab w:leader="none" w:pos="2800" w:val="left"/>
        </w:tabs>
        <w:rPr>
          <w:sz w:val="20"/>
          <w:szCs w:val="20"/>
          <w:color w:val="auto"/>
        </w:rPr>
      </w:pPr>
      <w:r>
        <w:rPr>
          <w:rFonts w:ascii="Times New Roman" w:cs="Times New Roman" w:eastAsia="Times New Roman" w:hAnsi="Times New Roman"/>
          <w:sz w:val="18"/>
          <w:szCs w:val="18"/>
          <w:color w:val="auto"/>
        </w:rPr>
        <w:t>​ ​ ​ ​</w:t>
        <w:tab/>
        <w:t>— ​​ ​ ​ ​</w:t>
        <w:tab/>
        <w:t>— ​​ ​</w:t>
        <w:tab/>
        <w:t>​ ​</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 ​11,215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​14,936</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​11,223 ​​ ​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500" w:space="140"/>
            <w:col w:w="32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20" w:type="dxa"/>
            <w:vAlign w:val="bottom"/>
            <w:gridSpan w:val="5"/>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(24)</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(24)</w:t>
            </w:r>
            <w:r>
              <w:rPr>
                <w:rFonts w:ascii="Times New Roman" w:cs="Times New Roman" w:eastAsia="Times New Roman" w:hAnsi="Times New Roman"/>
                <w:sz w:val="17"/>
                <w:szCs w:val="17"/>
                <w:color w:val="auto"/>
              </w:rPr>
              <w:t>​​ ​</w:t>
            </w:r>
          </w:p>
        </w:tc>
        <w:tc>
          <w:tcPr>
            <w:tcW w:w="840" w:type="dxa"/>
            <w:vAlign w:val="bottom"/>
            <w:tcBorders>
              <w:right w:val="single" w:sz="8" w:color="CCEEFF"/>
            </w:tcBorders>
            <w:gridSpan w:val="3"/>
            <w:shd w:val="clear" w:color="auto" w:fill="CCEEFF"/>
          </w:tcPr>
          <w:p>
            <w:pPr>
              <w:ind w:left="8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020" w:type="dxa"/>
            <w:vAlign w:val="bottom"/>
            <w:gridSpan w:val="5"/>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​11,199 </w:t>
            </w: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​11,199 </w:t>
            </w:r>
            <w:r>
              <w:rPr>
                <w:rFonts w:ascii="Times New Roman" w:cs="Times New Roman" w:eastAsia="Times New Roman" w:hAnsi="Times New Roman"/>
                <w:sz w:val="30"/>
                <w:szCs w:val="30"/>
                <w:color w:val="auto"/>
                <w:vertAlign w:val="subscript"/>
              </w:rPr>
              <w:t>​​ ​</w:t>
            </w:r>
          </w:p>
        </w:tc>
        <w:tc>
          <w:tcPr>
            <w:tcW w:w="84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​14,920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2020" w:type="dxa"/>
            <w:vAlign w:val="bottom"/>
            <w:gridSpan w:val="5"/>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14,708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14,708 </w:t>
            </w:r>
            <w:r>
              <w:rPr>
                <w:rFonts w:ascii="Times New Roman" w:cs="Times New Roman" w:eastAsia="Times New Roman" w:hAnsi="Times New Roman"/>
                <w:sz w:val="28"/>
                <w:szCs w:val="28"/>
                <w:color w:val="auto"/>
                <w:vertAlign w:val="subscript"/>
              </w:rPr>
              <w:t>​​ ​</w:t>
            </w:r>
          </w:p>
        </w:tc>
        <w:tc>
          <w:tcPr>
            <w:tcW w:w="840" w:type="dxa"/>
            <w:vAlign w:val="bottom"/>
            <w:tcBorders>
              <w:right w:val="single" w:sz="8" w:color="CCEEFF"/>
            </w:tcBorders>
            <w:gridSpan w:val="3"/>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14,920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-213995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7320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559" w:firstLine="360"/>
        <w:spacing w:after="0" w:line="270"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 will experience immediate and substantial dilution in the net tangible book value per share of our Class A common stock upon the completion of this offering and the concurrent private placement. Dilution results from the fact that the per share offering price of the shares of our Class A common stock is substantially in excess of the pro forma net tangible book value per share after this offering and the concurrent private placement.</w:t>
      </w:r>
    </w:p>
    <w:p>
      <w:pPr>
        <w:spacing w:after="0" w:line="105"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Our net tangible book value as of July 2, 2022 was $(2,499) million. Net tangible book value represents total tangible assets less total liabilities. Tangible assets represent total assets excluding goodwill and other intangible assets and capitalized offering costs. Net tangible book value per share represents net tangible book value divided by the aggregate number of shares of common stock outstanding immediately prior to this offering and the concurrent private placement.</w:t>
      </w:r>
    </w:p>
    <w:p>
      <w:pPr>
        <w:spacing w:after="0" w:line="105"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After giving effect to the pro forma adjustments described in the section titled “Unaudited Pro Forma Condensed Combined Financial Information”, our pro forma net tangible book value as of July 2, 2022 would have been approximately $(2,499) million, or approximately $(3.33) per share of common stock. After giving effect to these pro forma adjustments, including the sale of 41,000,000 shares of our Class A common stock in this offering (assuming the underwriters do not exercise the option to purchase additional shares of our Class A common stock) and the sale of 4,761,905 shares of our Class A common stock in the concurrent private placement at the initial public offering price of $21.00 per share of common stock, and after deducting the underwriting discounts and commissions and estimated offering expenses payable by us, and the application of such net proceeds as described under “Use of Proceeds,” our pro forma as adjusted net tangible book value as of July 2, 2022 would have been approximately $1,236 million, or approximately $1.55 per share of common stock. This represents an immediate increase in pro forma as adjusted net tangible book value of $4.88 per share of common stock to our existing stockholder and an immediate dilution (i.e., the difference between the offering price and the pro forma as adjusted net tangible book value after this offering) to investors participating in this offering and the concurrent private placement of $19.45 per share of common stock.</w:t>
      </w:r>
    </w:p>
    <w:p>
      <w:pPr>
        <w:spacing w:after="0" w:line="3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participating in this offering:</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150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​​$21.00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Pro forma net tangible book value per share before completion of this offering</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investors participating in this offering and the concurrent private placement and the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use of the net proceeds from this offering and the concurrent private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placement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88</w:t>
            </w:r>
            <w:r>
              <w:rPr>
                <w:rFonts w:ascii="Times New Roman" w:cs="Times New Roman" w:eastAsia="Times New Roman" w:hAnsi="Times New Roman"/>
                <w:sz w:val="18"/>
                <w:szCs w:val="18"/>
                <w:color w:val="auto"/>
              </w:rPr>
              <w:t>​​ ​​ ​</w:t>
            </w:r>
          </w:p>
        </w:tc>
        <w:tc>
          <w:tcPr>
            <w:tcW w:w="3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1.55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70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Dilution in pro forma as adjusted net tangible book value per share to investors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5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7"/>
                <w:szCs w:val="17"/>
                <w:color w:val="auto"/>
              </w:rPr>
              <w:t>participating in this offering and the concurrent private placement</w:t>
            </w:r>
            <w:r>
              <w:rPr>
                <w:rFonts w:ascii="Times New Roman" w:cs="Times New Roman" w:eastAsia="Times New Roman" w:hAnsi="Times New Roman"/>
                <w:sz w:val="22"/>
                <w:szCs w:val="22"/>
                <w:color w:val="auto"/>
                <w:vertAlign w:val="superscript"/>
              </w:rPr>
              <w:t>(1)</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19.45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1"/>
        </w:trPr>
        <w:tc>
          <w:tcPr>
            <w:tcW w:w="120" w:type="dxa"/>
            <w:vAlign w:val="bottom"/>
            <w:vMerge w:val="continue"/>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476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6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4894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24" w:lineRule="exact"/>
        <w:rPr>
          <w:sz w:val="20"/>
          <w:szCs w:val="20"/>
          <w:color w:val="auto"/>
        </w:rPr>
      </w:pPr>
    </w:p>
    <w:p>
      <w:pPr>
        <w:ind w:left="1620" w:right="51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is determined by subtracting pro forma as adjusted net tangible book value per share from the initial public offering price paid by an investor participating in this offering.</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July 2, 2022, the total number of shares of common stock owned by our existing stockholder and to be owned by the investors participating in this offering and the concurrent private placement, the total consideration paid and the average price per share paid by our existing stockholder and to be paid by the investors participating in this offering at the initial public offering price of $21.00 per share of Class A common stock, calculated before deducting underwriting discounts and commissions and estimated offering expenses: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 ​</w:t>
            </w:r>
          </w:p>
        </w:tc>
        <w:tc>
          <w:tcPr>
            <w:tcW w:w="17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Percentage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1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27"/>
                <w:szCs w:val="27"/>
                <w:b w:val="1"/>
                <w:bCs w:val="1"/>
                <w:color w:val="auto"/>
                <w:vertAlign w:val="subscript"/>
              </w:rPr>
              <w:t>​</w:t>
            </w:r>
          </w:p>
        </w:tc>
      </w:tr>
      <w:tr>
        <w:trPr>
          <w:trHeight w:val="20"/>
        </w:trPr>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existing stockholder</w:t>
      </w:r>
    </w:p>
    <w:p>
      <w:pPr>
        <w:spacing w:after="0" w:line="50" w:lineRule="exact"/>
        <w:rPr>
          <w:sz w:val="20"/>
          <w:szCs w:val="20"/>
          <w:color w:val="auto"/>
        </w:rPr>
      </w:pPr>
    </w:p>
    <w:p>
      <w:pPr>
        <w:ind w:left="1260"/>
        <w:spacing w:after="0" w:line="276" w:lineRule="auto"/>
        <w:rPr>
          <w:sz w:val="20"/>
          <w:szCs w:val="20"/>
          <w:color w:val="auto"/>
        </w:rPr>
      </w:pPr>
      <w:r>
        <w:rPr>
          <w:rFonts w:ascii="Times New Roman" w:cs="Times New Roman" w:eastAsia="Times New Roman" w:hAnsi="Times New Roman"/>
          <w:sz w:val="18"/>
          <w:szCs w:val="18"/>
          <w:color w:val="auto"/>
        </w:rPr>
        <w:t>Investors participating in this offering Investor in the concurrent private</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placement</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​​750,000,000​​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94.2%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41,000,000​​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​​$861,000,000​​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89.6%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4,761,905​​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0.6%</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​​$100,000,000​​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795,761,905​​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​​$961,000,000​​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-471170</wp:posOffset>
            </wp:positionV>
            <wp:extent cx="5212080"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120" w:space="240"/>
            <w:col w:w="5519"/>
          </w:cols>
          <w:pgMar w:left="580" w:top="97" w:right="1440" w:bottom="1440" w:gutter="0" w:footer="0" w:header="0"/>
          <w:type w:val="continuous"/>
        </w:sect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Class A common stock in full at the initial public offering price of $21.00 per share, and after deducting the underwriting discounts and commissions and estimated offering expenses, the pro forma as adjusted net tangible book value per share after this offering and the concurrent private placement would be approximately $1.54 per share, and the dilution per share to investors purchasing shares of common stock in this offering would be approximately $19.46 per share.</w:t>
      </w:r>
    </w:p>
    <w:p>
      <w:pPr>
        <w:spacing w:after="0" w:line="12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Immediately following the completion of this offering and the concurrent private placement, our issued and outstanding common stock will be held as follows: 45,761,905 shares of our Class A common stock (or 51,911,905 if the underwriters exercise their option to purchase additional shares of our Class A common stock in full), representing all of the issued and outstanding shares of our Class A common stock, will be held by investors in this offering and the concurrent private placement, based on the initial public offering price of $21.00 per share; and 750,000,000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consists of an unaudited pro forma condensed combined balance sheet as of July 2, 2022, and unaudited pro forma condensed combined statements of operations for the six months ended July 2, 2022, and the year ended December 25, 2021.</w:t>
      </w:r>
    </w:p>
    <w:p>
      <w:pPr>
        <w:spacing w:after="0" w:line="323"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2, 2022, presents Mobileye Group’s combined financial position after giving pro forma effect to certain transactions, as described below, this offering and the use of the net proceeds from this offering, as described below (collectively, the “Transactions”), as if the Transactions occurred on July 2, 2022. The unaudited pro forma condensed combined statements of operations for the six months ended July 2, 2022, and the year ended December 25, 2021 present Mobileye Group’s combined results of operations after giving pro forma effect to the Transactions as if the Transactions occurred on December 27, 2020, the first day of fiscal year 2021.</w:t>
      </w:r>
    </w:p>
    <w:p>
      <w:pPr>
        <w:spacing w:after="0" w:line="11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has been prepared in conformity with Article 11 of Regulation S-X and is based on currently available information and certain estimates and assumptions. The adjustments in the unaudited pro forma condensed combined financial information have been identified and presented to provide relevant information necessary for an illustrative understanding of Mobileye Global Inc. and its wholly owned subsidiaries upon consummation of the Transactions. Assumptions and estimates underlying the unaudited pro forma adjustments set forth in the unaudited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forma condensed combined financial information are described in the accompanying notes.</w:t>
      </w:r>
    </w:p>
    <w:p>
      <w:pPr>
        <w:spacing w:after="0" w:line="12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informational purposes only and is not necessarily indicative of financial results that would have been attained had the Transactions occurred on the dates indicated above and does not project our results of operations or financial position for any future period or as of any future date. The unaudited pro forma condensed combined financial information also does not give effect to the potential impact of any operating synergies or cost savings that may result from the Transactions. Our future results of operations or financial position may vary significantly from the results reflected in the unaudited pro forma condensed combined statements of operations and should not be relied on as an indication of our results after the consummation of the Transactions. See “Risk Factors—Risks Related to Our Relationship with Intel and Our Dual Class Structure —Our historical financial information may not be representative of our results as an independent public company.” However, we believe that the assumptions provide a reasonable basis for presenting the effects of the Transactions as contemplated and that the pro forma adjustments give appropriate effect to those assumptions and are properly applied in the unaudited pro forma condensed combined financial information.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Reorganization and This Offering</w:t>
      </w:r>
    </w:p>
    <w:p>
      <w:pPr>
        <w:spacing w:after="0" w:line="162"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Mobileye Global Inc., the issuer, was incorporated to serve as the holding company that owns Mobileye Group. The following transactions were completed as part of the Reorganization:</w:t>
      </w:r>
    </w:p>
    <w:p>
      <w:pPr>
        <w:spacing w:after="0" w:line="61" w:lineRule="exact"/>
        <w:rPr>
          <w:sz w:val="20"/>
          <w:szCs w:val="20"/>
          <w:color w:val="auto"/>
        </w:rPr>
      </w:pPr>
    </w:p>
    <w:p>
      <w:pPr>
        <w:ind w:left="1800" w:right="8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net of $14 million of cash paid to tax authorities to settle related tax obligations, which we completed on May 12, 2022;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on April 21, 2022 to Intel of the Dividend Note.</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$900 million payable from us to Intel for the purchase of 100% of the issued and outstanding equity interests of the Moovit entities referenced above, which we completed on May 31, 2022 (the “Moovit Purchase”), is presented within related party payable on the balance sheet in our historical combined financial statements. As further described under “Certain Relationships and Related Party Transactions—​ Loan Arrangements,” there is, as of July 2, 2022, an approximately $901 million related party receivable from Intel to Mobileye under the Bilateral Loan Arrangements (as defined in that section), and we plan to settle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auto"/>
        </w:rPr>
        <w:t>the $900 million related party payable for the Moovit Purchase with cash to be received from Intel’s payment of such amount it owes to us under the Bilateral Loan Arrangement. The $900 million payment to Intel for the Moovit Purchase, and the payment to Mobileye of such related party receivable from Intel, are expected to occur substantially concurrently. The timing of the $900 million payment from us to Intel for the Moovit Purchase remains to be determined between us and Intel primarily based on certain tax considerations and is not tied to the timing of the Reorganization or this offering.</w:t>
      </w:r>
    </w:p>
    <w:p>
      <w:pPr>
        <w:spacing w:after="0" w:line="120"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impact of certain transactions, which comprise the following:</w:t>
      </w:r>
    </w:p>
    <w:p>
      <w:pPr>
        <w:spacing w:after="0" w:line="54" w:lineRule="exact"/>
        <w:rPr>
          <w:sz w:val="20"/>
          <w:szCs w:val="20"/>
          <w:color w:val="auto"/>
        </w:rPr>
      </w:pPr>
    </w:p>
    <w:p>
      <w:pPr>
        <w:ind w:left="1800" w:right="6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be awarded to employees;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Other events we expect to occur in connection with the offering are summarized below:</w:t>
      </w:r>
    </w:p>
    <w:p>
      <w:pPr>
        <w:spacing w:after="0" w:line="117" w:lineRule="exact"/>
        <w:rPr>
          <w:sz w:val="20"/>
          <w:szCs w:val="20"/>
          <w:color w:val="auto"/>
        </w:rPr>
      </w:pPr>
    </w:p>
    <w:p>
      <w:pPr>
        <w:ind w:left="1800" w:right="539" w:hanging="180"/>
        <w:spacing w:after="0" w:line="258"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41,000,000 shares of our Class A common stock in this offering (assuming the underwriters do not exercise the option to purchase additional shares of our Class A common stock) and the sale by us of 4,761,905 shares of our Class A common stock in the concurrent private placement at the initial public offering price of $21.00 per share, after deducting the underwriting discounts and commissions and estimated offering expenses payable by us; and</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significant portion of the net proceeds that we receive from this offering and the concurrent private placement to repay approximately $0.7 billion (or $0.8 billion if the underwriters exercise their option to purchase additional shares of our Class A common stock in full) of indebtedness under the Dividend Note so that we retain the amount of net proceeds in accordance with the Master Transaction Agreement which requires that Intel ensure that, immediately after completion of this offering and on a pro forma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On a pro forma as adjusted basis as of July 2, 2022, the portion of net proceeds to be retained by us would have been approximately $226 million. The actual amount of net proceeds retained will be based upon the estimated balance of cash, cash equivalents and marketable securities as of the closing date of this offering, which balance may be higher or lower than the pro forma balance as of July 2, 2022. Intel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 and the concurrent private placement.</w:t>
      </w:r>
    </w:p>
    <w:p>
      <w:pPr>
        <w:spacing w:after="0" w:line="34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Furthermore, immediately after completion of this offering and the concurrent private placement and on a pro forma basis after all expenses of this offering have been paid (and after giving effect to any repayment of any indebtedness by us to Intel and any other transactions contemplated to occur substantially concurrently with this offering), the Master Transaction Agreement provides that Intel will ensure that we will have $1.0 billion in cash, cash equivalents, or marketable securities.</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historical combined financial information has been derived from the combined financial statements of Mobileye Group and accompanying notes to the combined financial statements included elsewhere in this prospectus. Mobileye Global Inc. was formed in January 2022 and did not have any material assets or results of operations until the completion of the Reorganization. Therefore, its historical financial information is not included in the unaudited pro forma condensed combined financial information. Following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offering, Mobileye Global Inc. will be a holding company with no operations and no material assets of its own other than its ownership interest in Mobileye Group.</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sections of this prospectus titled “Basis of Presentation,” “Prospectus Summary—Reorganization,” “Use of Proceeds,” “Capitalization,” “Management’s Discussion and Analysis of Financial Condition and Results of Operations,” “Certain Relationships and Related Party Transactions,” and the historical combined financial statements and accompanying notes, included elsewhere in this prospectus. All pro forma adjustments and their underlying assumptions are described more fully in the notes to these unaudited</w:t>
      </w:r>
    </w:p>
    <w:p>
      <w:pPr>
        <w:spacing w:after="0" w:line="5"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pro forma condensed combined balance sheet and unaudited pro forma condensed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AS OF JULY 2, 2022</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Pro</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89"/>
              </w:rPr>
              <w:t>As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Forma</w:t>
            </w:r>
          </w:p>
        </w:tc>
        <w:tc>
          <w:tcPr>
            <w:tcW w:w="12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​​Reorganization ​​</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7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4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774</w:t>
            </w:r>
          </w:p>
        </w:tc>
        <w:tc>
          <w:tcPr>
            <w:tcW w:w="1100" w:type="dxa"/>
            <w:vAlign w:val="bottom"/>
            <w:tcBorders>
              <w:right w:val="single" w:sz="8" w:color="CCEEFF"/>
            </w:tcBorders>
            <w:gridSpan w:val="6"/>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774​​​</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912</w:t>
            </w:r>
          </w:p>
        </w:tc>
        <w:tc>
          <w:tcPr>
            <w:tcW w:w="62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 ​​​$</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(686)</w:t>
            </w:r>
          </w:p>
        </w:tc>
        <w:tc>
          <w:tcPr>
            <w:tcW w:w="6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​​​(C) ​​​</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Trade accounts receivable, net</w:t>
            </w:r>
          </w:p>
        </w:tc>
        <w:tc>
          <w:tcPr>
            <w:tcW w:w="40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98​​​</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Related party loan</w:t>
            </w:r>
          </w:p>
        </w:tc>
        <w:tc>
          <w:tcPr>
            <w:tcW w:w="40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901</w:t>
            </w:r>
          </w:p>
        </w:tc>
        <w:tc>
          <w:tcPr>
            <w:tcW w:w="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901​​​</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3"/>
            <w:shd w:val="clear" w:color="auto" w:fill="000000"/>
          </w:tcPr>
          <w:p>
            <w:pPr>
              <w:spacing w:after="0" w:line="20" w:lineRule="exact"/>
              <w:rPr>
                <w:sz w:val="1"/>
                <w:szCs w:val="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3160" w:type="dxa"/>
            <w:vAlign w:val="bottom"/>
            <w:gridSpan w:val="2"/>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2,043</w:t>
            </w:r>
          </w:p>
        </w:tc>
        <w:tc>
          <w:tcPr>
            <w:tcW w:w="200" w:type="dxa"/>
            <w:vAlign w:val="bottom"/>
            <w:gridSpan w:val="2"/>
            <w:vMerge w:val="continue"/>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2,043</w:t>
            </w:r>
          </w:p>
        </w:tc>
        <w:tc>
          <w:tcPr>
            <w:tcW w:w="12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2,269</w:t>
            </w:r>
          </w:p>
        </w:tc>
        <w:tc>
          <w:tcPr>
            <w:tcW w:w="100" w:type="dxa"/>
            <w:vAlign w:val="bottom"/>
            <w:tcBorders>
              <w:left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760" w:type="dxa"/>
            <w:vAlign w:val="bottom"/>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 ​ 2,789</w:t>
            </w:r>
          </w:p>
        </w:tc>
        <w:tc>
          <w:tcPr>
            <w:tcW w:w="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2,789​​​</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2,789</w:t>
            </w:r>
          </w:p>
        </w:tc>
        <w:tc>
          <w:tcPr>
            <w:tcW w:w="10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76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 ​ ​10,895</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​10,895​​​</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w w:val="92"/>
              </w:rPr>
              <w:t>​10,895</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CCEE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16,162</w:t>
            </w:r>
          </w:p>
        </w:tc>
        <w:tc>
          <w:tcPr>
            <w:tcW w:w="20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CCEE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16,162</w:t>
            </w:r>
          </w:p>
        </w:tc>
        <w:tc>
          <w:tcPr>
            <w:tcW w:w="120" w:type="dxa"/>
            <w:vAlign w:val="bottom"/>
            <w:tcBorders>
              <w:top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2"/>
                <w:szCs w:val="22"/>
                <w:b w:val="1"/>
                <w:bCs w:val="1"/>
                <w:color w:val="auto"/>
                <w:vertAlign w:val="superscript"/>
              </w:rPr>
              <w:t>$</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212</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16,374</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9"/>
        </w:trPr>
        <w:tc>
          <w:tcPr>
            <w:tcW w:w="31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40" w:type="dxa"/>
            <w:vAlign w:val="bottom"/>
            <w:gridSpan w:val="2"/>
          </w:tcPr>
          <w:p>
            <w:pPr>
              <w:jc w:val="right"/>
              <w:ind w:right="19"/>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0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Employee related accrued expenses</w:t>
            </w:r>
          </w:p>
        </w:tc>
        <w:tc>
          <w:tcPr>
            <w:tcW w:w="40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Related party payable</w:t>
            </w:r>
          </w:p>
        </w:tc>
        <w:tc>
          <w:tcPr>
            <w:tcW w:w="40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973</w:t>
            </w:r>
          </w:p>
        </w:tc>
        <w:tc>
          <w:tcPr>
            <w:tcW w:w="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973​​​</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 3,509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3,509​​​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​(2,823)</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60" w:type="dxa"/>
            <w:vAlign w:val="bottom"/>
            <w:gridSpan w:val="5"/>
            <w:shd w:val="clear" w:color="auto" w:fill="CCEEFF"/>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4"/>
                <w:szCs w:val="14"/>
                <w:b w:val="1"/>
                <w:bCs w:val="1"/>
                <w:color w:val="auto"/>
              </w:rPr>
              <w:t xml:space="preserve"> ​ 4,730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shd w:val="clear" w:color="auto" w:fill="CCEEFF"/>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rPr>
              <w:t>​ 4,730</w:t>
            </w:r>
            <w:r>
              <w:rPr>
                <w:rFonts w:ascii="Times New Roman" w:cs="Times New Roman" w:eastAsia="Times New Roman" w:hAnsi="Times New Roman"/>
                <w:sz w:val="24"/>
                <w:szCs w:val="24"/>
                <w:b w:val="1"/>
                <w:bCs w:val="1"/>
                <w:color w:val="auto"/>
                <w:vertAlign w:val="subscript"/>
              </w:rPr>
              <w:t>​​​</w:t>
            </w:r>
          </w:p>
        </w:tc>
        <w:tc>
          <w:tcPr>
            <w:tcW w:w="840" w:type="dxa"/>
            <w:vAlign w:val="bottom"/>
            <w:tcBorders>
              <w:left w:val="single" w:sz="8" w:color="CCEEFF"/>
            </w:tcBorders>
            <w:gridSpan w:val="4"/>
            <w:shd w:val="clear" w:color="auto" w:fill="CCEEFF"/>
          </w:tcPr>
          <w:p>
            <w:pPr>
              <w:ind w:left="1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4"/>
                <w:szCs w:val="14"/>
                <w:b w:val="1"/>
                <w:bCs w:val="1"/>
                <w:color w:val="auto"/>
              </w:rPr>
              <w:t xml:space="preserve"> ​(3,509)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1,221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Long-term employee benefits</w:t>
            </w:r>
          </w:p>
        </w:tc>
        <w:tc>
          <w:tcPr>
            <w:tcW w:w="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9"/>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5"/>
                <w:szCs w:val="15"/>
                <w:color w:val="auto"/>
              </w:rPr>
            </w:pPr>
          </w:p>
        </w:tc>
        <w:tc>
          <w:tcPr>
            <w:tcW w:w="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5"/>
                <w:szCs w:val="15"/>
                <w:color w:val="auto"/>
              </w:rPr>
            </w:pPr>
          </w:p>
        </w:tc>
        <w:tc>
          <w:tcPr>
            <w:tcW w:w="14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 4,963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4,963​​​</w:t>
            </w:r>
          </w:p>
        </w:tc>
        <w:tc>
          <w:tcPr>
            <w:tcW w:w="840" w:type="dxa"/>
            <w:vAlign w:val="bottom"/>
            <w:tcBorders>
              <w:lef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​(3,509)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1,454</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w:t>
            </w:r>
          </w:p>
        </w:tc>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11,215</w:t>
            </w:r>
          </w:p>
        </w:tc>
        <w:tc>
          <w:tcPr>
            <w:tcW w:w="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​14,936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​2,823</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net investment</w:t>
            </w:r>
          </w:p>
        </w:tc>
        <w:tc>
          <w:tcPr>
            <w:tcW w:w="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​11,223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​(11,223)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​$ 11,199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11,199​​​</w:t>
            </w:r>
          </w:p>
        </w:tc>
        <w:tc>
          <w:tcPr>
            <w:tcW w:w="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​$ 3,721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14,920 ​</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60" w:type="dxa"/>
            <w:vAlign w:val="bottom"/>
            <w:gridSpan w:val="5"/>
            <w:shd w:val="clear" w:color="auto" w:fill="CCEEFF"/>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16,162</w:t>
            </w:r>
          </w:p>
        </w:tc>
        <w:tc>
          <w:tcPr>
            <w:tcW w:w="460" w:type="dxa"/>
            <w:vAlign w:val="bottom"/>
            <w:gridSpan w:val="4"/>
            <w:shd w:val="clear" w:color="auto" w:fill="CCEEFF"/>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4"/>
                <w:szCs w:val="24"/>
                <w:b w:val="1"/>
                <w:bCs w:val="1"/>
                <w:color w:val="auto"/>
                <w:vertAlign w:val="superscript"/>
              </w:rPr>
              <w:t>$</w:t>
            </w:r>
          </w:p>
        </w:tc>
        <w:tc>
          <w:tcPr>
            <w:tcW w:w="6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5"/>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16,162</w:t>
            </w:r>
            <w:r>
              <w:rPr>
                <w:rFonts w:ascii="Times New Roman" w:cs="Times New Roman" w:eastAsia="Times New Roman" w:hAnsi="Times New Roman"/>
                <w:sz w:val="24"/>
                <w:szCs w:val="24"/>
                <w:b w:val="1"/>
                <w:bCs w:val="1"/>
                <w:color w:val="auto"/>
                <w:vertAlign w:val="subscript"/>
              </w:rPr>
              <w:t>​​​</w:t>
            </w:r>
          </w:p>
        </w:tc>
        <w:tc>
          <w:tcPr>
            <w:tcW w:w="320" w:type="dxa"/>
            <w:vAlign w:val="bottom"/>
            <w:tcBorders>
              <w:left w:val="single" w:sz="8" w:color="CCEEFF"/>
            </w:tcBorders>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4"/>
                <w:szCs w:val="24"/>
                <w:b w:val="1"/>
                <w:bCs w:val="1"/>
                <w:color w:val="auto"/>
                <w:vertAlign w:val="superscript"/>
              </w:rPr>
              <w:t>$</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ind w:left="6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16,374</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-3479800</wp:posOffset>
            </wp:positionV>
            <wp:extent cx="521208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-2700020</wp:posOffset>
            </wp:positionV>
            <wp:extent cx="521208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521208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-256540</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-256540</wp:posOffset>
            </wp:positionV>
            <wp:extent cx="4197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-256540</wp:posOffset>
            </wp:positionV>
            <wp:extent cx="1543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-256540</wp:posOffset>
            </wp:positionV>
            <wp:extent cx="368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2674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-410845</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-1662430</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-1816735</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-1816735</wp:posOffset>
            </wp:positionV>
            <wp:extent cx="4197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9735"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-1816735</wp:posOffset>
            </wp:positionV>
            <wp:extent cx="1543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-1816735</wp:posOffset>
            </wp:positionV>
            <wp:extent cx="3683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-1816735</wp:posOffset>
            </wp:positionV>
            <wp:extent cx="2674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-2416810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-2416810</wp:posOffset>
            </wp:positionV>
            <wp:extent cx="419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-2416810</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-2416810</wp:posOffset>
            </wp:positionV>
            <wp:extent cx="3683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-2416810</wp:posOffset>
            </wp:positionV>
            <wp:extent cx="26746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-3642995</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-4173855</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-4319905</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-4319905</wp:posOffset>
            </wp:positionV>
            <wp:extent cx="4197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-4319905</wp:posOffset>
            </wp:positionV>
            <wp:extent cx="154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-4319905</wp:posOffset>
            </wp:positionV>
            <wp:extent cx="368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-4319905</wp:posOffset>
            </wp:positionV>
            <wp:extent cx="2674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-5365750</wp:posOffset>
            </wp:positionV>
            <wp:extent cx="521208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34" w:lineRule="exact"/>
        <w:rPr>
          <w:sz w:val="20"/>
          <w:szCs w:val="20"/>
          <w:color w:val="auto"/>
        </w:rPr>
      </w:pPr>
    </w:p>
    <w:p>
      <w:pPr>
        <w:ind w:left="1620" w:hanging="360"/>
        <w:spacing w:after="0"/>
        <w:tabs>
          <w:tab w:leader="none" w:pos="162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Less than $1 million</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SIX MONTHS ENDED JULY 2, 2022 (IN MILLIONS EXCEPT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0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Pro Forma</w:t>
            </w:r>
          </w:p>
        </w:tc>
        <w:tc>
          <w:tcPr>
            <w:tcW w:w="1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0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2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2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854</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854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2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449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​405</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4"/>
            <w:shd w:val="clear" w:color="auto" w:fill="CCEEFF"/>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​405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405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6"/>
                <w:szCs w:val="16"/>
                <w:color w:val="auto"/>
              </w:rPr>
            </w:pPr>
          </w:p>
        </w:tc>
        <w:tc>
          <w:tcPr>
            <w:tcW w:w="180" w:type="dxa"/>
            <w:vAlign w:val="bottom"/>
          </w:tcPr>
          <w:p>
            <w:pPr>
              <w:jc w:val="right"/>
              <w:ind w:right="5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3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6"/>
                <w:szCs w:val="16"/>
                <w:color w:val="auto"/>
              </w:rPr>
            </w:pPr>
          </w:p>
        </w:tc>
        <w:tc>
          <w:tcPr>
            <w:tcW w:w="14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6"/>
                <w:szCs w:val="16"/>
                <w:color w:val="auto"/>
              </w:rPr>
            </w:pPr>
          </w:p>
        </w:tc>
        <w:tc>
          <w:tcPr>
            <w:tcW w:w="2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6"/>
                <w:szCs w:val="16"/>
                <w:color w:val="auto"/>
              </w:rPr>
            </w:pPr>
          </w:p>
        </w:tc>
        <w:tc>
          <w:tcPr>
            <w:tcW w:w="14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​359</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​32</w:t>
            </w:r>
          </w:p>
        </w:tc>
        <w:tc>
          <w:tcPr>
            <w:tcW w:w="4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 ​​</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​391</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w:t>
            </w:r>
          </w:p>
        </w:tc>
        <w:tc>
          <w:tcPr>
            <w:tcW w:w="24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​441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2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478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vMerge w:val="continue"/>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(36)</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​(37)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(73)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with related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party, net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9</w:t>
            </w: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14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​(37)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 (73)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gridSpan w:val="3"/>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(31)</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right w:val="single" w:sz="8" w:color="CCEEFF"/>
            </w:tcBorders>
            <w:gridSpan w:val="3"/>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780" w:type="dxa"/>
            <w:vAlign w:val="bottom"/>
            <w:tcBorders>
              <w:right w:val="single" w:sz="8" w:color="CCEEFF"/>
            </w:tcBorders>
            <w:gridSpan w:val="5"/>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(29) </w:t>
            </w:r>
            <w:r>
              <w:rPr>
                <w:rFonts w:ascii="Times New Roman" w:cs="Times New Roman" w:eastAsia="Times New Roman" w:hAnsi="Times New Roman"/>
                <w:sz w:val="32"/>
                <w:szCs w:val="32"/>
                <w:color w:val="auto"/>
                <w:vertAlign w:val="subscript"/>
              </w:rPr>
              <w:t>​​​</w:t>
            </w:r>
          </w:p>
        </w:tc>
        <w:tc>
          <w:tcPr>
            <w:tcW w:w="800" w:type="dxa"/>
            <w:vAlign w:val="bottom"/>
            <w:gridSpan w:val="4"/>
            <w:shd w:val="clear" w:color="auto" w:fill="CCEEFF"/>
          </w:tcPr>
          <w:p>
            <w:pPr>
              <w:ind w:left="2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80" w:type="dxa"/>
            <w:vAlign w:val="bottom"/>
            <w:tcBorders>
              <w:right w:val="single" w:sz="8" w:color="CCEEFF"/>
            </w:tcBorders>
            <w:gridSpan w:val="3"/>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28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2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​(0.12)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diluted</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4"/>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​(0.12)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basic</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4"/>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-2399665</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-2399665</wp:posOffset>
            </wp:positionV>
            <wp:extent cx="48088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-3428365</wp:posOffset>
            </wp:positionV>
            <wp:extent cx="93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-3428365</wp:posOffset>
            </wp:positionV>
            <wp:extent cx="48088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-3771265</wp:posOffset>
            </wp:positionV>
            <wp:extent cx="274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-3771265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-3771265</wp:posOffset>
            </wp:positionV>
            <wp:extent cx="274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-3771265</wp:posOffset>
            </wp:positionV>
            <wp:extent cx="25546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25, 2021 (IN MILLIONS EXCEPT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As Reported</w:t>
            </w:r>
          </w:p>
        </w:tc>
        <w:tc>
          <w:tcPr>
            <w:tcW w:w="12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0"/>
              </w:rPr>
              <w:t>Mobileye</w:t>
            </w:r>
          </w:p>
        </w:tc>
        <w:tc>
          <w:tcPr>
            <w:tcW w:w="1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3"/>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80" w:type="dxa"/>
            <w:vAlign w:val="bottom"/>
            <w:gridSpan w:val="3"/>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​$ 1,386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731</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52"/>
              <w:spacing w:after="0" w:line="202" w:lineRule="exact"/>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(E)</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733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5"/>
              <w:spacing w:after="0" w:line="202" w:lineRule="exact"/>
              <w:rPr>
                <w:sz w:val="20"/>
                <w:szCs w:val="20"/>
                <w:color w:val="auto"/>
              </w:rPr>
            </w:pPr>
            <w:r>
              <w:rPr>
                <w:rFonts w:ascii="Times New Roman" w:cs="Times New Roman" w:eastAsia="Times New Roman" w:hAnsi="Times New Roman"/>
                <w:sz w:val="18"/>
                <w:szCs w:val="18"/>
                <w:color w:val="auto"/>
              </w:rPr>
              <w:t>733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gridSpan w:val="2"/>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0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2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6"/>
                <w:szCs w:val="16"/>
                <w:color w:val="auto"/>
              </w:rPr>
            </w:pPr>
          </w:p>
        </w:tc>
        <w:tc>
          <w:tcPr>
            <w:tcW w:w="1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2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16"/>
                <w:szCs w:val="16"/>
                <w:color w:val="auto"/>
              </w:rPr>
            </w:pPr>
          </w:p>
        </w:tc>
        <w:tc>
          <w:tcPr>
            <w:tcW w:w="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642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152"/>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(E)</w:t>
            </w:r>
          </w:p>
        </w:tc>
        <w:tc>
          <w:tcPr>
            <w:tcW w:w="22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35"/>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5"/>
                <w:szCs w:val="5"/>
                <w:color w:val="auto"/>
              </w:rPr>
            </w:pPr>
          </w:p>
        </w:tc>
        <w:tc>
          <w:tcPr>
            <w:tcW w:w="220" w:type="dxa"/>
            <w:vAlign w:val="bottom"/>
            <w:tcBorders>
              <w:right w:val="single" w:sz="8" w:color="CCEEFF"/>
            </w:tcBorders>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620" w:type="dxa"/>
            <w:vAlign w:val="bottom"/>
            <w:gridSpan w:val="2"/>
            <w:shd w:val="clear" w:color="auto" w:fill="CCEEFF"/>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827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gridSpan w:val="2"/>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(174)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(expenses) with a</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net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23"/>
                <w:szCs w:val="2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gridSpan w:val="2"/>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vMerge w:val="continue"/>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(174)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20" w:type="dxa"/>
            <w:vAlign w:val="bottom"/>
            <w:gridSpan w:val="2"/>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perscript"/>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4"/>
            <w:shd w:val="clear" w:color="auto" w:fill="CCEEFF"/>
          </w:tcPr>
          <w:p>
            <w:pPr>
              <w:ind w:left="2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6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(185) </w:t>
            </w:r>
            <w:r>
              <w:rPr>
                <w:rFonts w:ascii="Times New Roman" w:cs="Times New Roman" w:eastAsia="Times New Roman" w:hAnsi="Times New Roman"/>
                <w:sz w:val="30"/>
                <w:szCs w:val="30"/>
                <w:color w:val="auto"/>
                <w:vertAlign w:val="subscript"/>
              </w:rPr>
              <w:t>​​​</w:t>
            </w:r>
          </w:p>
        </w:tc>
        <w:tc>
          <w:tcPr>
            <w:tcW w:w="62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7"/>
                <w:szCs w:val="17"/>
                <w:color w:val="auto"/>
              </w:rPr>
            </w:pPr>
          </w:p>
        </w:tc>
        <w:tc>
          <w:tcPr>
            <w:tcW w:w="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spacing w:after="0"/>
              <w:rPr>
                <w:sz w:val="23"/>
                <w:szCs w:val="23"/>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​(0.23)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​(0.23)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20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spacing w:after="0"/>
              <w:rPr>
                <w:sz w:val="21"/>
                <w:szCs w:val="21"/>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spacing w:after="0"/>
              <w:rPr>
                <w:sz w:val="23"/>
                <w:szCs w:val="23"/>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-2082165</wp:posOffset>
            </wp:positionV>
            <wp:extent cx="521208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-1362075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-1362075</wp:posOffset>
            </wp:positionV>
            <wp:extent cx="4972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-1362075</wp:posOffset>
            </wp:positionV>
            <wp:extent cx="2317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-1362075</wp:posOffset>
            </wp:positionV>
            <wp:extent cx="34544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-1722120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-1722120</wp:posOffset>
            </wp:positionV>
            <wp:extent cx="4972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-1722120</wp:posOffset>
            </wp:positionV>
            <wp:extent cx="2317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34544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-2553970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-2553970</wp:posOffset>
            </wp:positionV>
            <wp:extent cx="4972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-2553970</wp:posOffset>
            </wp:positionV>
            <wp:extent cx="2317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3454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-3582670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-3582670</wp:posOffset>
            </wp:positionV>
            <wp:extent cx="4972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-3582670</wp:posOffset>
            </wp:positionV>
            <wp:extent cx="231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3454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-3925570</wp:posOffset>
            </wp:positionV>
            <wp:extent cx="3003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-3925570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-3925570</wp:posOffset>
            </wp:positionV>
            <wp:extent cx="274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25374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158" w:lineRule="exact"/>
        <w:rPr>
          <w:sz w:val="20"/>
          <w:szCs w:val="20"/>
          <w:color w:val="auto"/>
        </w:rPr>
      </w:pPr>
    </w:p>
    <w:p>
      <w:pPr>
        <w:ind w:left="1620" w:hanging="360"/>
        <w:spacing w:after="0"/>
        <w:tabs>
          <w:tab w:leader="none" w:pos="16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2, 2022 gives pro forma effect to the Transactions as if they occurred on July 2, 2022. The unaudited pro forma condensed combined statement of operations for the six months ended July 2, 2022 and the year ended December 25, 2021 gives pro forma effect to the Transactions as if they occurred on December 27, 2020, the first day of fiscal year 2021.</w:t>
      </w:r>
    </w:p>
    <w:p>
      <w:pPr>
        <w:spacing w:after="0" w:line="33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Mobileye has largely continued to operate as a standalone business and has not been fully integrated into Intel. Management believes the pro forma adjustments to reflect the operations and financial position of Mobileye as an autonomous entity under Regulation S-X are not expected to be material. We estimate that the total costs of doing business to operate as an autonomous entity under the Intercompany Agreements will reasonably approximate the total costs that have been attributed and allocated to our historical combined financial statements. Accordingly, we have not presented autonomous entity pro forma adjustments.</w:t>
      </w:r>
    </w:p>
    <w:p>
      <w:pPr>
        <w:spacing w:after="0" w:line="3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The unaudited pro forma condensed combined financial information does not reflect any cost savings or operating synergies that may result from the Transactions.</w:t>
      </w:r>
    </w:p>
    <w:p>
      <w:pPr>
        <w:spacing w:after="0" w:line="117"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Reflected in the Unaudited Pro Forma Condensed Combined Financial Information</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balance sheet:</w:t>
      </w:r>
    </w:p>
    <w:p>
      <w:pPr>
        <w:spacing w:after="0" w:line="81" w:lineRule="exact"/>
        <w:rPr>
          <w:sz w:val="20"/>
          <w:szCs w:val="20"/>
          <w:color w:val="auto"/>
        </w:rPr>
      </w:pPr>
    </w:p>
    <w:p>
      <w:pPr>
        <w:ind w:left="1620" w:right="639" w:firstLine="360"/>
        <w:spacing w:after="0" w:line="254" w:lineRule="auto"/>
        <w:tabs>
          <w:tab w:leader="none" w:pos="23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parent net investment and establishment of 100 shares of our common stock previously issued and outstanding, with a par value of $0.01 per share, and additional paid-in capital in connection with the legal entity reorganization and contribution of the Mobileye Group business from Intel to Mobileye Global Inc. The 100 shares of our common stock issued and outstanding was reclassified into 100 shares of Class B common stock immediately as of the date of this prospectus, with a par value of $0.01 per share. Concurrently, Intel was issued an additional 749,999,900 shares of our Class B common stock pursuant to the Contribution and Subscription Agreement. See “Certain Relationships and Related Party Transactions — Transactions to be Entered into in Connection with this Offering — Contribution and Subscription Agreement.”</w:t>
      </w:r>
    </w:p>
    <w:p>
      <w:pPr>
        <w:spacing w:after="0" w:line="120"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3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receipt of net proceeds from this offering and the concurrent private placement of approximately $0.9 billion (or approximately $1.0 billion if the underwriters exercise their option to purchase additional shares of our Class A common stock in full), after deducting underwriting discounts and commissions and estimated offering expenses payable by us, based on the initial public offering price of $21.00 per share of Class A common stock.</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the Dividend Note of approximately $0.7 billion using a significant portion of the net proceeds raised from this offering and the concurrent private placement. Intel has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 and the concurrent private placement.</w:t>
      </w:r>
    </w:p>
    <w:p>
      <w:pPr>
        <w:spacing w:after="0" w:line="106" w:lineRule="exact"/>
        <w:rPr>
          <w:sz w:val="20"/>
          <w:szCs w:val="20"/>
          <w:color w:val="auto"/>
        </w:rPr>
      </w:pPr>
    </w:p>
    <w:p>
      <w:pPr>
        <w:ind w:left="1620" w:right="519" w:firstLine="360"/>
        <w:spacing w:after="0" w:line="258" w:lineRule="auto"/>
        <w:rPr>
          <w:sz w:val="20"/>
          <w:szCs w:val="20"/>
          <w:color w:val="auto"/>
        </w:rPr>
      </w:pPr>
      <w:r>
        <w:rPr>
          <w:rFonts w:ascii="Times New Roman" w:cs="Times New Roman" w:eastAsia="Times New Roman" w:hAnsi="Times New Roman"/>
          <w:sz w:val="18"/>
          <w:szCs w:val="18"/>
          <w:color w:val="auto"/>
        </w:rPr>
        <w:t>Immediately after completion of this offering and the concurrent private placement and on a pro forma basis after all expenses of this offering have been paid (and after giving effect to any repayment of any indebtedness by us to Intel and any other transactions contemplated to occur substantially concurrently with this offering), Intel agreed to ensure that we will have $1.0 billion in cash, cash equivalents, or marketable securities.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179" w:firstLine="360"/>
        <w:spacing w:after="0" w:line="266" w:lineRule="auto"/>
        <w:tabs>
          <w:tab w:leader="none" w:pos="23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direct and incremental transaction costs of this offering that are being reclassified into equity upon the completion of this offering. As of July 2, 2022, the Company capitalized $14 million of deferred offering costs within other long-term assets.</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statement of operations for the six months ended July 2, 2022 and the year ended December 25, 2021:</w:t>
      </w:r>
    </w:p>
    <w:p>
      <w:pPr>
        <w:spacing w:after="0" w:line="108" w:lineRule="exact"/>
        <w:rPr>
          <w:sz w:val="20"/>
          <w:szCs w:val="20"/>
          <w:color w:val="auto"/>
        </w:rPr>
      </w:pPr>
    </w:p>
    <w:p>
      <w:pPr>
        <w:ind w:left="1620" w:right="459" w:firstLine="360"/>
        <w:spacing w:after="0" w:line="256" w:lineRule="auto"/>
        <w:tabs>
          <w:tab w:leader="none" w:pos="23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stock-based compensation of approximately $264.5 million related to restricted stock units that will be awarded to employees upon completion of this offering. The estimated grant date fair value of these stock awards will be recognized ratably over the service periods ranging from 6 months to 5 years. Based on the initial public offering price of $21.00 per share, 12,595,238 shares of our Class A common stock are expected to be issuable upon the vesting of such restricted stock units. Actual results may differ from these estimates and such differences may be material.</w:t>
      </w:r>
    </w:p>
    <w:p>
      <w:pPr>
        <w:spacing w:after="0" w:line="106" w:lineRule="exact"/>
        <w:rPr>
          <w:rFonts w:ascii="Times New Roman" w:cs="Times New Roman" w:eastAsia="Times New Roman" w:hAnsi="Times New Roman"/>
          <w:sz w:val="18"/>
          <w:szCs w:val="18"/>
          <w:color w:val="auto"/>
        </w:rPr>
      </w:pPr>
    </w:p>
    <w:p>
      <w:pPr>
        <w:ind w:left="1620" w:right="459" w:firstLine="360"/>
        <w:spacing w:after="0" w:line="261" w:lineRule="auto"/>
        <w:tabs>
          <w:tab w:leader="none" w:pos="23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expense in connection with the paydown of approximately $0.7 billion under the Dividend Note using a significant portion of the net proceeds from this offering and the concurrent private placement and the contribution by Intel of the remaining portion of the Dividend Note.</w:t>
      </w:r>
    </w:p>
    <w:p>
      <w:pPr>
        <w:spacing w:after="0" w:line="112" w:lineRule="exact"/>
        <w:rPr>
          <w:rFonts w:ascii="Times New Roman" w:cs="Times New Roman" w:eastAsia="Times New Roman" w:hAnsi="Times New Roman"/>
          <w:sz w:val="18"/>
          <w:szCs w:val="18"/>
          <w:color w:val="auto"/>
        </w:rPr>
      </w:pPr>
    </w:p>
    <w:p>
      <w:pPr>
        <w:ind w:left="1620" w:right="579" w:firstLine="360"/>
        <w:spacing w:after="0" w:line="266" w:lineRule="auto"/>
        <w:tabs>
          <w:tab w:leader="none" w:pos="23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reflects the income tax effects of the pro forma adjustments as based on the statutory rate in effect for the historical periods presented, taking into consideration the associated valuation allowance impacts.</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net loss per share attributable to common stockholders is presented in conformity with the two-class method. Participation rights in undistributed earnings are equal between Class A and Class B common stock. Pro forma weighted-average shares outstanding is based on the number of shares of our common stock expected to be outstanding following this offering. The calculation includes shares of our Class B common stock assumed issued to Intel as part of the Reorganization, shares of our Class A common stock assumed to be sold in this offering, shares of our Class A common stock to be sold in the concurrent private placement and vested shares related to grants of restricted stock units pursuant to their respective vesting schedules, based on the initial public offering price of $21.00 per share. Diluted weighted-average pro forma shares is the same as basic weighted-average pro forma shares because potentially dilutive options to purchase additional common shares was not assumed to have been exercised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The additional week in fiscal year 2022 is added to the first quarter, making such quarter consist of 14 weeks.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October 1, 2022, our solutions had been installed in approximately 800 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October 1, 2022. We currently ship a variety of ADAS solutions to 13 of the 15 largest automakers in the world in addition to many smaller OEMs, and we are recognized for our top-rated safety solutions globally. For example, 66% of Euro New Car Assessment Programs (“NCAP”) 5-star rated vehicle models for 2018-2021 are equipped with our solutions.</w:t>
      </w:r>
    </w:p>
    <w:p>
      <w:pPr>
        <w:spacing w:after="0" w:line="124"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cases where human input would be required. We are working to deploy Mobileye Drive™ through various business-to-business and business-to-consumer channels through the formation of collaborations with potential partners around the world.</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 For the six months ended July 2, 2022, and June 26, 2021, our revenue was $854 million and $704 million, respectively, representing period-over-period growth of 21%. We recorded net losses of</w:t>
      </w:r>
    </w:p>
    <w:p>
      <w:pPr>
        <w:spacing w:after="0" w:line="3"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$75 million, $196 million, and $328 million in 2021, 2020, and 2019, respectively. We recorded a net loss of $67 million and net income of $4 million in the six months ended July 2, 2022, and June 26, 2021, respectively. Our Adjusted Net Income for 2021, 2020 and 2019 was $474 million, $289 million, and</w:t>
      </w:r>
    </w:p>
    <w:p>
      <w:pPr>
        <w:spacing w:after="0" w:line="1"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$51 million, respectively. Our Adjusted Net Income for the six months ended July 2, 2022, and June 26, 2021, was $276 million and $270 million, respectively.</w:t>
      </w:r>
    </w:p>
    <w:p>
      <w:pPr>
        <w:spacing w:after="0" w:line="114"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53-week fiscal year while 2021, 2020, and 2019 are 52-week fiscal years. However, the inclusion of the additional week did not have a material impact on our revenue and cost of revenue as the timing of deliveries to customers is not consistent from week-to-week. Further, most of our expenses (such as payroll) are incurred on a monthly basis and, as such, the accrual for the additional week did not materially impact our results of operations.</w:t>
      </w:r>
    </w:p>
    <w:p>
      <w:pPr>
        <w:spacing w:after="0" w:line="10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99.4% of the voting power of our common stock (or approximately 99.3% if the underwriters exercise their option to purchase additional shares of our Class A common stock in full). In connection with this offering, we have consummated the following transactions:</w:t>
      </w:r>
    </w:p>
    <w:p>
      <w:pPr>
        <w:spacing w:after="0" w:line="75" w:lineRule="exact"/>
        <w:rPr>
          <w:sz w:val="20"/>
          <w:szCs w:val="20"/>
          <w:color w:val="auto"/>
        </w:rPr>
      </w:pPr>
    </w:p>
    <w:p>
      <w:pPr>
        <w:ind w:left="1800" w:right="8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net of $14 million of cash paid to tax authorities to settle related tax obligations, which we completed on May 12, 2022;</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on April 21, 2022 to Intel of the Dividend Note;</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 which we completed as of the date of this prospectus; and</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 which we completed as of the date of this prospectus.</w:t>
      </w:r>
    </w:p>
    <w:p>
      <w:pPr>
        <w:spacing w:after="0" w:line="12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For further information and descriptions of the transactions in the Reorganization, see “Certain Relationships and Related Party Transactions” and “Unaudited Pro Forma Condensed Combined Financial Information.”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62" w:lineRule="exact"/>
        <w:rPr>
          <w:sz w:val="20"/>
          <w:szCs w:val="20"/>
          <w:color w:val="auto"/>
        </w:rPr>
      </w:pPr>
    </w:p>
    <w:p>
      <w:pPr>
        <w:ind w:left="1260" w:right="619" w:firstLine="360"/>
        <w:spacing w:after="0" w:line="221" w:lineRule="auto"/>
        <w:rPr>
          <w:sz w:val="20"/>
          <w:szCs w:val="20"/>
          <w:color w:val="auto"/>
        </w:rPr>
      </w:pPr>
      <w:r>
        <w:rPr>
          <w:rFonts w:ascii="Times New Roman" w:cs="Times New Roman" w:eastAsia="Times New Roman" w:hAnsi="Times New Roman"/>
          <w:sz w:val="18"/>
          <w:szCs w:val="18"/>
          <w:color w:val="auto"/>
        </w:rPr>
        <w:t>Since our founding in 1999, we have focused on creating mission-critical and vision solutions for the automotive market. We had our first series production win with three OEMs in 2007. Since launching our first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in 2007, we have reached a massive installed base, and we shipped our 100 millionth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in 2021. We have developed five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which represent our prior and current generation of SoCs, and are in the process of developing two future generations of our SoCs.</w:t>
      </w:r>
    </w:p>
    <w:p>
      <w:pPr>
        <w:spacing w:after="0" w:line="1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139700</wp:posOffset>
            </wp:positionV>
            <wp:extent cx="4954905" cy="24174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490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China, Israel, Detroit, Miami, Munich, Paris, Stuttgart and Tokyo.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48"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 the future, propelled by our next generation AV-on-Chip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73" w:lineRule="exact"/>
        <w:rPr>
          <w:sz w:val="20"/>
          <w:szCs w:val="20"/>
          <w:color w:val="auto"/>
        </w:rPr>
      </w:pPr>
    </w:p>
    <w:p>
      <w:pPr>
        <w:jc w:val="both"/>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3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06" w:lineRule="exact"/>
        <w:rPr>
          <w:sz w:val="20"/>
          <w:szCs w:val="20"/>
          <w:color w:val="auto"/>
        </w:rPr>
      </w:pPr>
    </w:p>
    <w:p>
      <w:pPr>
        <w:jc w:val="both"/>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our family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with STMicroelectronics. We have also established a relationship with Quanta</w:t>
      </w: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3" w:lineRule="auto"/>
        <w:rPr>
          <w:sz w:val="20"/>
          <w:szCs w:val="20"/>
          <w:color w:val="auto"/>
        </w:rPr>
      </w:pPr>
      <w:r>
        <w:rPr>
          <w:rFonts w:ascii="Times New Roman" w:cs="Times New Roman" w:eastAsia="Times New Roman" w:hAnsi="Times New Roman"/>
          <w:sz w:val="18"/>
          <w:szCs w:val="18"/>
          <w:color w:val="auto"/>
        </w:rPr>
        <w:t>Computer to develop and assemble our ECUs, including the design for our Mobileye SuperVision™,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manufactured by STMicroelectronics.</w:t>
      </w:r>
    </w:p>
    <w:p>
      <w:pPr>
        <w:spacing w:after="0" w:line="26" w:lineRule="exact"/>
        <w:rPr>
          <w:sz w:val="20"/>
          <w:szCs w:val="20"/>
          <w:color w:val="auto"/>
        </w:rPr>
      </w:pPr>
    </w:p>
    <w:p>
      <w:pPr>
        <w:ind w:left="1260" w:right="439" w:firstLine="360"/>
        <w:spacing w:after="0" w:line="23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$854 million in the first six months of 2022 was up 21% year-over-year, outperforming the increase of global automotive production, which was relatively flat year-over-year.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35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As of October 1, 2022, our solutions had been installed in approximately 800</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 54 million vehicles based on our of 2022 design wins through October 1, 2022 and 50 million vehicles based on our 2021 design wins.</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w:t>
      </w:r>
    </w:p>
    <w:p>
      <w:pPr>
        <w:spacing w:after="0" w:line="31" w:lineRule="exact"/>
        <w:rPr>
          <w:sz w:val="20"/>
          <w:szCs w:val="20"/>
          <w:color w:val="auto"/>
        </w:rPr>
      </w:pPr>
    </w:p>
    <w:p>
      <w:pPr>
        <w:ind w:left="1260" w:right="639"/>
        <w:spacing w:after="0" w:line="200" w:lineRule="auto"/>
        <w:rPr>
          <w:sz w:val="20"/>
          <w:szCs w:val="20"/>
          <w:color w:val="auto"/>
        </w:rPr>
      </w:pPr>
      <w:r>
        <w:rPr>
          <w:rFonts w:ascii="Times New Roman" w:cs="Times New Roman" w:eastAsia="Times New Roman" w:hAnsi="Times New Roman"/>
          <w:sz w:val="18"/>
          <w:szCs w:val="18"/>
          <w:color w:val="auto"/>
        </w:rPr>
        <w:t>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and advanced systems</w:t>
      </w:r>
    </w:p>
    <w:p>
      <w:pPr>
        <w:spacing w:after="0" w:line="1" w:lineRule="exact"/>
        <w:rPr>
          <w:sz w:val="20"/>
          <w:szCs w:val="20"/>
          <w:color w:val="auto"/>
        </w:rPr>
      </w:pPr>
    </w:p>
    <w:p>
      <w:pPr>
        <w:ind w:left="1260" w:right="419"/>
        <w:spacing w:after="0" w:line="237" w:lineRule="auto"/>
        <w:rPr>
          <w:sz w:val="20"/>
          <w:szCs w:val="20"/>
          <w:color w:val="auto"/>
        </w:rPr>
      </w:pPr>
      <w:r>
        <w:rPr>
          <w:rFonts w:ascii="Times New Roman" w:cs="Times New Roman" w:eastAsia="Times New Roman" w:hAnsi="Times New Roman"/>
          <w:sz w:val="18"/>
          <w:szCs w:val="18"/>
          <w:color w:val="auto"/>
        </w:rPr>
        <w:t>will ultimately power autonomous driving solutions.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further enables scalable ECU architectures, supporting a variety of ADAS solution architectures, and our announced EyeQ Ultra™ AV-on-Chip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 -cost scale solution with low power-consumption,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w:t>
      </w:r>
    </w:p>
    <w:p>
      <w:pPr>
        <w:spacing w:after="0" w:line="3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66%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2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9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08" w:lineRule="exact"/>
        <w:rPr>
          <w:sz w:val="20"/>
          <w:szCs w:val="20"/>
          <w:color w:val="auto"/>
        </w:rPr>
      </w:pPr>
    </w:p>
    <w:p>
      <w:pPr>
        <w:ind w:left="1260" w:right="499" w:firstLine="360"/>
        <w:spacing w:after="0" w:line="22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we expect that our gross margin will decrease on a percentage basis because of the greater</w:t>
      </w:r>
    </w:p>
    <w:p>
      <w:pPr>
        <w:spacing w:after="0" w:line="2"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third-party hardware content. However, as a result of a higher expected selling price for such systems, we expect our gross profit per unit will increase on a dollar basis.</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117" w:lineRule="exact"/>
        <w:rPr>
          <w:sz w:val="20"/>
          <w:szCs w:val="20"/>
          <w:color w:val="auto"/>
        </w:rPr>
      </w:pPr>
    </w:p>
    <w:p>
      <w:pPr>
        <w:ind w:left="1260" w:right="439" w:firstLine="36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and through the first half of 2022,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w:t>
      </w:r>
    </w:p>
    <w:p>
      <w:pPr>
        <w:spacing w:after="0" w:line="3"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limited supply during 2021, and, due to continuing supply chain constraints, we are operating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to fulfill customer orders and are unable to offset future supply constraints through the use of inventory on hand. The limited supply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has already led to rescheduling deliveries to our customers on certain occasions and may continue to cause delays in our ability to fulfill our customers’ orders as scheduled. Our results of operations in the six months ended July 2nd, 2022 have not been impacted by the shortfall of chips. Our reliance on single or limited suppliers and vendors for certain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0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public company, we will be implementing additional procedures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for the purpose of addressing the standards and requirements applicable to public companies. In particular, we expect our accounting, legal and personnel- 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following this offering will reflect the impact of these expenses. We also expect the costs of our insurance, including directors’ and officers’ insurance and insurance coverage for AV activity, to increase as a result of higher premiums.</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1260" w:right="519" w:firstLine="360"/>
        <w:spacing w:after="0" w:line="229"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94%, 93%, and 91% of our revenue for each of the years</w:t>
      </w:r>
    </w:p>
    <w:p>
      <w:pPr>
        <w:ind w:left="1260" w:right="499"/>
        <w:spacing w:after="0" w:line="221" w:lineRule="auto"/>
        <w:rPr>
          <w:sz w:val="20"/>
          <w:szCs w:val="20"/>
          <w:color w:val="auto"/>
        </w:rPr>
      </w:pPr>
      <w:r>
        <w:rPr>
          <w:rFonts w:ascii="Times New Roman" w:cs="Times New Roman" w:eastAsia="Times New Roman" w:hAnsi="Times New Roman"/>
          <w:sz w:val="18"/>
          <w:szCs w:val="18"/>
          <w:color w:val="auto"/>
        </w:rPr>
        <w:t>2021, 2020 and 2019, respectively. Sales of our aftermarket products represented the majority of the remainder of our revenue for 2021, 2020 and 2019.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and from the sale of our aftermarket products is recognized at the time of product shipment from our facilities, as determined by the agreed-upon shipping terms.</w:t>
      </w:r>
    </w:p>
    <w:p>
      <w:pPr>
        <w:spacing w:after="0" w:line="83" w:lineRule="exact"/>
        <w:rPr>
          <w:sz w:val="20"/>
          <w:szCs w:val="20"/>
          <w:color w:val="auto"/>
        </w:rPr>
      </w:pPr>
    </w:p>
    <w:p>
      <w:pPr>
        <w:ind w:left="1260" w:right="499" w:firstLine="360"/>
        <w:spacing w:after="0" w:line="230" w:lineRule="auto"/>
        <w:rPr>
          <w:sz w:val="20"/>
          <w:szCs w:val="20"/>
          <w:color w:val="auto"/>
        </w:rPr>
      </w:pPr>
      <w:r>
        <w:rPr>
          <w:rFonts w:ascii="Times New Roman" w:cs="Times New Roman" w:eastAsia="Times New Roman" w:hAnsi="Times New Roman"/>
          <w:sz w:val="18"/>
          <w:szCs w:val="18"/>
          <w:color w:val="auto"/>
        </w:rPr>
        <w:t>For the six months ended July 2, 2022 and June 26, 2021,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92% and 95% of our revenue, respectively.</w:t>
      </w:r>
    </w:p>
    <w:p>
      <w:pPr>
        <w:spacing w:after="0" w:line="11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Our sales to any single Tier 1 automotive supplier typically cover more than one OEM and more than one production program from any OEM.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7" w:lineRule="exact"/>
        <w:rPr>
          <w:sz w:val="20"/>
          <w:szCs w:val="20"/>
          <w:color w:val="auto"/>
        </w:rPr>
      </w:pPr>
    </w:p>
    <w:p>
      <w:pPr>
        <w:ind w:left="1260" w:right="619" w:firstLine="360"/>
        <w:spacing w:after="0" w:line="230"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amortization of acquired intangible assets, identified as developed technology. Additional costs</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royalty fees for the intellectual property that is included in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personnel-related expenses,</w:t>
      </w:r>
    </w:p>
    <w:p>
      <w:pPr>
        <w:ind w:left="1260" w:right="519"/>
        <w:spacing w:after="0" w:line="223" w:lineRule="auto"/>
        <w:rPr>
          <w:sz w:val="20"/>
          <w:szCs w:val="20"/>
          <w:color w:val="auto"/>
        </w:rPr>
      </w:pPr>
      <w:r>
        <w:rPr>
          <w:rFonts w:ascii="Times New Roman" w:cs="Times New Roman" w:eastAsia="Times New Roman" w:hAnsi="Times New Roman"/>
          <w:sz w:val="18"/>
          <w:szCs w:val="18"/>
          <w:color w:val="auto"/>
        </w:rPr>
        <w:t>including share-based compensation for employees on our operations teams, logistics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62" w:lineRule="exact"/>
        <w:rPr>
          <w:sz w:val="20"/>
          <w:szCs w:val="20"/>
          <w:color w:val="auto"/>
        </w:rPr>
      </w:pPr>
    </w:p>
    <w:p>
      <w:pPr>
        <w:ind w:left="1260" w:right="859" w:firstLine="360"/>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12" w:lineRule="exact"/>
        <w:rPr>
          <w:sz w:val="20"/>
          <w:szCs w:val="20"/>
          <w:color w:val="auto"/>
        </w:rPr>
      </w:pPr>
    </w:p>
    <w:p>
      <w:pPr>
        <w:ind w:left="1260" w:right="559" w:firstLine="360"/>
        <w:spacing w:after="0" w:line="232"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Premium Driver-Assist offerings, and the productization of our AV solutions and active sensor suite.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6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4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0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 -Oxley Act and other SEC rules and regulations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acquisition of Mobileye in 2017, we entered into a loan agreement with Intel. The loan amount of $15.3 billion bore interest at a rate based on the short term quarterly Applicable Federal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81" w:lineRule="auto"/>
        <w:rPr>
          <w:sz w:val="20"/>
          <w:szCs w:val="20"/>
          <w:color w:val="auto"/>
        </w:rPr>
      </w:pPr>
      <w:r>
        <w:rPr>
          <w:rFonts w:ascii="Times New Roman" w:cs="Times New Roman" w:eastAsia="Times New Roman" w:hAnsi="Times New Roman"/>
          <w:sz w:val="18"/>
          <w:szCs w:val="18"/>
          <w:color w:val="auto"/>
        </w:rPr>
        <w:t>Rate published by the Internal Revenue Service. In 2019, the outstanding principal balance of $15.3 billion was converted to equity as a contribution by Intel and the amount of $679 million accumulated interest on the loan was converted to equity in 2020.</w:t>
      </w:r>
    </w:p>
    <w:p>
      <w:pPr>
        <w:spacing w:after="0" w:line="96"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On April 21, 2022, we and Intel entered into a loan agreement whereby we distributed to Intel the Dividend Note in an aggregate principal amount of $3.5 billion. The Dividend Note is scheduled to mature on April 21, 2025 and accrues interest at a rate equal to 1.26% per annum, such interest to accrue quarterly. In the six months ended July 2, 2022, accrued interest expense was $9 million.</w:t>
      </w:r>
    </w:p>
    <w:p>
      <w:pPr>
        <w:spacing w:after="0" w:line="105"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Our interest income consisted of interest earned on a loan to Intel in the amount of $901 million as of July 2, 2022 and $1.3 billion as of each of December 25, 2021 and December 26, 2020.</w:t>
      </w:r>
    </w:p>
    <w:p>
      <w:pPr>
        <w:spacing w:after="0" w:line="82" w:lineRule="exact"/>
        <w:rPr>
          <w:sz w:val="20"/>
          <w:szCs w:val="20"/>
          <w:color w:val="auto"/>
        </w:rPr>
      </w:pPr>
    </w:p>
    <w:p>
      <w:pPr>
        <w:ind w:left="1260" w:right="439" w:firstLine="360"/>
        <w:spacing w:after="0" w:line="281" w:lineRule="auto"/>
        <w:rPr>
          <w:sz w:val="20"/>
          <w:szCs w:val="20"/>
          <w:color w:val="auto"/>
        </w:rPr>
      </w:pPr>
      <w:r>
        <w:rPr>
          <w:rFonts w:ascii="Times New Roman" w:cs="Times New Roman" w:eastAsia="Times New Roman" w:hAnsi="Times New Roman"/>
          <w:sz w:val="18"/>
          <w:szCs w:val="18"/>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05"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present tax loss carry-forward amounts that have not been utilized by Intel only to the extent such tax attributes can be claimed on a separate income tax return as opposed to a consolidated income tax return filing with Intel. The use of the separate return method may result in differences between our income tax provision compared to Intel’s income tax provision.</w:t>
      </w:r>
    </w:p>
    <w:p>
      <w:pPr>
        <w:spacing w:after="0" w:line="35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United States as a branch entity. In the six months ended July 2, 2022, Moovit’s Israeli operations became taxable in the United States as a branch entity. As a result, these operations are taxed both in the United States and Israel. For U.S. tax purposes, there are favorable future tax deductions that we could not benefit from due to a valuation allowance position. If warranted in the future by our actual and projected profitability, the valuation allowances may be released, resulting in a benefit at that time. The valuation allowance also resulted in a residual tax expense associated with a deferred tax liability recorded for goodwill in the year ended December 25, 2021 and the six months ended July 2, 2022.</w:t>
      </w:r>
    </w:p>
    <w:p>
      <w:pPr>
        <w:spacing w:after="0" w:line="12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22"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0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 of</w:t>
            </w: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2"/>
              </w:rPr>
              <w:t>% of</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960" w:type="dxa"/>
            <w:vAlign w:val="bottom"/>
            <w:gridSpan w:val="3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Amount</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​$854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​$704 ​​​</w:t>
            </w:r>
          </w:p>
        </w:tc>
        <w:tc>
          <w:tcPr>
            <w:tcW w:w="1200" w:type="dxa"/>
            <w:vAlign w:val="bottom"/>
            <w:gridSpan w:val="7"/>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​100%​​​​$1,386​​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​$ 967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​$ 879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gridSpan w:val="4"/>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​449 </w:t>
            </w:r>
            <w:r>
              <w:rPr>
                <w:rFonts w:ascii="Times New Roman" w:cs="Times New Roman" w:eastAsia="Times New Roman" w:hAnsi="Times New Roman"/>
                <w:sz w:val="31"/>
                <w:szCs w:val="31"/>
                <w:color w:val="auto"/>
                <w:vertAlign w:val="subscript"/>
              </w:rPr>
              <w:t>​</w:t>
            </w:r>
          </w:p>
        </w:tc>
        <w:tc>
          <w:tcPr>
            <w:tcW w:w="1260" w:type="dxa"/>
            <w:vAlign w:val="bottom"/>
            <w:gridSpan w:val="9"/>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​356 </w:t>
            </w:r>
            <w:r>
              <w:rPr>
                <w:rFonts w:ascii="Times New Roman" w:cs="Times New Roman" w:eastAsia="Times New Roman" w:hAnsi="Times New Roman"/>
                <w:sz w:val="31"/>
                <w:szCs w:val="31"/>
                <w:color w:val="auto"/>
                <w:vertAlign w:val="subscript"/>
              </w:rPr>
              <w:t>​​​</w:t>
            </w:r>
          </w:p>
        </w:tc>
        <w:tc>
          <w:tcPr>
            <w:tcW w:w="72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51%</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80" w:type="dxa"/>
            <w:vAlign w:val="bottom"/>
            <w:gridSpan w:val="2"/>
          </w:tcPr>
          <w:p>
            <w:pPr>
              <w:jc w:val="right"/>
              <w:ind w:right="23"/>
              <w:spacing w:after="0" w:line="269" w:lineRule="exact"/>
              <w:rPr>
                <w:sz w:val="20"/>
                <w:szCs w:val="20"/>
                <w:color w:val="auto"/>
              </w:rPr>
            </w:pPr>
            <w:r>
              <w:rPr>
                <w:rFonts w:ascii="Times New Roman" w:cs="Times New Roman" w:eastAsia="Times New Roman" w:hAnsi="Times New Roman"/>
                <w:sz w:val="17"/>
                <w:szCs w:val="17"/>
                <w:color w:val="auto"/>
              </w:rPr>
              <w:t>731</w:t>
            </w:r>
            <w:r>
              <w:rPr>
                <w:rFonts w:ascii="Times New Roman" w:cs="Times New Roman" w:eastAsia="Times New Roman" w:hAnsi="Times New Roman"/>
                <w:sz w:val="31"/>
                <w:szCs w:val="31"/>
                <w:color w:val="auto"/>
                <w:vertAlign w:val="subscript"/>
              </w:rPr>
              <w:t>​​</w:t>
            </w:r>
          </w:p>
        </w:tc>
        <w:tc>
          <w:tcPr>
            <w:tcW w:w="1220" w:type="dxa"/>
            <w:vAlign w:val="bottom"/>
            <w:gridSpan w:val="7"/>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​591 </w:t>
            </w:r>
            <w:r>
              <w:rPr>
                <w:rFonts w:ascii="Times New Roman" w:cs="Times New Roman" w:eastAsia="Times New Roman" w:hAnsi="Times New Roman"/>
                <w:sz w:val="31"/>
                <w:szCs w:val="31"/>
                <w:color w:val="auto"/>
                <w:vertAlign w:val="subscript"/>
              </w:rPr>
              <w:t>​​​</w:t>
            </w:r>
          </w:p>
        </w:tc>
        <w:tc>
          <w:tcPr>
            <w:tcW w:w="1220" w:type="dxa"/>
            <w:vAlign w:val="bottom"/>
            <w:gridSpan w:val="7"/>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61%</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​456 </w:t>
            </w:r>
            <w:r>
              <w:rPr>
                <w:rFonts w:ascii="Times New Roman" w:cs="Times New Roman" w:eastAsia="Times New Roman" w:hAnsi="Times New Roman"/>
                <w:sz w:val="31"/>
                <w:szCs w:val="31"/>
                <w:color w:val="auto"/>
                <w:vertAlign w:val="subscript"/>
              </w:rPr>
              <w:t>​​​</w:t>
            </w:r>
          </w:p>
        </w:tc>
        <w:tc>
          <w:tcPr>
            <w:tcW w:w="4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52%</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​405</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47%​​​ ​ ​348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655​​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47%​​​ ​ ​376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39%​​​ ​ ​423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22"/>
                <w:szCs w:val="22"/>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80" w:type="dxa"/>
            <w:vAlign w:val="bottom"/>
          </w:tcPr>
          <w:p>
            <w:pPr>
              <w:spacing w:after="0"/>
              <w:rPr>
                <w:sz w:val="22"/>
                <w:szCs w:val="22"/>
                <w:color w:val="auto"/>
              </w:rPr>
            </w:pP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​359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 ​ ​258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544​​</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39%​​​ ​ ​440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 ​ ​384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64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7%​​​ ​ ​ 65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8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10%​​​ ​ ​ 116 ​​​</w:t>
            </w:r>
          </w:p>
        </w:tc>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12%​​​ ​ ​100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General and administrative</w:t>
            </w:r>
          </w:p>
        </w:tc>
        <w:tc>
          <w:tcPr>
            <w:tcW w:w="50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 ​</w:t>
            </w:r>
            <w:r>
              <w:rPr>
                <w:rFonts w:ascii="Times New Roman" w:cs="Times New Roman" w:eastAsia="Times New Roman" w:hAnsi="Times New Roman"/>
                <w:sz w:val="17"/>
                <w:szCs w:val="17"/>
                <w:color w:val="auto"/>
                <w:shd w:val="clear" w:color="auto" w:fill="CCEEFF"/>
              </w:rPr>
              <w:t xml:space="preserve"> ​ 18</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tcBorders>
              <w:right w:val="single" w:sz="8" w:color="CCEEFF"/>
            </w:tcBorders>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1120" w:type="dxa"/>
            <w:vAlign w:val="bottom"/>
            <w:tcBorders>
              <w:right w:val="single" w:sz="8" w:color="CCEEFF"/>
            </w:tcBorders>
            <w:gridSpan w:val="8"/>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 18</w:t>
            </w:r>
            <w:r>
              <w:rPr>
                <w:rFonts w:ascii="Times New Roman" w:cs="Times New Roman" w:eastAsia="Times New Roman" w:hAnsi="Times New Roman"/>
                <w:sz w:val="17"/>
                <w:szCs w:val="17"/>
                <w:color w:val="auto"/>
                <w:shd w:val="clear" w:color="auto" w:fill="CCEEFF"/>
              </w:rPr>
              <w:t xml:space="preserve"> ​​​</w:t>
            </w:r>
          </w:p>
        </w:tc>
        <w:tc>
          <w:tcPr>
            <w:tcW w:w="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w:t>
            </w:r>
            <w:r>
              <w:rPr>
                <w:rFonts w:ascii="Times New Roman" w:cs="Times New Roman" w:eastAsia="Times New Roman" w:hAnsi="Times New Roman"/>
                <w:sz w:val="17"/>
                <w:szCs w:val="17"/>
                <w:color w:val="auto"/>
                <w:shd w:val="clear" w:color="auto" w:fill="CCEEFF"/>
              </w:rPr>
              <w:t xml:space="preserve">​​​​ </w:t>
            </w:r>
            <w:r>
              <w:rPr>
                <w:rFonts w:ascii="Times New Roman" w:cs="Times New Roman" w:eastAsia="Times New Roman" w:hAnsi="Times New Roman"/>
                <w:sz w:val="31"/>
                <w:szCs w:val="31"/>
                <w:color w:val="auto"/>
                <w:vertAlign w:val="superscript"/>
                <w:shd w:val="clear" w:color="auto" w:fill="CCEEFF"/>
              </w:rPr>
              <w:t>​</w:t>
            </w:r>
          </w:p>
        </w:tc>
        <w:tc>
          <w:tcPr>
            <w:tcW w:w="480" w:type="dxa"/>
            <w:vAlign w:val="bottom"/>
            <w:gridSpan w:val="2"/>
            <w:shd w:val="clear" w:color="auto" w:fill="CCEEFF"/>
          </w:tcPr>
          <w:p>
            <w:pPr>
              <w:jc w:val="right"/>
              <w:ind w:right="23"/>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34</w:t>
            </w:r>
            <w:r>
              <w:rPr>
                <w:rFonts w:ascii="Times New Roman" w:cs="Times New Roman" w:eastAsia="Times New Roman" w:hAnsi="Times New Roman"/>
                <w:sz w:val="31"/>
                <w:szCs w:val="31"/>
                <w:color w:val="auto"/>
                <w:vertAlign w:val="subscript"/>
                <w:shd w:val="clear" w:color="auto" w:fill="CCEEFF"/>
              </w:rPr>
              <w:t>​​</w:t>
            </w:r>
          </w:p>
        </w:tc>
        <w:tc>
          <w:tcPr>
            <w:tcW w:w="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w:t>
            </w:r>
          </w:p>
        </w:tc>
        <w:tc>
          <w:tcPr>
            <w:tcW w:w="500" w:type="dxa"/>
            <w:vAlign w:val="bottom"/>
            <w:tcBorders>
              <w:right w:val="single" w:sz="8" w:color="CCEEFF"/>
            </w:tcBorders>
            <w:gridSpan w:val="2"/>
            <w:shd w:val="clear" w:color="auto" w:fill="CCEEFF"/>
          </w:tcPr>
          <w:p>
            <w:pPr>
              <w:jc w:val="right"/>
              <w:ind w:right="17"/>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33</w:t>
            </w:r>
            <w:r>
              <w:rPr>
                <w:rFonts w:ascii="Times New Roman" w:cs="Times New Roman" w:eastAsia="Times New Roman" w:hAnsi="Times New Roman"/>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7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w:t>
            </w:r>
          </w:p>
        </w:tc>
        <w:tc>
          <w:tcPr>
            <w:tcW w:w="460" w:type="dxa"/>
            <w:vAlign w:val="bottom"/>
            <w:tcBorders>
              <w:right w:val="single" w:sz="8" w:color="CCEEFF"/>
            </w:tcBorders>
            <w:gridSpan w:val="2"/>
            <w:shd w:val="clear" w:color="auto" w:fill="CCEEFF"/>
          </w:tcPr>
          <w:p>
            <w:pPr>
              <w:jc w:val="right"/>
              <w:ind w:right="55"/>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25</w:t>
            </w:r>
            <w:r>
              <w:rPr>
                <w:rFonts w:ascii="Times New Roman" w:cs="Times New Roman" w:eastAsia="Times New Roman" w:hAnsi="Times New Roman"/>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​441 </w:t>
            </w:r>
            <w:r>
              <w:rPr>
                <w:rFonts w:ascii="Times New Roman" w:cs="Times New Roman" w:eastAsia="Times New Roman" w:hAnsi="Times New Roman"/>
                <w:sz w:val="30"/>
                <w:szCs w:val="30"/>
                <w:color w:val="auto"/>
                <w:vertAlign w:val="subscript"/>
              </w:rPr>
              <w:t>​</w:t>
            </w:r>
          </w:p>
        </w:tc>
        <w:tc>
          <w:tcPr>
            <w:tcW w:w="1260" w:type="dxa"/>
            <w:vAlign w:val="bottom"/>
            <w:gridSpan w:val="9"/>
          </w:tcPr>
          <w:p>
            <w:pPr>
              <w:jc w:val="right"/>
              <w:ind w:right="1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52%</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​341</w:t>
            </w:r>
            <w:r>
              <w:rPr>
                <w:rFonts w:ascii="Times New Roman" w:cs="Times New Roman" w:eastAsia="Times New Roman" w:hAnsi="Times New Roman"/>
                <w:sz w:val="16"/>
                <w:szCs w:val="16"/>
                <w:color w:val="auto"/>
              </w:rPr>
              <w:t xml:space="preserve"> ​​​</w:t>
            </w:r>
          </w:p>
        </w:tc>
        <w:tc>
          <w:tcPr>
            <w:tcW w:w="720" w:type="dxa"/>
            <w:vAlign w:val="bottom"/>
            <w:gridSpan w:val="5"/>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48%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ind w:right="23"/>
              <w:spacing w:after="0" w:line="264" w:lineRule="exact"/>
              <w:rPr>
                <w:sz w:val="20"/>
                <w:szCs w:val="20"/>
                <w:color w:val="auto"/>
              </w:rPr>
            </w:pPr>
            <w:r>
              <w:rPr>
                <w:rFonts w:ascii="Times New Roman" w:cs="Times New Roman" w:eastAsia="Times New Roman" w:hAnsi="Times New Roman"/>
                <w:sz w:val="16"/>
                <w:szCs w:val="16"/>
                <w:color w:val="auto"/>
              </w:rPr>
              <w:t>712</w:t>
            </w:r>
            <w:r>
              <w:rPr>
                <w:rFonts w:ascii="Times New Roman" w:cs="Times New Roman" w:eastAsia="Times New Roman" w:hAnsi="Times New Roman"/>
                <w:sz w:val="30"/>
                <w:szCs w:val="30"/>
                <w:color w:val="auto"/>
                <w:vertAlign w:val="subscript"/>
              </w:rPr>
              <w:t>​​</w:t>
            </w:r>
          </w:p>
        </w:tc>
        <w:tc>
          <w:tcPr>
            <w:tcW w:w="1220" w:type="dxa"/>
            <w:vAlign w:val="bottom"/>
            <w:gridSpan w:val="7"/>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51%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​589</w:t>
            </w:r>
            <w:r>
              <w:rPr>
                <w:rFonts w:ascii="Times New Roman" w:cs="Times New Roman" w:eastAsia="Times New Roman" w:hAnsi="Times New Roman"/>
                <w:sz w:val="16"/>
                <w:szCs w:val="16"/>
                <w:color w:val="auto"/>
              </w:rPr>
              <w:t xml:space="preserve"> ​​​</w:t>
            </w:r>
          </w:p>
        </w:tc>
        <w:tc>
          <w:tcPr>
            <w:tcW w:w="1220" w:type="dxa"/>
            <w:vAlign w:val="bottom"/>
            <w:gridSpan w:val="7"/>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61%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​509</w:t>
            </w:r>
            <w:r>
              <w:rPr>
                <w:rFonts w:ascii="Times New Roman" w:cs="Times New Roman" w:eastAsia="Times New Roman" w:hAnsi="Times New Roman"/>
                <w:sz w:val="16"/>
                <w:szCs w:val="16"/>
                <w:color w:val="auto"/>
              </w:rPr>
              <w:t xml:space="preserve"> ​​​</w:t>
            </w:r>
          </w:p>
        </w:tc>
        <w:tc>
          <w:tcPr>
            <w:tcW w:w="4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58%</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right w:val="single" w:sz="8" w:color="CCEEFF"/>
            </w:tcBorders>
            <w:gridSpan w:val="3"/>
            <w:shd w:val="clear" w:color="auto" w:fill="CCEEFF"/>
          </w:tcPr>
          <w:p>
            <w:pPr>
              <w:jc w:val="right"/>
              <w:ind w:right="97"/>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620" w:type="dxa"/>
            <w:vAlign w:val="bottom"/>
            <w:tcBorders>
              <w:right w:val="single" w:sz="8" w:color="CCEEFF"/>
            </w:tcBorders>
            <w:gridSpan w:val="4"/>
            <w:shd w:val="clear" w:color="auto" w:fill="CCEEFF"/>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600" w:type="dxa"/>
            <w:vAlign w:val="bottom"/>
            <w:tcBorders>
              <w:right w:val="single" w:sz="8" w:color="CCEEFF"/>
            </w:tcBorders>
            <w:gridSpan w:val="3"/>
            <w:shd w:val="clear" w:color="auto" w:fill="CCEEFF"/>
          </w:tcPr>
          <w:p>
            <w:pPr>
              <w:jc w:val="right"/>
              <w:ind w:right="115"/>
              <w:spacing w:after="0" w:line="196" w:lineRule="exact"/>
              <w:rPr>
                <w:sz w:val="20"/>
                <w:szCs w:val="20"/>
                <w:color w:val="auto"/>
              </w:rPr>
            </w:pPr>
            <w:r>
              <w:rPr>
                <w:rFonts w:ascii="Times New Roman" w:cs="Times New Roman" w:eastAsia="Times New Roman" w:hAnsi="Times New Roman"/>
                <w:sz w:val="18"/>
                <w:szCs w:val="18"/>
                <w:color w:val="auto"/>
              </w:rPr>
              <w:t>​ (86)</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(10)%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40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0" w:type="dxa"/>
            <w:vAlign w:val="bottom"/>
            <w:gridSpan w:val="3"/>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lef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60" w:type="dxa"/>
            <w:vAlign w:val="bottom"/>
            <w:tcBorders>
              <w:right w:val="single" w:sz="8" w:color="CCEEFF"/>
            </w:tcBorders>
            <w:gridSpan w:val="2"/>
            <w:shd w:val="clear" w:color="auto" w:fill="CCEEFF"/>
          </w:tcPr>
          <w:p>
            <w:pPr>
              <w:jc w:val="center"/>
              <w:ind w:left="46"/>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55"/>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(expense) and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net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vMerge w:val="restart"/>
          </w:tcPr>
          <w:p>
            <w:pPr>
              <w:jc w:val="center"/>
              <w:ind w:left="4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ind w:right="115"/>
              <w:spacing w:after="0" w:line="181" w:lineRule="exact"/>
              <w:rPr>
                <w:sz w:val="20"/>
                <w:szCs w:val="20"/>
                <w:color w:val="auto"/>
              </w:rPr>
            </w:pPr>
            <w:r>
              <w:rPr>
                <w:rFonts w:ascii="Times New Roman" w:cs="Times New Roman" w:eastAsia="Times New Roman" w:hAnsi="Times New Roman"/>
                <w:sz w:val="18"/>
                <w:szCs w:val="18"/>
                <w:color w:val="auto"/>
              </w:rPr>
              <w:t>​(239)</w:t>
            </w:r>
          </w:p>
        </w:tc>
        <w:tc>
          <w:tcPr>
            <w:tcW w:w="48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22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18"/>
        </w:trPr>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​(36)​</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4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 ​ ​(212)​​​</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 ​(325)​​​</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w:t>
            </w:r>
            <w:r>
              <w:rPr>
                <w:rFonts w:ascii="Times New Roman" w:cs="Times New Roman" w:eastAsia="Times New Roman" w:hAnsi="Times New Roman"/>
                <w:sz w:val="18"/>
                <w:szCs w:val="18"/>
                <w:color w:val="auto"/>
                <w:w w:val="79"/>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taxes</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3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 (5)</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3"/>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28"/>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tcPr>
          <w:p>
            <w:pPr>
              <w:ind w:left="120"/>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tcPr>
          <w:p>
            <w:pPr>
              <w:jc w:val="center"/>
              <w:ind w:left="26"/>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jc w:val="right"/>
              <w:ind w:right="23"/>
              <w:spacing w:after="0" w:line="8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tcPr>
          <w:p>
            <w:pPr>
              <w:jc w:val="center"/>
              <w:ind w:left="46"/>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tcPr>
          <w:p>
            <w:pPr>
              <w:jc w:val="center"/>
              <w:ind w:left="26"/>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 (67)</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8"/>
              </w:rPr>
              <w:t>​ (8)%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(5)% $(196)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 $(328)</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​(37)%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1940" w:type="dxa"/>
            <w:vAlign w:val="bottom"/>
            <w:shd w:val="clear" w:color="auto" w:fill="CCEEFF"/>
          </w:tcPr>
          <w:p>
            <w:pPr>
              <w:spacing w:after="0"/>
              <w:rPr>
                <w:sz w:val="6"/>
                <w:szCs w:val="6"/>
                <w:color w:val="auto"/>
              </w:rPr>
            </w:pPr>
          </w:p>
        </w:tc>
        <w:tc>
          <w:tcPr>
            <w:tcW w:w="40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80" w:type="dxa"/>
            <w:vAlign w:val="bottom"/>
            <w:tcBorders>
              <w:left w:val="single" w:sz="8" w:color="CCEEFF"/>
            </w:tcBorders>
            <w:vMerge w:val="continue"/>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shd w:val="clear" w:color="auto" w:fill="CCEEFF"/>
          </w:tcPr>
          <w:p>
            <w:pPr>
              <w:spacing w:after="0"/>
              <w:rPr>
                <w:sz w:val="6"/>
                <w:szCs w:val="6"/>
                <w:color w:val="auto"/>
              </w:rPr>
            </w:pPr>
          </w:p>
        </w:tc>
        <w:tc>
          <w:tcPr>
            <w:tcW w:w="280" w:type="dxa"/>
            <w:vAlign w:val="bottom"/>
            <w:tcBorders>
              <w:right w:val="single" w:sz="8" w:color="CCEEFF"/>
            </w:tcBorders>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tcBorders>
              <w:lef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360" w:type="dxa"/>
            <w:vAlign w:val="bottom"/>
            <w:tcBorders>
              <w:right w:val="single" w:sz="8" w:color="CCEEFF"/>
            </w:tcBorders>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shd w:val="clear" w:color="auto" w:fill="CCEEFF"/>
          </w:tcPr>
          <w:p>
            <w:pPr>
              <w:spacing w:after="0"/>
              <w:rPr>
                <w:sz w:val="6"/>
                <w:szCs w:val="6"/>
                <w:color w:val="auto"/>
              </w:rPr>
            </w:pPr>
          </w:p>
        </w:tc>
        <w:tc>
          <w:tcPr>
            <w:tcW w:w="340" w:type="dxa"/>
            <w:vAlign w:val="bottom"/>
            <w:tcBorders>
              <w:right w:val="single" w:sz="8" w:color="CCEEFF"/>
            </w:tcBorders>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shd w:val="clear" w:color="auto" w:fill="CCEEFF"/>
          </w:tcPr>
          <w:p>
            <w:pPr>
              <w:spacing w:after="0"/>
              <w:rPr>
                <w:sz w:val="6"/>
                <w:szCs w:val="6"/>
                <w:color w:val="auto"/>
              </w:rPr>
            </w:pPr>
          </w:p>
        </w:tc>
        <w:tc>
          <w:tcPr>
            <w:tcW w:w="28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-307975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-307975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-307975</wp:posOffset>
            </wp:positionV>
            <wp:extent cx="1885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-307975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-307975</wp:posOffset>
            </wp:positionV>
            <wp:extent cx="1885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-307975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-307975</wp:posOffset>
            </wp:positionV>
            <wp:extent cx="1714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-307975</wp:posOffset>
            </wp:positionV>
            <wp:extent cx="1543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22631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-925195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-925195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-925195</wp:posOffset>
            </wp:positionV>
            <wp:extent cx="1885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-925195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-925195</wp:posOffset>
            </wp:positionV>
            <wp:extent cx="1885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-925195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-925195</wp:posOffset>
            </wp:positionV>
            <wp:extent cx="1714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-925195</wp:posOffset>
            </wp:positionV>
            <wp:extent cx="1543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-925195</wp:posOffset>
            </wp:positionV>
            <wp:extent cx="22631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-1542415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-1542415</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-1542415</wp:posOffset>
            </wp:positionV>
            <wp:extent cx="1885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-1542415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-1542415</wp:posOffset>
            </wp:positionV>
            <wp:extent cx="188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-1542415</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-1542415</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-1542415</wp:posOffset>
            </wp:positionV>
            <wp:extent cx="154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22631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-2691130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-2691130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-2691130</wp:posOffset>
            </wp:positionV>
            <wp:extent cx="1885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-2691130</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-2691130</wp:posOffset>
            </wp:positionV>
            <wp:extent cx="188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-2691130</wp:posOffset>
            </wp:positionV>
            <wp:extent cx="111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-2691130</wp:posOffset>
            </wp:positionV>
            <wp:extent cx="171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-2691130</wp:posOffset>
            </wp:positionV>
            <wp:extent cx="1543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22631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-3034030</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-3034030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-3034030</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-3034030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-3034030</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-3034030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-3034030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-3034030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18256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amortization of acquired intangible assets, as follows:</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Total amortization of acquired intangible assets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400" w:type="dxa"/>
            <w:vAlign w:val="bottom"/>
            <w:gridSpan w:val="10"/>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40" w:type="dxa"/>
            <w:vAlign w:val="bottom"/>
          </w:tcPr>
          <w:p>
            <w:pPr>
              <w:spacing w:after="0"/>
              <w:rPr>
                <w:sz w:val="14"/>
                <w:szCs w:val="14"/>
                <w:color w:val="auto"/>
              </w:rPr>
            </w:pPr>
          </w:p>
        </w:tc>
        <w:tc>
          <w:tcPr>
            <w:tcW w:w="158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June 26,  December 25,</w:t>
            </w:r>
          </w:p>
        </w:tc>
        <w:tc>
          <w:tcPr>
            <w:tcW w:w="1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26,</w:t>
            </w: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50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40" w:type="dxa"/>
            <w:vAlign w:val="bottom"/>
          </w:tcPr>
          <w:p>
            <w:pPr>
              <w:spacing w:after="0"/>
              <w:rPr>
                <w:sz w:val="18"/>
                <w:szCs w:val="18"/>
                <w:color w:val="auto"/>
              </w:rPr>
            </w:pPr>
          </w:p>
        </w:tc>
        <w:tc>
          <w:tcPr>
            <w:tcW w:w="5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​​​$240 ​​​ ​$200</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080" w:type="dxa"/>
            <w:vAlign w:val="bottom"/>
            <w:gridSpan w:val="7"/>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 42</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45</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82</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66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80" w:type="dxa"/>
            <w:vAlign w:val="bottom"/>
            <w:gridSpan w:val="7"/>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245</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$450</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-342265</wp:posOffset>
            </wp:positionV>
            <wp:extent cx="4749165" cy="3257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49165" cy="32575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-685165</wp:posOffset>
            </wp:positionV>
            <wp:extent cx="4749165"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60"/>
            <w:col w:w="4819"/>
          </w:cols>
          <w:pgMar w:left="580" w:top="97" w:right="1440" w:bottom="1440" w:gutter="0" w:footer="0" w:header="0"/>
          <w:type w:val="continuous"/>
        </w:sectPr>
      </w:pPr>
    </w:p>
    <w:p>
      <w:pPr>
        <w:spacing w:after="0" w:line="3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(2)</w:t>
        <w:tab/>
        <w:t>Includes share-based compensation expense, as follows:</w:t>
      </w:r>
    </w:p>
    <w:p>
      <w:pPr>
        <w:sectPr>
          <w:pgSz w:w="11900" w:h="16838" w:orient="portrait"/>
          <w:cols w:equalWidth="0" w:num="1">
            <w:col w:w="9879"/>
          </w:cols>
          <w:pgMar w:left="580" w:top="97" w:right="1440" w:bottom="1440" w:gutter="0" w:footer="0" w:header="0"/>
          <w:type w:val="continuous"/>
        </w:sect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440" w:type="dxa"/>
            <w:vAlign w:val="bottom"/>
            <w:gridSpan w:val="11"/>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Six months ended </w:t>
            </w:r>
            <w:r>
              <w:rPr>
                <w:rFonts w:ascii="Times New Roman" w:cs="Times New Roman" w:eastAsia="Times New Roman" w:hAnsi="Times New Roman"/>
                <w:sz w:val="28"/>
                <w:szCs w:val="28"/>
                <w:b w:val="1"/>
                <w:bCs w:val="1"/>
                <w:color w:val="auto"/>
                <w:vertAlign w:val="subscript"/>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80" w:type="dxa"/>
            <w:vAlign w:val="bottom"/>
          </w:tcPr>
          <w:p>
            <w:pPr>
              <w:spacing w:after="0"/>
              <w:rPr>
                <w:sz w:val="14"/>
                <w:szCs w:val="14"/>
                <w:color w:val="auto"/>
              </w:rPr>
            </w:pPr>
          </w:p>
        </w:tc>
        <w:tc>
          <w:tcPr>
            <w:tcW w:w="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88"/>
              </w:rPr>
              <w:t>June 26,</w:t>
            </w:r>
          </w:p>
        </w:tc>
        <w:tc>
          <w:tcPr>
            <w:tcW w:w="120" w:type="dxa"/>
            <w:vAlign w:val="bottom"/>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26,</w:t>
            </w:r>
          </w:p>
        </w:tc>
        <w:tc>
          <w:tcPr>
            <w:tcW w:w="96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5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​37</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2</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0" w:type="dxa"/>
            <w:vAlign w:val="bottom"/>
            <w:gridSpan w:val="4"/>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00" w:type="dxa"/>
            <w:vAlign w:val="bottom"/>
            <w:gridSpan w:val="4"/>
          </w:tcPr>
          <w:p>
            <w:pPr>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$85</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-539115</wp:posOffset>
            </wp:positionV>
            <wp:extent cx="4749165"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-222250</wp:posOffset>
            </wp:positionV>
            <wp:extent cx="4749165"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-839470</wp:posOffset>
            </wp:positionV>
            <wp:extent cx="474916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4839"/>
          </w:cols>
          <w:pgMar w:left="580" w:top="97" w:right="1440" w:bottom="1440"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2, 2022, and June 26, 2021</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the six months ended July 2, 2022, revenue was $ 854 million, up by $150 million, or 21%, from the six months ended June 26, 2021. The increase in revenue was primarily due to an increase of $120 million, or 18%,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attributable to a 10% increase in volume and a 7% increase in ASP. The remaining increase in revenue was mainly related to the sales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 which was launched during the fourth quarter of 2021, and for which no revenue was generated in the six months ended June 26, 2021.</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left="1260" w:right="479" w:firstLine="360"/>
        <w:spacing w:after="0" w:line="220" w:lineRule="auto"/>
        <w:rPr>
          <w:sz w:val="20"/>
          <w:szCs w:val="20"/>
          <w:color w:val="auto"/>
        </w:rPr>
      </w:pPr>
      <w:r>
        <w:rPr>
          <w:rFonts w:ascii="Times New Roman" w:cs="Times New Roman" w:eastAsia="Times New Roman" w:hAnsi="Times New Roman"/>
          <w:sz w:val="18"/>
          <w:szCs w:val="18"/>
          <w:color w:val="auto"/>
        </w:rPr>
        <w:t>In the six months ended July 2, 2022, our cost of revenue increased by $93 million, or 26%, from the six months ended June 26, 2021. This increase was mainly due to an increase of $50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our sales of SuperVision</w:t>
      </w:r>
      <w:r>
        <w:rPr>
          <w:rFonts w:ascii="Times New Roman" w:cs="Times New Roman" w:eastAsia="Times New Roman" w:hAnsi="Times New Roman"/>
          <w:sz w:val="26"/>
          <w:szCs w:val="26"/>
          <w:color w:val="auto"/>
          <w:vertAlign w:val="superscript"/>
        </w:rPr>
        <w:t>TM</w:t>
      </w:r>
    </w:p>
    <w:p>
      <w:pPr>
        <w:spacing w:after="0" w:line="1" w:lineRule="exact"/>
        <w:rPr>
          <w:sz w:val="20"/>
          <w:szCs w:val="20"/>
          <w:color w:val="auto"/>
        </w:rPr>
      </w:pPr>
    </w:p>
    <w:p>
      <w:pPr>
        <w:ind w:left="1260" w:right="779"/>
        <w:spacing w:after="0" w:line="239" w:lineRule="auto"/>
        <w:rPr>
          <w:sz w:val="20"/>
          <w:szCs w:val="20"/>
          <w:color w:val="auto"/>
        </w:rPr>
      </w:pPr>
      <w:r>
        <w:rPr>
          <w:rFonts w:ascii="Times New Roman" w:cs="Times New Roman" w:eastAsia="Times New Roman" w:hAnsi="Times New Roman"/>
          <w:sz w:val="18"/>
          <w:szCs w:val="18"/>
          <w:color w:val="auto"/>
        </w:rPr>
        <w:t>solution. The remaining increase resulted primarily from an increase of $40 million in amortization of intangible assets transferred from in-process research and development to acquisition-related developed technology.</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146" w:lineRule="exact"/>
        <w:rPr>
          <w:sz w:val="20"/>
          <w:szCs w:val="20"/>
          <w:color w:val="auto"/>
        </w:rPr>
      </w:pPr>
    </w:p>
    <w:p>
      <w:pPr>
        <w:ind w:left="1260" w:right="919" w:firstLine="360"/>
        <w:spacing w:after="0" w:line="226" w:lineRule="auto"/>
        <w:rPr>
          <w:sz w:val="20"/>
          <w:szCs w:val="20"/>
          <w:color w:val="auto"/>
        </w:rPr>
      </w:pPr>
      <w:r>
        <w:rPr>
          <w:rFonts w:ascii="Times New Roman" w:cs="Times New Roman" w:eastAsia="Times New Roman" w:hAnsi="Times New Roman"/>
          <w:sz w:val="18"/>
          <w:szCs w:val="18"/>
          <w:color w:val="auto"/>
        </w:rPr>
        <w:t>In the six months ended July 2, 2022, our gross profit increased by $57 million, or 16%, from the six months ended June 26, 2021. This increase was mainly driven by the increase in revenue from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as well as the sales of our SuperVision™ solution, partially offset by the increase in amortization of intangible assets.</w:t>
      </w:r>
    </w:p>
    <w:p>
      <w:pPr>
        <w:spacing w:after="0" w:line="119" w:lineRule="exact"/>
        <w:rPr>
          <w:sz w:val="20"/>
          <w:szCs w:val="20"/>
          <w:color w:val="auto"/>
        </w:rPr>
      </w:pPr>
    </w:p>
    <w:p>
      <w:pPr>
        <w:ind w:left="1260" w:right="559" w:firstLine="360"/>
        <w:spacing w:after="0" w:line="209" w:lineRule="auto"/>
        <w:rPr>
          <w:sz w:val="20"/>
          <w:szCs w:val="20"/>
          <w:color w:val="auto"/>
        </w:rPr>
      </w:pPr>
      <w:r>
        <w:rPr>
          <w:rFonts w:ascii="Times New Roman" w:cs="Times New Roman" w:eastAsia="Times New Roman" w:hAnsi="Times New Roman"/>
          <w:sz w:val="18"/>
          <w:szCs w:val="18"/>
          <w:color w:val="auto"/>
        </w:rPr>
        <w:t>Our gross margin decreased from 49% during the six months ended June 26, 2021, to 47% during the six months ended July 2, 2022. This decrease was primarily due to the impact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contributing lower margin given the greater hardware content this product contains. The rise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due to the global semiconductor shortage and inflationary pressures also had a downward</w:t>
      </w:r>
    </w:p>
    <w:p>
      <w:pPr>
        <w:spacing w:after="0" w:line="3" w:lineRule="exact"/>
        <w:rPr>
          <w:sz w:val="20"/>
          <w:szCs w:val="20"/>
          <w:color w:val="auto"/>
        </w:rPr>
      </w:pPr>
    </w:p>
    <w:p>
      <w:pPr>
        <w:jc w:val="both"/>
        <w:ind w:left="1260" w:right="859"/>
        <w:spacing w:after="0" w:line="218" w:lineRule="auto"/>
        <w:rPr>
          <w:sz w:val="20"/>
          <w:szCs w:val="20"/>
          <w:color w:val="auto"/>
        </w:rPr>
      </w:pPr>
      <w:r>
        <w:rPr>
          <w:rFonts w:ascii="Times New Roman" w:cs="Times New Roman" w:eastAsia="Times New Roman" w:hAnsi="Times New Roman"/>
          <w:sz w:val="18"/>
          <w:szCs w:val="18"/>
          <w:color w:val="auto"/>
        </w:rPr>
        <w:t>impact on our gross margin, but to a lesser extent than the foregoing because we entered 2022 with an opening balance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inventory that we previously acquired at lower-than-current prices and passed on some of the increased costs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acquired at current prices to our customers.</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 net, in the six months ended July 2, 2022, increased by</w:t>
      </w:r>
    </w:p>
    <w:p>
      <w:pPr>
        <w:spacing w:after="0" w:line="16"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$101 million, or 39%, compared to the six months ended June 26, 2021. This increase was mainly due to an increase of $73 million in payroll and related expenses, derived from an increase in average research and development headcount of 424 employees and payroll costs, including share-based compensation. Additionally, there was an increase of $20 million in cloud computing services and investments attributable to new product development.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six months ended July 2, 2022, decreased by $1 million, or 2%, compared to the six months ended June 26, 2021.</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 the six months ended July 2, 2022 were flat compared to the six months ended June 26, 2021, mainly due to a decrease in share-based compensation expenses offset by expenses related to this offering.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 (expense) and Other Income (expense), net</w:t>
      </w:r>
    </w:p>
    <w:p>
      <w:pPr>
        <w:spacing w:after="0" w:line="160" w:lineRule="exact"/>
        <w:rPr>
          <w:sz w:val="20"/>
          <w:szCs w:val="20"/>
          <w:color w:val="auto"/>
        </w:rPr>
      </w:pPr>
    </w:p>
    <w:p>
      <w:pPr>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Interest income (expense), net in the six months ended July 2, 2022, was $5 million in expense compared to $2 million in income in the six months ended June 26, 2021. The increase in net interest expense was mainly due to accrued interest on the Dividend Note issued to Intel on April 21, 2022.</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Other income (expense), net in the six months ended July 2, 2022, was $5 million in income compared to zero in income in the six months ended June 26, 2021. The increase in was mainly due to exchange rate differences.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46"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In the six months ended July 2, 2022, provision for income tax increased by $26 million, compared to the six months ended June 26, 2021, mainly due to a withholding tax expense of $14 million related to a dividend distribution between entities within the Mobileye Group, which did not result in a corresponding benefit in the United States, as a result of a valuation allowance position and tax expenses incurred pursuant to U.S. tax law due to unfavorable timing adjustments. Other than in connection with the Reorganization as described elsewhere in this prospectus, we do not expect to declare or pay any dividends for the foreseeable future.</w:t>
      </w:r>
    </w:p>
    <w:p>
      <w:pPr>
        <w:spacing w:after="0" w:line="28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effective tax rate for both periods was significantly influenced by valuation allowances related to deferred tax assets not currently expected to be realized given that we have sustained recent losses based on the separate return method.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25, 2021, December 26, 2020, and December 28, 2019</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46" w:lineRule="exact"/>
        <w:rPr>
          <w:sz w:val="20"/>
          <w:szCs w:val="20"/>
          <w:color w:val="auto"/>
        </w:rPr>
      </w:pPr>
    </w:p>
    <w:p>
      <w:pPr>
        <w:ind w:left="1260" w:right="599" w:firstLine="360"/>
        <w:spacing w:after="0" w:line="201" w:lineRule="auto"/>
        <w:rPr>
          <w:sz w:val="20"/>
          <w:szCs w:val="20"/>
          <w:color w:val="auto"/>
        </w:rPr>
      </w:pPr>
      <w:r>
        <w:rPr>
          <w:rFonts w:ascii="Times New Roman" w:cs="Times New Roman" w:eastAsia="Times New Roman" w:hAnsi="Times New Roman"/>
          <w:sz w:val="18"/>
          <w:szCs w:val="18"/>
          <w:color w:val="auto"/>
        </w:rPr>
        <w:t>In 2021, revenue was $1.4 billion, up $419 million, or 43%, from 2020. This increase was primarily attributable to a 43% increase in the volume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sold in 2021 as compared to 2020, driven</w:t>
      </w:r>
    </w:p>
    <w:p>
      <w:pPr>
        <w:spacing w:after="0" w:line="1" w:lineRule="exact"/>
        <w:rPr>
          <w:sz w:val="20"/>
          <w:szCs w:val="20"/>
          <w:color w:val="auto"/>
        </w:rPr>
      </w:pPr>
    </w:p>
    <w:p>
      <w:pPr>
        <w:ind w:left="1260" w:right="559"/>
        <w:spacing w:after="0" w:line="231" w:lineRule="auto"/>
        <w:rPr>
          <w:sz w:val="20"/>
          <w:szCs w:val="20"/>
          <w:color w:val="auto"/>
        </w:rPr>
      </w:pPr>
      <w:r>
        <w:rPr>
          <w:rFonts w:ascii="Times New Roman" w:cs="Times New Roman" w:eastAsia="Times New Roman" w:hAnsi="Times New Roman"/>
          <w:sz w:val="18"/>
          <w:szCs w:val="18"/>
          <w:color w:val="auto"/>
        </w:rPr>
        <w:t>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21" w:lineRule="exact"/>
        <w:rPr>
          <w:sz w:val="20"/>
          <w:szCs w:val="20"/>
          <w:color w:val="auto"/>
        </w:rPr>
      </w:pPr>
    </w:p>
    <w:p>
      <w:pPr>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In 2020, revenue was $967 million, up $88 million, or 10% from 2019 given higher demand from improved global vehicle production in the second half of 2020, offsetting the decline in production experienced in the first half of the year due to the effects of the COVID-19 pandemic.</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46" w:lineRule="exact"/>
        <w:rPr>
          <w:sz w:val="20"/>
          <w:szCs w:val="20"/>
          <w:color w:val="auto"/>
        </w:rPr>
      </w:pPr>
    </w:p>
    <w:p>
      <w:pPr>
        <w:ind w:left="1260" w:right="479" w:firstLine="360"/>
        <w:spacing w:after="0" w:line="221" w:lineRule="auto"/>
        <w:rPr>
          <w:sz w:val="20"/>
          <w:szCs w:val="20"/>
          <w:color w:val="auto"/>
        </w:rPr>
      </w:pPr>
      <w:r>
        <w:rPr>
          <w:rFonts w:ascii="Times New Roman" w:cs="Times New Roman" w:eastAsia="Times New Roman" w:hAnsi="Times New Roman"/>
          <w:sz w:val="18"/>
          <w:szCs w:val="18"/>
          <w:color w:val="auto"/>
        </w:rPr>
        <w:t>In 2021, our cost of revenue increased by $140 million, or 24%, from 2020. This increase was mainly due to an increase of $86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30%, from 2019, mainly due to an increase of $107 million in amortization of intangible assets, and increased manufacturing costs relating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The</w:t>
      </w:r>
    </w:p>
    <w:p>
      <w:pPr>
        <w:spacing w:after="0" w:line="1" w:lineRule="exact"/>
        <w:rPr>
          <w:sz w:val="20"/>
          <w:szCs w:val="20"/>
          <w:color w:val="auto"/>
        </w:rPr>
      </w:pPr>
    </w:p>
    <w:p>
      <w:pPr>
        <w:ind w:left="1260" w:right="499"/>
        <w:spacing w:after="0" w:line="239" w:lineRule="auto"/>
        <w:rPr>
          <w:sz w:val="20"/>
          <w:szCs w:val="20"/>
          <w:color w:val="auto"/>
        </w:rPr>
      </w:pPr>
      <w:r>
        <w:rPr>
          <w:rFonts w:ascii="Times New Roman" w:cs="Times New Roman" w:eastAsia="Times New Roman" w:hAnsi="Times New Roman"/>
          <w:sz w:val="18"/>
          <w:szCs w:val="18"/>
          <w:color w:val="auto"/>
        </w:rPr>
        <w:t>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1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2021, our gross profit increased by $279 million, or 74%,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325"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Our gross margin decreased from 48% during 2019, to 39% during 2020 and increased to 47% during 2021. The increase in 2021 compared to 2020 and the decrease in 2020 compared to 2019 was due primarily to the higher impact of the cost attributable to amortization of intangible assets, as a percentage of revenue in 2020.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net in 2021 increased by $104 million, or 24%, compared to 2020, and in 2020 increased by $56 million, or 15%, compared to 2019.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 The increase in 2020 was mainly attributable to employee-related costs derived from an average increase in headcount of 356 employees, including the additional headcount resulting from the acquisition of Moovit.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Sales and marketing expenses in 2021 increased by $18 million, or 16%, compared to 2020, and in 2020 increased by $16 million, or 16%, compared to 2019. The increase in 2021 was mainly due to an increase of $8 million in amortization of customer relationship and brand-related intangible assets and an increase of $6 million in employee-related costs mainly as a result of the full year impact of Moovit. The increase in 2020 was mainly due to the amortization of intangible assets resulting from the partial year impact of the acquisition of Moovit.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 2021 increased by $1 million, or 3%, compared to 2020, and in 2020 increased by $8 million, or 32%, compared to 2019. The increase in 2020 was mainly due to an average increase in headcount of 29 employees and additional employee-related costs attributable to the acquisition of Moovit. The increase in 2021 was insignificant.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 (Expenses) and Other Expenses</w:t>
      </w:r>
    </w:p>
    <w:p>
      <w:pPr>
        <w:spacing w:after="0" w:line="16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In 2019, interest expense of $257 million was recorded in connection with the loan from Intel, which was converted to equity during 2019.</w:t>
      </w:r>
    </w:p>
    <w:p>
      <w:pPr>
        <w:spacing w:after="0" w:line="94"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Interest income attributable to the loan with Intel was $3 million in 2021, compared to $6 million in 2020, and $22 million in 2019. The decrease resulted from a reduction in the London Interbank Offered Rate (“LIBOR”).</w:t>
      </w:r>
    </w:p>
    <w:p>
      <w:pPr>
        <w:spacing w:after="0" w:line="9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Other expenses decreased by $2 million in 2021, compared to 2020, and increased by $1 million in 2020 compared to 2019, in each case mainly due to the effect of foreign exchange fluctuations.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95"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$53 million, $143 million, $91 million, and $44 million for the six months ended July 2, 2022 and fiscal years 2021, 2020 and 2019, respectively. In connection with the Reorganization, on May 12, 2022, we also declared and paid the Dividend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in an aggregate amount of $336 million to Intel, net of $14 million of cash paid to tax authorities to settle related tax obligations.</w:t>
      </w:r>
    </w:p>
    <w:p>
      <w:pPr>
        <w:spacing w:after="0" w:line="8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together with the amount of net proceeds that we retain in accordance with the Master Transaction Agreement which requires that Intel ensure that, immediately after completion of this offering and on a pro forma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in accordance with the terms of the Master Transaction Agreement. On a pro forma as adjusted basis as of July 2, 2022, the portion of net proceeds to be retained by us would have been approximately $226 million. The actual amount of net proceeds retained will be based upon the estimated balance of cash, cash equivalents and marketable securities as of the closing date of this offering, which balance may be higher or lower than the pro forma balance as of July 2, 2022. See “Unaudited Pro Forma Condensed Combined Financial Information.” We intend to use the remainder to repay a portion of the indebtedness owed to Intel under the Dividend Note. On a pro forma as adjusted basis as of July 2, 2022, the portion of net proceeds used to repay a portion of the indebtedness owed to Intel under the Dividend Note would have been approximately $0.7 billion (or $0.8 billion if the underwriters exercise their option to purchase additional shares of our Class A common stock in full) . See “Unaudited Pro Forma Condensed Combined Financial Information.” Intel has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 and the concurrent private placement. We expect our total capital expenditures for 2022 to be slightly above our total capital expenditures in 2021, mainly given the expansion to additional facilities required to accommodate our recruitment of certain employees from Intel. The construction of our campus is planned to be completed by the end of the first quarter of 2023, with a remaining cost we estimate to be between</w:t>
      </w:r>
    </w:p>
    <w:p>
      <w:pPr>
        <w:spacing w:after="0" w:line="226" w:lineRule="exact"/>
        <w:rPr>
          <w:sz w:val="20"/>
          <w:szCs w:val="20"/>
          <w:color w:val="auto"/>
        </w:rPr>
      </w:pPr>
    </w:p>
    <w:p>
      <w:pPr>
        <w:ind w:left="1260" w:right="739"/>
        <w:spacing w:after="0" w:line="245" w:lineRule="auto"/>
        <w:rPr>
          <w:sz w:val="20"/>
          <w:szCs w:val="20"/>
          <w:color w:val="auto"/>
        </w:rPr>
      </w:pPr>
      <w:r>
        <w:rPr>
          <w:rFonts w:ascii="Times New Roman" w:cs="Times New Roman" w:eastAsia="Times New Roman" w:hAnsi="Times New Roman"/>
          <w:sz w:val="18"/>
          <w:szCs w:val="18"/>
          <w:color w:val="auto"/>
        </w:rPr>
        <w:t>$80 million and $90 million. Our future capital requirements will depend on many factors, including our growth rate and the timing and extent of operating expenses.</w:t>
      </w:r>
    </w:p>
    <w:p>
      <w:pPr>
        <w:spacing w:after="0" w:line="113"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certain combined statements of cash flow data:</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8"/>
          </w:tcPr>
          <w:p>
            <w:pPr>
              <w:jc w:val="center"/>
              <w:ind w:right="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July 2,</w:t>
            </w:r>
          </w:p>
        </w:tc>
        <w:tc>
          <w:tcPr>
            <w:tcW w:w="140" w:type="dxa"/>
            <w:vAlign w:val="bottom"/>
          </w:tcPr>
          <w:p>
            <w:pPr>
              <w:spacing w:after="0"/>
              <w:rPr>
                <w:sz w:val="14"/>
                <w:szCs w:val="14"/>
                <w:color w:val="auto"/>
              </w:rPr>
            </w:pPr>
          </w:p>
        </w:tc>
        <w:tc>
          <w:tcPr>
            <w:tcW w:w="142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June 26,  December 25,</w:t>
            </w:r>
          </w:p>
        </w:tc>
        <w:tc>
          <w:tcPr>
            <w:tcW w:w="120" w:type="dxa"/>
            <w:vAlign w:val="bottom"/>
          </w:tcPr>
          <w:p>
            <w:pPr>
              <w:spacing w:after="0"/>
              <w:rPr>
                <w:sz w:val="14"/>
                <w:szCs w:val="14"/>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00" w:type="dxa"/>
            <w:vAlign w:val="bottom"/>
          </w:tcPr>
          <w:p>
            <w:pPr>
              <w:spacing w:after="0"/>
              <w:rPr>
                <w:sz w:val="14"/>
                <w:szCs w:val="14"/>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620" w:type="dxa"/>
            <w:vAlign w:val="bottom"/>
            <w:gridSpan w:val="4"/>
          </w:tcPr>
          <w:p>
            <w:pPr>
              <w:jc w:val="center"/>
              <w:ind w:right="1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8"/>
                <w:szCs w:val="18"/>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​​​$ 233​​​ ​$ 289</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​$ 599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​$ 271</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​344​​​ ​ ​(335)​​​</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​(965)</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​732</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 (59)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240" w:type="dxa"/>
            <w:vAlign w:val="bottom"/>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(3)</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vMerge w:val="continue"/>
            <w:shd w:val="clear" w:color="auto" w:fill="CCEEFF"/>
          </w:tcPr>
          <w:p>
            <w:pPr>
              <w:spacing w:after="0"/>
              <w:rPr>
                <w:sz w:val="18"/>
                <w:szCs w:val="18"/>
                <w:color w:val="auto"/>
              </w:rPr>
            </w:pPr>
          </w:p>
        </w:tc>
        <w:tc>
          <w:tcPr>
            <w:tcW w:w="80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$ 159</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$ 532</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gridSpan w:val="4"/>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right w:val="single" w:sz="8" w:color="CCEEFF"/>
            </w:tcBorders>
            <w:vMerge w:val="continue"/>
            <w:shd w:val="clear" w:color="auto" w:fill="CCEEFF"/>
          </w:tcPr>
          <w:p>
            <w:pPr>
              <w:spacing w:after="0"/>
              <w:rPr>
                <w:sz w:val="23"/>
                <w:szCs w:val="23"/>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vMerge w:val="continue"/>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shd w:val="clear" w:color="auto" w:fill="CCEEFF"/>
          </w:tcPr>
          <w:p>
            <w:pPr>
              <w:spacing w:after="0"/>
              <w:rPr>
                <w:sz w:val="23"/>
                <w:szCs w:val="23"/>
                <w:color w:val="auto"/>
              </w:rPr>
            </w:pPr>
          </w:p>
        </w:tc>
        <w:tc>
          <w:tcPr>
            <w:tcW w:w="440" w:type="dxa"/>
            <w:vAlign w:val="bottom"/>
            <w:tcBorders>
              <w:right w:val="single" w:sz="8" w:color="CCEEFF"/>
            </w:tcBorders>
            <w:gridSpan w:val="2"/>
            <w:vMerge w:val="continue"/>
            <w:shd w:val="clear" w:color="auto" w:fill="CCEEFF"/>
          </w:tcPr>
          <w:p>
            <w:pPr>
              <w:spacing w:after="0"/>
              <w:rPr>
                <w:sz w:val="23"/>
                <w:szCs w:val="23"/>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continue"/>
            <w:shd w:val="clear" w:color="auto" w:fill="CCEEFF"/>
          </w:tcPr>
          <w:p>
            <w:pPr>
              <w:spacing w:after="0"/>
              <w:rPr>
                <w:sz w:val="23"/>
                <w:szCs w:val="23"/>
                <w:color w:val="auto"/>
              </w:rPr>
            </w:pPr>
          </w:p>
        </w:tc>
        <w:tc>
          <w:tcPr>
            <w:tcW w:w="440" w:type="dxa"/>
            <w:vAlign w:val="bottom"/>
            <w:gridSpan w:val="2"/>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-342265</wp:posOffset>
            </wp:positionV>
            <wp:extent cx="1289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-342265</wp:posOffset>
            </wp:positionV>
            <wp:extent cx="317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-342265</wp:posOffset>
            </wp:positionV>
            <wp:extent cx="3168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36258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-1148080</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-1148080</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3497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color w:val="auto"/>
        </w:rPr>
        <w:t>For the six months ended July 2, 2022 compared to the six months ended June 26, 2021, the $56 million decrease in cash provided by operating activities was mainly due to a change in employee related balances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resulting from our recruitment of certain employees relating to the Mobileye business from Intel during the second quarter of 2022.</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2021 compared to 2020, the $328 million increase in cash provided by operating activities was primarily driven by a decrease of $ 121 million in net loss, an increase in net cash inflow from working capital and an increase in non-cash adjustments, mainly attributable to the amortization of intangible assets.</w:t>
      </w:r>
    </w:p>
    <w:p>
      <w:pPr>
        <w:spacing w:after="0" w:line="109"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in the six months ended June 2, 2022 was $344 million, consisting primarily of a $397 million net repayment of a loan by Intel, partially offset by capital expenditures.</w:t>
      </w:r>
    </w:p>
    <w:p>
      <w:pPr>
        <w:spacing w:after="0" w:line="10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the six months ended June 26, 2021 was $355 million consisting primarily of a $280 million loan to Intel and capital expenditures.</w:t>
      </w:r>
    </w:p>
    <w:p>
      <w:pPr>
        <w:spacing w:after="0" w:line="95" w:lineRule="exact"/>
        <w:rPr>
          <w:sz w:val="20"/>
          <w:szCs w:val="20"/>
          <w:color w:val="auto"/>
        </w:rPr>
      </w:pPr>
    </w:p>
    <w:p>
      <w:pPr>
        <w:ind w:left="1260" w:right="1399" w:firstLine="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2021 was $157 million, primarily relating to capital expenditures in connection with the construction of our campus.</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0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2019 was $225 million, consisting primarily of a $185 million loan to Intel and capital expenditures.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the six months ended July 2, 2022 was $415 million, consisting primarily of the $336 million Dividend to Intel and $186 million of share -based compensation recharge payments made to Intel, partially offset by $121 million as a result of net contributions from Intel.</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six months ended June 26, 2021 was $49 million, primarily as a result of net contributions from Intel.</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2021 was $91 million, as a result of a net contribution from Intel.</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in 2020 was $732 million, consisting primarily of</w:t>
      </w:r>
    </w:p>
    <w:p>
      <w:pPr>
        <w:spacing w:after="0" w:line="16"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$825 million for the acquisition of Moovit, partially offset by share-based compensation recharge payments made to Intel.</w:t>
      </w:r>
    </w:p>
    <w:p>
      <w:pPr>
        <w:spacing w:after="0" w:line="114"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2019 was $59 million, primarily related to share-based compensation recharge payments made to Intel.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10"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Part of our liability for severance pay is covered by the provisions of Section 14 of the Israeli Severance Pay Law (“Section 14”). Under Section 14 employees are entitled to monthly deposits, at a rate of 8.33%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10"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Severance pay liability increased from $59 million as of December 26, 2020, to $68 million as of December 25, 2021, reflecting mainly an increase in salary and related costs. Severance pay liability decreased to $49 million as of July 2, 2022.</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have several bank guarantees aggregating approximately $9.6 million (denominated in New Israeli Shekels) mainly in connection with lease agreements and import of vehicles.</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Reorganization, on April 21, 2022, we distributed to Intel the Dividend Note, in the aggregate principal amount of $3.5 billion. The Dividend Note is scheduled to mature on April 21, 2025 and will accrue interest at a rate equal to 1.26% per annum.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33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and certain expenses related to this offering,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and certain expenses related to this offering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32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70" w:lineRule="auto"/>
        <w:rPr>
          <w:sz w:val="20"/>
          <w:szCs w:val="20"/>
          <w:color w:val="auto"/>
        </w:rPr>
      </w:pPr>
      <w:r>
        <w:rPr>
          <w:rFonts w:ascii="Times New Roman" w:cs="Times New Roman" w:eastAsia="Times New Roman" w:hAnsi="Times New Roman"/>
          <w:sz w:val="18"/>
          <w:szCs w:val="18"/>
          <w:color w:val="auto"/>
        </w:rPr>
        <w:t>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05"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We believe that the exclusion of expenses related to this offering is appropriate as they represent items that management believes are not indicative of our ongoing operating performance. These expenses are primarily composed of legal, accounting and professional fees incurred in connection with this offering that are not capitalizable, which are included within general and administrative expenses.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62" w:lineRule="exact"/>
        <w:rPr>
          <w:sz w:val="20"/>
          <w:szCs w:val="20"/>
          <w:color w:val="auto"/>
        </w:rPr>
      </w:pPr>
    </w:p>
    <w:p>
      <w:pPr>
        <w:ind w:left="1260" w:right="879" w:firstLine="360"/>
        <w:spacing w:after="0" w:line="274"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01"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9"/>
                <w:szCs w:val="19"/>
                <w:color w:val="auto"/>
              </w:rPr>
            </w:pPr>
          </w:p>
        </w:tc>
        <w:tc>
          <w:tcPr>
            <w:tcW w:w="11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Six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560" w:type="dxa"/>
            <w:vAlign w:val="bottom"/>
            <w:gridSpan w:val="1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July 2, 2022</w:t>
            </w:r>
          </w:p>
        </w:tc>
        <w:tc>
          <w:tcPr>
            <w:tcW w:w="120" w:type="dxa"/>
            <w:vAlign w:val="bottom"/>
          </w:tcPr>
          <w:p>
            <w:pPr>
              <w:spacing w:after="0"/>
              <w:rPr>
                <w:sz w:val="20"/>
                <w:szCs w:val="20"/>
                <w:color w:val="auto"/>
              </w:rPr>
            </w:pPr>
          </w:p>
        </w:tc>
        <w:tc>
          <w:tcPr>
            <w:tcW w:w="1060" w:type="dxa"/>
            <w:vAlign w:val="bottom"/>
            <w:gridSpan w:val="5"/>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w:t>
            </w:r>
          </w:p>
        </w:tc>
        <w:tc>
          <w:tcPr>
            <w:tcW w:w="3720" w:type="dxa"/>
            <w:vAlign w:val="bottom"/>
            <w:gridSpan w:val="19"/>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25, 2021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26, 2020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28, 2019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56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540" w:type="dxa"/>
            <w:vAlign w:val="bottom"/>
            <w:tcBorders>
              <w:top w:val="single" w:sz="8" w:color="auto"/>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960" w:type="dxa"/>
            <w:vAlign w:val="bottom"/>
            <w:gridSpan w:val="30"/>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​$405 ​​​</w:t>
            </w:r>
          </w:p>
        </w:tc>
        <w:tc>
          <w:tcPr>
            <w:tcW w:w="1120" w:type="dxa"/>
            <w:vAlign w:val="bottom"/>
            <w:tcBorders>
              <w:right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​$348 ​​​</w:t>
            </w:r>
          </w:p>
        </w:tc>
        <w:tc>
          <w:tcPr>
            <w:tcW w:w="7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​$376</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 ​​​ ​$423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​240 ​​​</w:t>
            </w:r>
          </w:p>
        </w:tc>
        <w:tc>
          <w:tcPr>
            <w:tcW w:w="11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 ​ ​200 ​​​</w:t>
            </w:r>
          </w:p>
        </w:tc>
        <w:tc>
          <w:tcPr>
            <w:tcW w:w="7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 ​​ ​ ​368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 ​​​ ​ ​261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 ​​​</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12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and</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645</w:t>
            </w:r>
            <w:r>
              <w:rPr>
                <w:rFonts w:ascii="Times New Roman" w:cs="Times New Roman" w:eastAsia="Times New Roman" w:hAnsi="Times New Roman"/>
                <w:sz w:val="18"/>
                <w:szCs w:val="18"/>
                <w:color w:val="auto"/>
              </w:rPr>
              <w:t xml:space="preserve"> ​​​</w:t>
            </w:r>
          </w:p>
        </w:tc>
        <w:tc>
          <w:tcPr>
            <w:tcW w:w="112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548 </w:t>
            </w:r>
            <w:r>
              <w:rPr>
                <w:rFonts w:ascii="Times New Roman" w:cs="Times New Roman" w:eastAsia="Times New Roman" w:hAnsi="Times New Roman"/>
                <w:sz w:val="35"/>
                <w:szCs w:val="35"/>
                <w:color w:val="auto"/>
                <w:vertAlign w:val="subscript"/>
              </w:rPr>
              <w:t>​​​</w:t>
            </w:r>
          </w:p>
        </w:tc>
        <w:tc>
          <w:tcPr>
            <w:tcW w:w="1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​78%</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1,075 </w:t>
            </w:r>
            <w:r>
              <w:rPr>
                <w:rFonts w:ascii="Times New Roman" w:cs="Times New Roman" w:eastAsia="Times New Roman" w:hAnsi="Times New Roman"/>
                <w:sz w:val="35"/>
                <w:szCs w:val="35"/>
                <w:color w:val="auto"/>
                <w:vertAlign w:val="subscript"/>
              </w:rPr>
              <w:t>​​​</w:t>
            </w:r>
          </w:p>
        </w:tc>
        <w:tc>
          <w:tcPr>
            <w:tcW w:w="100" w:type="dxa"/>
            <w:vAlign w:val="bottom"/>
          </w:tcPr>
          <w:p>
            <w:pPr>
              <w:spacing w:after="0"/>
              <w:rPr>
                <w:sz w:val="18"/>
                <w:szCs w:val="18"/>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744</w:t>
            </w:r>
          </w:p>
        </w:tc>
        <w:tc>
          <w:tcPr>
            <w:tcW w:w="120" w:type="dxa"/>
            <w:vAlign w:val="bottom"/>
          </w:tcPr>
          <w:p>
            <w:pPr>
              <w:spacing w:after="0"/>
              <w:rPr>
                <w:sz w:val="18"/>
                <w:szCs w:val="18"/>
                <w:color w:val="auto"/>
              </w:rPr>
            </w:pPr>
          </w:p>
        </w:tc>
        <w:tc>
          <w:tcPr>
            <w:tcW w:w="1100" w:type="dxa"/>
            <w:vAlign w:val="bottom"/>
            <w:gridSpan w:val="5"/>
            <w:vMerge w:val="restart"/>
          </w:tcPr>
          <w:p>
            <w:pPr>
              <w:ind w:left="1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680" w:type="dxa"/>
            <w:vAlign w:val="bottom"/>
            <w:gridSpan w:val="2"/>
            <w:vMerge w:val="continue"/>
          </w:tcPr>
          <w:p>
            <w:pPr>
              <w:spacing w:after="0"/>
              <w:rPr>
                <w:sz w:val="21"/>
                <w:szCs w:val="21"/>
                <w:color w:val="auto"/>
              </w:rPr>
            </w:pPr>
          </w:p>
        </w:tc>
        <w:tc>
          <w:tcPr>
            <w:tcW w:w="1120" w:type="dxa"/>
            <w:vAlign w:val="bottom"/>
            <w:gridSpan w:val="6"/>
            <w:vMerge w:val="continue"/>
          </w:tcPr>
          <w:p>
            <w:pPr>
              <w:spacing w:after="0"/>
              <w:rPr>
                <w:sz w:val="21"/>
                <w:szCs w:val="21"/>
                <w:color w:val="auto"/>
              </w:rPr>
            </w:pPr>
          </w:p>
        </w:tc>
        <w:tc>
          <w:tcPr>
            <w:tcW w:w="1180" w:type="dxa"/>
            <w:vAlign w:val="bottom"/>
            <w:gridSpan w:val="6"/>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4"/>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-1122045</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-1122045</wp:posOffset>
            </wp:positionV>
            <wp:extent cx="34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-1122045</wp:posOffset>
            </wp:positionV>
            <wp:extent cx="342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-1122045</wp:posOffset>
            </wp:positionV>
            <wp:extent cx="342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-1122045</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-1122045</wp:posOffset>
            </wp:positionV>
            <wp:extent cx="34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-1122045</wp:posOffset>
            </wp:positionV>
            <wp:extent cx="342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-1122045</wp:posOffset>
            </wp:positionV>
            <wp:extent cx="34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-1122045</wp:posOffset>
            </wp:positionV>
            <wp:extent cx="18516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 over time.</w:t>
      </w:r>
    </w:p>
    <w:p>
      <w:pPr>
        <w:spacing w:after="0" w:line="123" w:lineRule="exact"/>
        <w:rPr>
          <w:sz w:val="20"/>
          <w:szCs w:val="20"/>
          <w:color w:val="auto"/>
        </w:rPr>
      </w:pPr>
    </w:p>
    <w:p>
      <w:pPr>
        <w:jc w:val="both"/>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Our Adjusted Gross Margin decreased from 78% for the six months ended June 26, 2021 to 76% for the six months ended July 2, 2022, primarily due to increased sales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solutions, which have greater hardware content than our other ADAS solutions.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6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share-based compensation expenses and expenses related to this offering incurred during the six months ended July 2, 2022. Operating margin is calculated as operating loss divided by total revenue, and Adjusted Operating Margin is calculated as Adjusted Operating Income divided by total revenue.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and the calculations of Operating Margin and Adjusted Operating Margin:</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1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July 2, 2022</w:t>
            </w:r>
          </w:p>
        </w:tc>
        <w:tc>
          <w:tcPr>
            <w:tcW w:w="60" w:type="dxa"/>
            <w:vAlign w:val="bottom"/>
          </w:tcPr>
          <w:p>
            <w:pPr>
              <w:spacing w:after="0"/>
              <w:rPr>
                <w:sz w:val="20"/>
                <w:szCs w:val="20"/>
                <w:color w:val="auto"/>
              </w:rPr>
            </w:pPr>
          </w:p>
        </w:tc>
        <w:tc>
          <w:tcPr>
            <w:tcW w:w="1120" w:type="dxa"/>
            <w:vAlign w:val="bottom"/>
            <w:gridSpan w:val="8"/>
          </w:tcPr>
          <w:p>
            <w:pPr>
              <w:jc w:val="right"/>
              <w:ind w:righ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w:t>
            </w:r>
          </w:p>
        </w:tc>
        <w:tc>
          <w:tcPr>
            <w:tcW w:w="2460" w:type="dxa"/>
            <w:vAlign w:val="bottom"/>
            <w:gridSpan w:val="1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25, 2021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26, 2020</w:t>
            </w:r>
          </w:p>
        </w:tc>
        <w:tc>
          <w:tcPr>
            <w:tcW w:w="20" w:type="dxa"/>
            <w:vAlign w:val="bottom"/>
          </w:tcPr>
          <w:p>
            <w:pPr>
              <w:spacing w:after="0"/>
              <w:rPr>
                <w:sz w:val="20"/>
                <w:szCs w:val="20"/>
                <w:color w:val="auto"/>
              </w:rPr>
            </w:pPr>
          </w:p>
        </w:tc>
        <w:tc>
          <w:tcPr>
            <w:tcW w:w="138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700" w:type="dxa"/>
            <w:vAlign w:val="bottom"/>
            <w:tcBorders>
              <w:top w:val="single" w:sz="8" w:color="auto"/>
            </w:tcBorders>
            <w:gridSpan w:val="5"/>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100" w:type="dxa"/>
            <w:vAlign w:val="bottom"/>
            <w:gridSpan w:val="4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(36)​​​</w:t>
            </w:r>
          </w:p>
        </w:tc>
        <w:tc>
          <w:tcPr>
            <w:tcW w:w="11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  7 ​​​</w:t>
            </w:r>
          </w:p>
        </w:tc>
        <w:tc>
          <w:tcPr>
            <w:tcW w:w="4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(57) ​​​</w:t>
            </w:r>
          </w:p>
        </w:tc>
        <w:tc>
          <w:tcPr>
            <w:tcW w:w="12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​$(213)​​​</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intangible assets ​​ ​ ​282 ​​​</w:t>
            </w:r>
          </w:p>
        </w:tc>
        <w:tc>
          <w:tcPr>
            <w:tcW w:w="11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 ​ ​245 ​​​</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 ​​​ ​ ​450 ​​​</w:t>
            </w:r>
          </w:p>
        </w:tc>
        <w:tc>
          <w:tcPr>
            <w:tcW w:w="7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76</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49 ​​​</w:t>
            </w:r>
          </w:p>
        </w:tc>
        <w:tc>
          <w:tcPr>
            <w:tcW w:w="4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w:t>
            </w:r>
          </w:p>
        </w:tc>
        <w:tc>
          <w:tcPr>
            <w:tcW w:w="6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 97</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 85 ​​​</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76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60" w:type="dxa"/>
            <w:vAlign w:val="bottom"/>
            <w:vMerge w:val="continue"/>
            <w:shd w:val="clear" w:color="auto" w:fill="CCEEFF"/>
          </w:tcPr>
          <w:p>
            <w:pPr>
              <w:spacing w:after="0"/>
              <w:rPr>
                <w:sz w:val="18"/>
                <w:szCs w:val="18"/>
                <w:color w:val="auto"/>
              </w:rPr>
            </w:pPr>
          </w:p>
        </w:tc>
        <w:tc>
          <w:tcPr>
            <w:tcW w:w="5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w:t>
            </w:r>
          </w:p>
        </w:tc>
        <w:tc>
          <w:tcPr>
            <w:tcW w:w="1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9"/>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35"/>
                <w:szCs w:val="35"/>
                <w:color w:val="auto"/>
                <w:vertAlign w:val="subscript"/>
              </w:rPr>
              <w:t>​​​</w:t>
            </w:r>
          </w:p>
        </w:tc>
        <w:tc>
          <w:tcPr>
            <w:tcW w:w="1040" w:type="dxa"/>
            <w:vAlign w:val="bottom"/>
            <w:tcBorders>
              <w:right w:val="single" w:sz="8" w:color="CCEEFF"/>
            </w:tcBorders>
            <w:gridSpan w:val="7"/>
            <w:vMerge w:val="restart"/>
            <w:shd w:val="clear" w:color="auto" w:fill="CCEEFF"/>
          </w:tcPr>
          <w:p>
            <w:pPr>
              <w:ind w:left="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​43%</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9"/>
            <w:vMerge w:val="restart"/>
            <w:shd w:val="clear" w:color="auto" w:fill="CCEEFF"/>
          </w:tcPr>
          <w:p>
            <w:pPr>
              <w:ind w:left="1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$ 322 </w:t>
            </w:r>
            <w:r>
              <w:rPr>
                <w:rFonts w:ascii="Times New Roman" w:cs="Times New Roman" w:eastAsia="Times New Roman" w:hAnsi="Times New Roman"/>
                <w:sz w:val="35"/>
                <w:szCs w:val="35"/>
                <w:color w:val="auto"/>
                <w:vertAlign w:val="subscript"/>
              </w:rPr>
              <w:t>​​​</w:t>
            </w:r>
          </w:p>
        </w:tc>
        <w:tc>
          <w:tcPr>
            <w:tcW w:w="740" w:type="dxa"/>
            <w:vAlign w:val="bottom"/>
            <w:tcBorders>
              <w:right w:val="single" w:sz="8" w:color="CCEEFF"/>
            </w:tcBorders>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​33%</w:t>
            </w:r>
            <w:r>
              <w:rPr>
                <w:rFonts w:ascii="Times New Roman" w:cs="Times New Roman" w:eastAsia="Times New Roman" w:hAnsi="Times New Roman"/>
                <w:sz w:val="18"/>
                <w:szCs w:val="18"/>
                <w:color w:val="auto"/>
              </w:rPr>
              <w:t>​​ ​</w:t>
            </w: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317</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margin</w:t>
            </w:r>
          </w:p>
        </w:tc>
        <w:tc>
          <w:tcPr>
            <w:tcW w:w="560" w:type="dxa"/>
            <w:vAlign w:val="bottom"/>
            <w:tcBorders>
              <w:right w:val="single" w:sz="8" w:color="CCEEFF"/>
            </w:tcBorders>
            <w:gridSpan w:val="2"/>
            <w:vMerge w:val="continue"/>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9"/>
            <w:vMerge w:val="continue"/>
            <w:shd w:val="clear" w:color="auto" w:fill="CCEEFF"/>
          </w:tcPr>
          <w:p>
            <w:pPr>
              <w:spacing w:after="0"/>
              <w:rPr>
                <w:sz w:val="23"/>
                <w:szCs w:val="23"/>
                <w:color w:val="auto"/>
              </w:rPr>
            </w:pPr>
          </w:p>
        </w:tc>
        <w:tc>
          <w:tcPr>
            <w:tcW w:w="1040" w:type="dxa"/>
            <w:vAlign w:val="bottom"/>
            <w:tcBorders>
              <w:right w:val="single" w:sz="8" w:color="CCEEFF"/>
            </w:tcBorders>
            <w:gridSpan w:val="7"/>
            <w:vMerge w:val="continue"/>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vMerge w:val="continue"/>
            <w:shd w:val="clear" w:color="auto" w:fill="CCEEFF"/>
          </w:tcPr>
          <w:p>
            <w:pPr>
              <w:spacing w:after="0"/>
              <w:rPr>
                <w:sz w:val="23"/>
                <w:szCs w:val="23"/>
                <w:color w:val="auto"/>
              </w:rPr>
            </w:pPr>
          </w:p>
        </w:tc>
        <w:tc>
          <w:tcPr>
            <w:tcW w:w="740" w:type="dxa"/>
            <w:vAlign w:val="bottom"/>
            <w:tcBorders>
              <w:right w:val="single" w:sz="8" w:color="CCEEFF"/>
            </w:tcBorders>
            <w:gridSpan w:val="6"/>
            <w:vMerge w:val="continue"/>
            <w:shd w:val="clear" w:color="auto" w:fill="CCEEFF"/>
          </w:tcPr>
          <w:p>
            <w:pPr>
              <w:spacing w:after="0"/>
              <w:rPr>
                <w:sz w:val="23"/>
                <w:szCs w:val="23"/>
                <w:color w:val="auto"/>
              </w:rPr>
            </w:pPr>
          </w:p>
        </w:tc>
        <w:tc>
          <w:tcPr>
            <w:tcW w:w="460" w:type="dxa"/>
            <w:vAlign w:val="bottom"/>
            <w:tcBorders>
              <w:right w:val="single" w:sz="8" w:color="CCEEFF"/>
            </w:tcBorders>
            <w:vMerge w:val="continue"/>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-342265</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-342265</wp:posOffset>
            </wp:positionV>
            <wp:extent cx="1968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45262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-1559560</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-1559560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-1559560</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-1559560</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-1559560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-1559560</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-1559560</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-1559560</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17570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9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incurred an operating loss in the six months ended July 2, 2022, compared to operating income in the six months ended June 26, 2021, mainly as a result of an increase in amortization of acquired intangible assets and share-based compensation expense, as well as an increase in research and development expenses, partially offset by revenue growth.</w:t>
      </w:r>
    </w:p>
    <w:p>
      <w:pPr>
        <w:spacing w:after="0" w:line="11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 in each of these years included the effect of amortization of acquired intangible assets, as well as share-based compensation expense, each of which increased in each of 2020 and 2021 as compared to the preceding year.</w:t>
      </w:r>
    </w:p>
    <w:p>
      <w:pPr>
        <w:spacing w:after="0" w:line="323"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in the six months ended July 2, 2022 compared to the six months ended June 26, 2021, primarily due to the growth in our overall business, partially offset by the increase in research and development expenses.</w:t>
      </w:r>
    </w:p>
    <w:p>
      <w:pPr>
        <w:spacing w:after="0" w:line="108"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Margin decreased in the six months ended July 2, 2022 compared to the six months ended June 26, 2021, primarily due to a decrease in our Adjusted Gross Margin and the impact of increased research and development headcount.</w:t>
      </w:r>
    </w:p>
    <w:p>
      <w:pPr>
        <w:spacing w:after="0" w:line="10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Our Adjusted Operating Income and Margin increased in fiscal 2021 primarily due to growth in our overall business driven by an increase in adoption of ADAS compared to 2020 and a slight improvement in global vehicle production. We expect that our Adjusted Operating Margin in future near-term years will decrease compared to the six months ended July 2,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4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define Adjusted Net Income as net loss presented in accordance with GAAP, adjusted to exclude amortization of acquisition related intangibles, share-based compensation expense, and expenses related to this offering incurred during the six months ended July 2,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gridSpan w:val="4"/>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300" w:type="dxa"/>
            <w:vAlign w:val="bottom"/>
            <w:gridSpan w:val="30"/>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w:t>
            </w:r>
          </w:p>
        </w:tc>
        <w:tc>
          <w:tcPr>
            <w:tcW w:w="1460" w:type="dxa"/>
            <w:vAlign w:val="bottom"/>
            <w:gridSpan w:val="10"/>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Revenue </w:t>
            </w:r>
            <w:r>
              <w:rPr>
                <w:rFonts w:ascii="Times New Roman" w:cs="Times New Roman" w:eastAsia="Times New Roman" w:hAnsi="Times New Roman"/>
                <w:sz w:val="27"/>
                <w:szCs w:val="27"/>
                <w:b w:val="1"/>
                <w:bCs w:val="1"/>
                <w:color w:val="auto"/>
                <w:vertAlign w:val="subscript"/>
              </w:rPr>
              <w:t>​</w:t>
            </w:r>
          </w:p>
        </w:tc>
        <w:tc>
          <w:tcPr>
            <w:tcW w:w="1400" w:type="dxa"/>
            <w:vAlign w:val="bottom"/>
            <w:gridSpan w:val="11"/>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Revenue</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(67)​​ ​</w:t>
            </w:r>
          </w:p>
        </w:tc>
        <w:tc>
          <w:tcPr>
            <w:tcW w:w="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 ​ ​$</w:t>
            </w:r>
          </w:p>
        </w:tc>
        <w:tc>
          <w:tcPr>
            <w:tcW w:w="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 ​​ ​</w:t>
            </w:r>
          </w:p>
        </w:tc>
        <w:tc>
          <w:tcPr>
            <w:tcW w:w="1400" w:type="dxa"/>
            <w:vAlign w:val="bottom"/>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 ​$ (75)​​ ​</w:t>
            </w:r>
          </w:p>
        </w:tc>
        <w:tc>
          <w:tcPr>
            <w:tcW w:w="1420" w:type="dxa"/>
            <w:vAlign w:val="bottom"/>
            <w:tcBorders>
              <w:right w:val="single" w:sz="8" w:color="CCEEFF"/>
            </w:tcBorders>
            <w:gridSpan w:val="9"/>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 ​ ​$(196)​​ ​</w:t>
            </w:r>
          </w:p>
        </w:tc>
        <w:tc>
          <w:tcPr>
            <w:tcW w:w="14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 ​ ​$(328)​​ ​</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9"/>
              </w:rPr>
              <w:t>​</w:t>
            </w:r>
            <w:r>
              <w:rPr>
                <w:rFonts w:ascii="Times New Roman" w:cs="Times New Roman" w:eastAsia="Times New Roman" w:hAnsi="Times New Roman"/>
                <w:sz w:val="18"/>
                <w:szCs w:val="18"/>
                <w:color w:val="auto"/>
                <w:w w:val="79"/>
              </w:rPr>
              <w:t>(37)%</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 ​ ​282 ​​ ​</w:t>
            </w:r>
          </w:p>
        </w:tc>
        <w:tc>
          <w:tcPr>
            <w:tcW w:w="138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 ​ ​ ​245 ​​ ​</w:t>
            </w:r>
          </w:p>
        </w:tc>
        <w:tc>
          <w:tcPr>
            <w:tcW w:w="1400" w:type="dxa"/>
            <w:vAlign w:val="bottom"/>
            <w:gridSpan w:val="10"/>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 ​ ​ ​509 ​​ ​</w:t>
            </w:r>
          </w:p>
        </w:tc>
        <w:tc>
          <w:tcPr>
            <w:tcW w:w="142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 ​ ​ ​450 ​​ ​</w:t>
            </w:r>
          </w:p>
        </w:tc>
        <w:tc>
          <w:tcPr>
            <w:tcW w:w="14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 ​327 ​​ ​</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 76 ​​ ​</w:t>
            </w:r>
          </w:p>
        </w:tc>
        <w:tc>
          <w:tcPr>
            <w:tcW w:w="1380" w:type="dxa"/>
            <w:vAlign w:val="bottom"/>
            <w:gridSpan w:val="9"/>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 49 ​​ ​</w:t>
            </w:r>
          </w:p>
        </w:tc>
        <w:tc>
          <w:tcPr>
            <w:tcW w:w="1400" w:type="dxa"/>
            <w:vAlign w:val="bottom"/>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 97 ​​ ​</w:t>
            </w:r>
          </w:p>
        </w:tc>
        <w:tc>
          <w:tcPr>
            <w:tcW w:w="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w:t>
            </w:r>
          </w:p>
        </w:tc>
        <w:tc>
          <w:tcPr>
            <w:tcW w:w="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 ​​ ​</w:t>
            </w:r>
          </w:p>
        </w:tc>
        <w:tc>
          <w:tcPr>
            <w:tcW w:w="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 ​​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3"/>
              </w:rPr>
              <w:t>9%</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this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3 ​​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 ​ ​ ​ — ​​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 ​ ​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Less: Income tax effects</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​(57)</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(50)</w:t>
            </w:r>
          </w:p>
        </w:tc>
        <w:tc>
          <w:tcPr>
            <w:tcW w:w="5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(5)%</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(24)</w:t>
            </w:r>
          </w:p>
        </w:tc>
        <w:tc>
          <w:tcPr>
            <w:tcW w:w="38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3"/>
              </w:rPr>
              <w:t>​ (3)%</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640" w:type="dxa"/>
            <w:vAlign w:val="bottom"/>
            <w:shd w:val="clear" w:color="auto" w:fill="CCEEFF"/>
          </w:tcPr>
          <w:p>
            <w:pPr>
              <w:spacing w:after="0"/>
              <w:rPr>
                <w:sz w:val="5"/>
                <w:szCs w:val="5"/>
                <w:color w:val="auto"/>
              </w:rPr>
            </w:pPr>
          </w:p>
        </w:tc>
        <w:tc>
          <w:tcPr>
            <w:tcW w:w="32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360" w:type="dxa"/>
            <w:vAlign w:val="bottom"/>
            <w:gridSpan w:val="2"/>
            <w:shd w:val="clear" w:color="auto" w:fill="CCEEFF"/>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gridSpan w:val="4"/>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3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tcBorders>
              <w:right w:val="single" w:sz="8" w:color="CCEEFF"/>
            </w:tcBorders>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4"/>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gridSpan w:val="8"/>
          </w:tcPr>
          <w:p>
            <w:pPr>
              <w:ind w:left="4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276</w:t>
            </w:r>
            <w:r>
              <w:rPr>
                <w:rFonts w:ascii="Times New Roman" w:cs="Times New Roman" w:eastAsia="Times New Roman" w:hAnsi="Times New Roman"/>
                <w:sz w:val="15"/>
                <w:szCs w:val="15"/>
                <w:color w:val="auto"/>
              </w:rPr>
              <w:t xml:space="preserve"> ​​ ​</w:t>
            </w:r>
          </w:p>
        </w:tc>
        <w:tc>
          <w:tcPr>
            <w:tcW w:w="1380" w:type="dxa"/>
            <w:vAlign w:val="bottom"/>
            <w:gridSpan w:val="9"/>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270</w:t>
            </w:r>
            <w:r>
              <w:rPr>
                <w:rFonts w:ascii="Times New Roman" w:cs="Times New Roman" w:eastAsia="Times New Roman" w:hAnsi="Times New Roman"/>
                <w:sz w:val="15"/>
                <w:szCs w:val="15"/>
                <w:color w:val="auto"/>
              </w:rPr>
              <w:t xml:space="preserve"> ​​ ​</w:t>
            </w:r>
          </w:p>
        </w:tc>
        <w:tc>
          <w:tcPr>
            <w:tcW w:w="1400" w:type="dxa"/>
            <w:vAlign w:val="bottom"/>
            <w:gridSpan w:val="10"/>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​39%</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xml:space="preserve"> ​​ ​</w:t>
            </w:r>
          </w:p>
        </w:tc>
        <w:tc>
          <w:tcPr>
            <w:tcW w:w="1420" w:type="dxa"/>
            <w:vAlign w:val="bottom"/>
            <w:gridSpan w:val="9"/>
          </w:tcPr>
          <w:p>
            <w:pPr>
              <w:jc w:val="right"/>
              <w:ind w:righ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​35%</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$ 289</w:t>
            </w:r>
            <w:r>
              <w:rPr>
                <w:rFonts w:ascii="Times New Roman" w:cs="Times New Roman" w:eastAsia="Times New Roman" w:hAnsi="Times New Roman"/>
                <w:sz w:val="15"/>
                <w:szCs w:val="15"/>
                <w:color w:val="auto"/>
              </w:rPr>
              <w:t xml:space="preserve"> ​​ ​</w:t>
            </w:r>
          </w:p>
        </w:tc>
        <w:tc>
          <w:tcPr>
            <w:tcW w:w="800" w:type="dxa"/>
            <w:vAlign w:val="bottom"/>
            <w:gridSpan w:val="7"/>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660" w:type="dxa"/>
            <w:vAlign w:val="bottom"/>
            <w:gridSpan w:val="3"/>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perscript"/>
              </w:rPr>
              <w:t>51</w:t>
            </w:r>
            <w:r>
              <w:rPr>
                <w:rFonts w:ascii="Times New Roman" w:cs="Times New Roman" w:eastAsia="Times New Roman" w:hAnsi="Times New Roman"/>
                <w:sz w:val="15"/>
                <w:szCs w:val="15"/>
                <w:color w:val="auto"/>
              </w:rPr>
              <w:t xml:space="preserve"> ​​ ​</w:t>
            </w:r>
          </w:p>
        </w:tc>
        <w:tc>
          <w:tcPr>
            <w:tcW w:w="1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gridSpan w:val="4"/>
          </w:tcPr>
          <w:p>
            <w:pPr>
              <w:spacing w:after="0" w:line="250" w:lineRule="exact"/>
              <w:rPr>
                <w:sz w:val="20"/>
                <w:szCs w:val="20"/>
                <w:color w:val="auto"/>
              </w:rPr>
            </w:pPr>
            <w:r>
              <w:rPr>
                <w:rFonts w:ascii="Times New Roman" w:cs="Times New Roman" w:eastAsia="Times New Roman" w:hAnsi="Times New Roman"/>
                <w:sz w:val="15"/>
                <w:szCs w:val="15"/>
                <w:color w:val="auto"/>
              </w:rPr>
              <w:t>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6029325</wp:posOffset>
            </wp:positionH>
            <wp:positionV relativeFrom="paragraph">
              <wp:posOffset>-1413510</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-1413510</wp:posOffset>
            </wp:positionV>
            <wp:extent cx="137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-1413510</wp:posOffset>
            </wp:positionV>
            <wp:extent cx="137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-1413510</wp:posOffset>
            </wp:positionV>
            <wp:extent cx="137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-1413510</wp:posOffset>
            </wp:positionV>
            <wp:extent cx="1200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-1413510</wp:posOffset>
            </wp:positionV>
            <wp:extent cx="1200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-1413510</wp:posOffset>
            </wp:positionV>
            <wp:extent cx="1200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-1413510</wp:posOffset>
            </wp:positionV>
            <wp:extent cx="1200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-1413510</wp:posOffset>
            </wp:positionV>
            <wp:extent cx="22371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78" w:lineRule="exact"/>
        <w:rPr>
          <w:sz w:val="20"/>
          <w:szCs w:val="20"/>
          <w:color w:val="auto"/>
        </w:rPr>
      </w:pPr>
    </w:p>
    <w:p>
      <w:pPr>
        <w:ind w:left="1260" w:right="940" w:firstLine="360"/>
        <w:spacing w:after="0" w:line="261" w:lineRule="auto"/>
        <w:rPr>
          <w:sz w:val="20"/>
          <w:szCs w:val="20"/>
          <w:color w:val="auto"/>
        </w:rPr>
      </w:pPr>
      <w:r>
        <w:rPr>
          <w:rFonts w:ascii="Times New Roman" w:cs="Times New Roman" w:eastAsia="Times New Roman" w:hAnsi="Times New Roman"/>
          <w:sz w:val="18"/>
          <w:szCs w:val="18"/>
          <w:color w:val="auto"/>
        </w:rPr>
        <w:t>We incurred a net loss in the six months ended July 2, 2022, compared to net income in the six months ended June 26, 2021, mainly as a result of an increase in amortization of acquired intangible assets and share-based compensation expense, as well as an increase in research and development expenses, partially offset by an increase in revenue.</w:t>
      </w:r>
    </w:p>
    <w:p>
      <w:pPr>
        <w:spacing w:after="0" w:line="112" w:lineRule="exact"/>
        <w:rPr>
          <w:sz w:val="20"/>
          <w:szCs w:val="20"/>
          <w:color w:val="auto"/>
        </w:rPr>
      </w:pPr>
    </w:p>
    <w:p>
      <w:pPr>
        <w:ind w:left="1260" w:right="940" w:firstLine="360"/>
        <w:spacing w:after="0" w:line="254" w:lineRule="auto"/>
        <w:rPr>
          <w:sz w:val="20"/>
          <w:szCs w:val="20"/>
          <w:color w:val="auto"/>
        </w:rPr>
      </w:pPr>
      <w:r>
        <w:rPr>
          <w:rFonts w:ascii="Times New Roman" w:cs="Times New Roman" w:eastAsia="Times New Roman" w:hAnsi="Times New Roman"/>
          <w:sz w:val="18"/>
          <w:szCs w:val="18"/>
          <w:color w:val="auto"/>
        </w:rPr>
        <w:t>Our net income (loss) in each of the six months ended July 2, 2022 and June 26, 2021 and our net loss in each of 2021, 2020 and 2019 included the effect of amortization of acquired intangible assets, as well as share-based compensation expense, each of which increased in the six months ended July 2, 2022 as compared to the six months ended June 26, 2021, and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21" w:lineRule="exact"/>
        <w:rPr>
          <w:sz w:val="20"/>
          <w:szCs w:val="20"/>
          <w:color w:val="auto"/>
        </w:rPr>
      </w:pPr>
    </w:p>
    <w:p>
      <w:pPr>
        <w:ind w:left="1260" w:right="920" w:firstLine="360"/>
        <w:spacing w:after="0" w:line="243" w:lineRule="auto"/>
        <w:rPr>
          <w:sz w:val="20"/>
          <w:szCs w:val="20"/>
          <w:color w:val="auto"/>
        </w:rPr>
      </w:pPr>
      <w:r>
        <w:rPr>
          <w:rFonts w:ascii="Times New Roman" w:cs="Times New Roman" w:eastAsia="Times New Roman" w:hAnsi="Times New Roman"/>
          <w:sz w:val="18"/>
          <w:szCs w:val="18"/>
          <w:color w:val="auto"/>
        </w:rPr>
        <w:t>Our Adjusted Net Income increased in the six months ended July 2, 2022 compared to the six months ended June 26, 2021, primarily due to growth in our overall business, partially offset by the increase in research and development expenses. Our Adjusted Net Income increased in fiscal 2021 primarily due to growth in our overall business, driven by an increase in adoption of ADAS compared to 2020 and a slight improvement in global vehicle production. We expect that our Adjusted Net Income margin (which is the Adjusted Net Income divided by total revenue) in future near-term years will decrease compared to the six months ended July 2,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48" w:lineRule="exact"/>
        <w:rPr>
          <w:sz w:val="20"/>
          <w:szCs w:val="20"/>
          <w:color w:val="auto"/>
        </w:rPr>
      </w:pPr>
    </w:p>
    <w:p>
      <w:pPr>
        <w:ind w:left="1260" w:right="90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historical unaudited condensed combined statements of operations data for each of the quarters indicated. The information for each quarter has been prepared on the same basis as our audited combined financial statements included elsewhere in this prospectus and reflects, in the opinion of management, all adjustments necessary for a fair statement of the financial information presented. Our historical results are not necessarily indicative of future operating results, and our interim results are not necessarily indicative of the results to be expected for the full year or any other period. The quarterly financial data set forth below should be read together with our combined financial statements and related notes included elsewhere in this prospectus.</w:t>
      </w:r>
    </w:p>
    <w:p>
      <w:pPr>
        <w:sectPr>
          <w:pgSz w:w="11900" w:h="16838" w:orient="portrait"/>
          <w:cols w:equalWidth="0" w:num="1">
            <w:col w:w="10300"/>
          </w:cols>
          <w:pgMar w:left="580" w:top="9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5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5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9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9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7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480" w:type="dxa"/>
            <w:vAlign w:val="bottom"/>
            <w:tcBorders>
              <w:left w:val="single" w:sz="8" w:color="CCEEFF"/>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480" w:type="dxa"/>
            <w:vAlign w:val="bottom"/>
            <w:tcBorders>
              <w:left w:val="single" w:sz="8" w:color="CCEEFF"/>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$460</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$394</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$356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$326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$327</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9"/>
              </w:rPr>
              <w:t>$377</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$334</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8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​231</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​218</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8"/>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​202</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​173</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​183</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5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​155</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​127</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4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133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​229</w:t>
            </w:r>
          </w:p>
        </w:tc>
        <w:tc>
          <w:tcPr>
            <w:tcW w:w="160" w:type="dxa"/>
            <w:vAlign w:val="bottom"/>
            <w:tcBorders>
              <w:left w:val="single" w:sz="8" w:color="CCEEFF"/>
              <w:right w:val="single" w:sz="8" w:color="CCEEFF"/>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​176</w:t>
            </w:r>
          </w:p>
        </w:tc>
        <w:tc>
          <w:tcPr>
            <w:tcW w:w="340" w:type="dxa"/>
            <w:vAlign w:val="bottom"/>
            <w:tcBorders>
              <w:left w:val="single" w:sz="8" w:color="CCEEFF"/>
            </w:tcBorders>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​154</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​153</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​154</w:t>
            </w:r>
          </w:p>
        </w:tc>
        <w:tc>
          <w:tcPr>
            <w:tcW w:w="240" w:type="dxa"/>
            <w:vAlign w:val="bottom"/>
            <w:tcBorders>
              <w:lef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​194</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​158</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76</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w:t>
            </w:r>
          </w:p>
        </w:tc>
        <w:tc>
          <w:tcPr>
            <w:tcW w:w="160" w:type="dxa"/>
            <w:vAlign w:val="bottom"/>
            <w:tcBorders>
              <w:lef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margin</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ind w:right="14"/>
              <w:spacing w:after="0" w:line="123" w:lineRule="exact"/>
              <w:rPr>
                <w:sz w:val="20"/>
                <w:szCs w:val="20"/>
                <w:color w:val="auto"/>
              </w:rPr>
            </w:pPr>
            <w:r>
              <w:rPr>
                <w:rFonts w:ascii="Times New Roman" w:cs="Times New Roman" w:eastAsia="Times New Roman" w:hAnsi="Times New Roman"/>
                <w:sz w:val="14"/>
                <w:szCs w:val="14"/>
                <w:b w:val="1"/>
                <w:bCs w:val="1"/>
                <w:color w:val="auto"/>
              </w:rPr>
              <w:t>​ 50%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jc w:val="right"/>
              <w:ind w:right="213"/>
              <w:spacing w:after="0" w:line="123" w:lineRule="exact"/>
              <w:rPr>
                <w:sz w:val="20"/>
                <w:szCs w:val="20"/>
                <w:color w:val="auto"/>
              </w:rPr>
            </w:pPr>
            <w:r>
              <w:rPr>
                <w:rFonts w:ascii="Times New Roman" w:cs="Times New Roman" w:eastAsia="Times New Roman" w:hAnsi="Times New Roman"/>
                <w:sz w:val="14"/>
                <w:szCs w:val="14"/>
                <w:b w:val="1"/>
                <w:bCs w:val="1"/>
                <w:color w:val="auto"/>
              </w:rPr>
              <w:t>​ 45%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Times New Roman" w:cs="Times New Roman" w:eastAsia="Times New Roman" w:hAnsi="Times New Roman"/>
                <w:sz w:val="14"/>
                <w:szCs w:val="14"/>
                <w:b w:val="1"/>
                <w:bCs w:val="1"/>
                <w:color w:val="auto"/>
              </w:rPr>
              <w:t>​ 43%</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ind w:right="133"/>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4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 51%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48"/>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6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 33%</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jc w:val="right"/>
              <w:ind w:right="14"/>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jc w:val="right"/>
              <w:ind w:right="1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jc w:val="right"/>
              <w:ind w:right="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net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​179</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​180</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​154</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​132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​128</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101</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35</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4"/>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32</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33</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11</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0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​222</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​198</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​173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​172</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​153</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138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10</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​(44)</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22</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​(77)</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​(117)</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Operating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2"/>
            <w:shd w:val="clear" w:color="auto" w:fill="CCEEFF"/>
          </w:tcPr>
          <w:p>
            <w:pPr>
              <w:jc w:val="right"/>
              <w:ind w:right="14"/>
              <w:spacing w:after="0" w:line="143" w:lineRule="exact"/>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73"/>
              <w:spacing w:after="0" w:line="143"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b w:val="1"/>
                <w:bCs w:val="1"/>
                <w:color w:val="auto"/>
              </w:rPr>
              <w:t>​(12)%</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b w:val="1"/>
                <w:bCs w:val="1"/>
                <w:color w:val="auto"/>
              </w:rPr>
              <w:t>​ (6)%</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shd w:val="clear" w:color="auto" w:fill="CCEEFF"/>
          </w:tcPr>
          <w:p>
            <w:pPr>
              <w:jc w:val="right"/>
              <w:ind w:right="93"/>
              <w:spacing w:after="0" w:line="143" w:lineRule="exact"/>
              <w:rPr>
                <w:sz w:val="20"/>
                <w:szCs w:val="20"/>
                <w:color w:val="auto"/>
              </w:rPr>
            </w:pPr>
            <w:r>
              <w:rPr>
                <w:rFonts w:ascii="Times New Roman" w:cs="Times New Roman" w:eastAsia="Times New Roman" w:hAnsi="Times New Roman"/>
                <w:sz w:val="14"/>
                <w:szCs w:val="14"/>
                <w:b w:val="1"/>
                <w:bCs w:val="1"/>
                <w:color w:val="auto"/>
              </w:rPr>
              <w:t>​ (5)%</w:t>
            </w:r>
          </w:p>
        </w:tc>
        <w:tc>
          <w:tcPr>
            <w:tcW w:w="140" w:type="dxa"/>
            <w:vAlign w:val="bottom"/>
            <w:shd w:val="clear" w:color="auto" w:fill="CCEEFF"/>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8"/>
              <w:spacing w:after="0" w:line="143" w:lineRule="exact"/>
              <w:rPr>
                <w:sz w:val="20"/>
                <w:szCs w:val="20"/>
                <w:color w:val="auto"/>
              </w:rPr>
            </w:pPr>
            <w:r>
              <w:rPr>
                <w:rFonts w:ascii="Times New Roman" w:cs="Times New Roman" w:eastAsia="Times New Roman" w:hAnsi="Times New Roman"/>
                <w:sz w:val="14"/>
                <w:szCs w:val="14"/>
                <w:b w:val="1"/>
                <w:bCs w:val="1"/>
                <w:color w:val="auto"/>
              </w:rPr>
              <w:t>​ (3)%</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​(33)%</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33"/>
              <w:spacing w:after="0" w:line="143" w:lineRule="exact"/>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right w:val="single" w:sz="8" w:color="CCEEFF"/>
            </w:tcBorders>
            <w:shd w:val="clear" w:color="auto" w:fill="CCEEFF"/>
          </w:tcPr>
          <w:p>
            <w:pPr>
              <w:jc w:val="right"/>
              <w:ind w:right="14"/>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tcBorders>
              <w:left w:val="single" w:sz="8" w:color="CCEEFF"/>
            </w:tcBorders>
            <w:shd w:val="clear" w:color="auto" w:fill="CCEEFF"/>
          </w:tcPr>
          <w:p>
            <w:pPr>
              <w:jc w:val="right"/>
              <w:ind w:right="1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40" w:type="dxa"/>
            <w:vAlign w:val="bottom"/>
            <w:tcBorders>
              <w:left w:val="single" w:sz="8" w:color="CCEEFF"/>
            </w:tcBorders>
            <w:shd w:val="clear" w:color="auto" w:fill="CCEEFF"/>
          </w:tcPr>
          <w:p>
            <w:pPr>
              <w:jc w:val="right"/>
              <w:ind w:right="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40" w:type="dxa"/>
            <w:vAlign w:val="bottom"/>
            <w:tcBorders>
              <w:lef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(expense) with a related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left w:val="single" w:sz="8" w:color="CCEEFF"/>
            </w:tcBorders>
            <w:gridSpan w:val="3"/>
            <w:shd w:val="clear" w:color="auto" w:fill="CCEEFF"/>
          </w:tcPr>
          <w:p>
            <w:pPr>
              <w:ind w:left="20"/>
              <w:spacing w:after="0" w:line="26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3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​(46)</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24</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​(16)</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​(115)</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(taxes) on income</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gridSpan w:val="3"/>
            <w:shd w:val="clear" w:color="auto" w:fill="CCEEFF"/>
          </w:tcPr>
          <w:p>
            <w:pPr>
              <w:jc w:val="right"/>
              <w:ind w:right="14"/>
              <w:spacing w:after="0" w:line="223"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5"/>
                <w:szCs w:val="25"/>
                <w:color w:val="auto"/>
                <w:vertAlign w:val="subscript"/>
              </w:rPr>
              <w:t>​​​</w:t>
            </w:r>
          </w:p>
        </w:tc>
        <w:tc>
          <w:tcPr>
            <w:tcW w:w="720" w:type="dxa"/>
            <w:vAlign w:val="bottom"/>
            <w:gridSpan w:val="5"/>
            <w:shd w:val="clear" w:color="auto" w:fill="CCEEFF"/>
          </w:tcPr>
          <w:p>
            <w:pPr>
              <w:jc w:val="right"/>
              <w:ind w:right="19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​(16) </w:t>
            </w:r>
            <w:r>
              <w:rPr>
                <w:rFonts w:ascii="Times New Roman" w:cs="Times New Roman" w:eastAsia="Times New Roman" w:hAnsi="Times New Roman"/>
                <w:sz w:val="25"/>
                <w:szCs w:val="25"/>
                <w:color w:val="auto"/>
                <w:vertAlign w:val="subscript"/>
              </w:rPr>
              <w:t>​​​</w:t>
            </w:r>
          </w:p>
        </w:tc>
        <w:tc>
          <w:tcPr>
            <w:tcW w:w="1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(60)</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​(53)</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​(14)</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​(70)</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​(107)</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Net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73"/>
              <w:spacing w:after="0" w:line="156" w:lineRule="exact"/>
              <w:rPr>
                <w:sz w:val="20"/>
                <w:szCs w:val="20"/>
                <w:color w:val="auto"/>
              </w:rPr>
            </w:pPr>
            <w:r>
              <w:rPr>
                <w:rFonts w:ascii="Times New Roman" w:cs="Times New Roman" w:eastAsia="Times New Roman" w:hAnsi="Times New Roman"/>
                <w:sz w:val="14"/>
                <w:szCs w:val="14"/>
                <w:b w:val="1"/>
                <w:bCs w:val="1"/>
                <w:color w:val="auto"/>
              </w:rPr>
              <w:t>​(15)%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​(15)%</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 (8)%</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shd w:val="clear" w:color="auto" w:fill="CCEEFF"/>
          </w:tcPr>
          <w:p>
            <w:pPr>
              <w:jc w:val="right"/>
              <w:ind w:right="93"/>
              <w:spacing w:after="0" w:line="156" w:lineRule="exact"/>
              <w:rPr>
                <w:sz w:val="20"/>
                <w:szCs w:val="20"/>
                <w:color w:val="auto"/>
              </w:rPr>
            </w:pPr>
            <w:r>
              <w:rPr>
                <w:rFonts w:ascii="Times New Roman" w:cs="Times New Roman" w:eastAsia="Times New Roman" w:hAnsi="Times New Roman"/>
                <w:sz w:val="14"/>
                <w:szCs w:val="14"/>
                <w:b w:val="1"/>
                <w:bCs w:val="1"/>
                <w:color w:val="auto"/>
              </w:rPr>
              <w:t>​ (6)%</w:t>
            </w:r>
          </w:p>
        </w:tc>
        <w:tc>
          <w:tcPr>
            <w:tcW w:w="14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 (4)%</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(72)%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shd w:val="clear" w:color="auto" w:fill="CCEEFF"/>
          </w:tcPr>
          <w:p>
            <w:pPr>
              <w:jc w:val="right"/>
              <w:ind w:right="19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shd w:val="clear" w:color="auto" w:fill="CCEEFF"/>
          </w:tcPr>
          <w:p>
            <w:pPr>
              <w:jc w:val="right"/>
              <w:ind w:right="9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jc w:val="right"/>
              <w:ind w:right="1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-1593850</wp:posOffset>
            </wp:positionV>
            <wp:extent cx="137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-1593850</wp:posOffset>
            </wp:positionV>
            <wp:extent cx="58978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-2519680</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-2519680</wp:posOffset>
            </wp:positionV>
            <wp:extent cx="58978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-2828290</wp:posOffset>
            </wp:positionV>
            <wp:extent cx="342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-2828290</wp:posOffset>
            </wp:positionV>
            <wp:extent cx="342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-2828290</wp:posOffset>
            </wp:positionV>
            <wp:extent cx="342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-2828290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-2828290</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-2828290</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-2828290</wp:posOffset>
            </wp:positionV>
            <wp:extent cx="342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-2828290</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-2828290</wp:posOffset>
            </wp:positionV>
            <wp:extent cx="19113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Non-GAAP Financial Measures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July 2,</w:t>
            </w: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25,</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26,</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60" w:type="dxa"/>
            <w:vAlign w:val="bottom"/>
          </w:tcPr>
          <w:p>
            <w:pPr>
              <w:spacing w:after="0"/>
              <w:rPr>
                <w:sz w:val="18"/>
                <w:szCs w:val="18"/>
                <w:color w:val="auto"/>
              </w:rPr>
            </w:pP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500" w:type="dxa"/>
            <w:vAlign w:val="bottom"/>
            <w:tcBorders>
              <w:right w:val="single" w:sz="8" w:color="CCEEFF"/>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$229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$176</w:t>
            </w: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$154</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$153</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$154</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$194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$158</w:t>
            </w:r>
          </w:p>
        </w:tc>
        <w:tc>
          <w:tcPr>
            <w:tcW w:w="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$ 76</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$ 21</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$121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​125</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​119</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​100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​100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​101</w:t>
            </w: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​100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 92</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75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50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w:t>
            </w: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Borders>
              <w:right w:val="single" w:sz="8" w:color="CCEEFF"/>
            </w:tcBorders>
            <w:gridSpan w:val="3"/>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vMerge w:val="continue"/>
            <w:shd w:val="clear" w:color="auto" w:fill="CCEEFF"/>
          </w:tcPr>
          <w:p>
            <w:pPr>
              <w:spacing w:after="0"/>
              <w:rPr>
                <w:sz w:val="19"/>
                <w:szCs w:val="19"/>
                <w:color w:val="auto"/>
              </w:rPr>
            </w:pP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continue"/>
            <w:shd w:val="clear" w:color="auto" w:fill="CCEEFF"/>
          </w:tcPr>
          <w:p>
            <w:pPr>
              <w:spacing w:after="0"/>
              <w:rPr>
                <w:sz w:val="19"/>
                <w:szCs w:val="19"/>
                <w:color w:val="auto"/>
              </w:rPr>
            </w:pP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gross profit</w:t>
            </w:r>
          </w:p>
        </w:tc>
        <w:tc>
          <w:tcPr>
            <w:tcW w:w="6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25"/>
                <w:szCs w:val="25"/>
                <w:b w:val="1"/>
                <w:bCs w:val="1"/>
                <w:color w:val="auto"/>
                <w:vertAlign w:val="superscript"/>
              </w:rPr>
              <w:t>$344</w:t>
            </w:r>
            <w:r>
              <w:rPr>
                <w:rFonts w:ascii="Times New Roman" w:cs="Times New Roman" w:eastAsia="Times New Roman" w:hAnsi="Times New Roman"/>
                <w:sz w:val="13"/>
                <w:szCs w:val="13"/>
                <w:b w:val="1"/>
                <w:bCs w:val="1"/>
                <w:color w:val="auto"/>
              </w:rPr>
              <w:t xml:space="preserve"> ​​​</w:t>
            </w:r>
          </w:p>
        </w:tc>
        <w:tc>
          <w:tcPr>
            <w:tcW w:w="40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$301</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ind w:right="28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$274</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$253</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$254</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$294</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jc w:val="right"/>
              <w:ind w:right="2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$259</w:t>
            </w: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$176</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$113</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$196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gross profit margin</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75%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76%</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77%</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78%</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78%</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78%</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78%</w:t>
            </w:r>
          </w:p>
        </w:tc>
        <w:tc>
          <w:tcPr>
            <w:tcW w:w="40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76%</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76%</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gridSpan w:val="2"/>
            <w:shd w:val="clear" w:color="auto" w:fill="CCEEFF"/>
          </w:tcPr>
          <w:p>
            <w:pPr>
              <w:jc w:val="right"/>
              <w:ind w:right="16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-1010920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-1010920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-1010920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-1010920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-1010920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-1010920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-1010920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-1010920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-1010920</wp:posOffset>
            </wp:positionV>
            <wp:extent cx="16884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25,</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280" w:type="dxa"/>
            <w:vAlign w:val="bottom"/>
            <w:gridSpan w:val="3"/>
            <w:shd w:val="clear" w:color="auto" w:fill="CCEEFF"/>
          </w:tcPr>
          <w:p>
            <w:pPr>
              <w:ind w:left="60"/>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18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(46) </w:t>
            </w:r>
            <w:r>
              <w:rPr>
                <w:rFonts w:ascii="Times New Roman" w:cs="Times New Roman" w:eastAsia="Times New Roman" w:hAnsi="Times New Roman"/>
                <w:sz w:val="25"/>
                <w:szCs w:val="25"/>
                <w:color w:val="auto"/>
                <w:vertAlign w:val="subscript"/>
              </w:rPr>
              <w:t>​​​</w:t>
            </w:r>
          </w:p>
        </w:tc>
        <w:tc>
          <w:tcPr>
            <w:tcW w:w="560" w:type="dxa"/>
            <w:vAlign w:val="bottom"/>
            <w:gridSpan w:val="3"/>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(44)</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(11)</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6"/>
            <w:shd w:val="clear" w:color="auto" w:fill="CCEEFF"/>
          </w:tcPr>
          <w:p>
            <w:pPr>
              <w:jc w:val="right"/>
              <w:ind w:right="10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$(117) </w:t>
            </w:r>
            <w:r>
              <w:rPr>
                <w:rFonts w:ascii="Times New Roman" w:cs="Times New Roman" w:eastAsia="Times New Roman" w:hAnsi="Times New Roman"/>
                <w:sz w:val="25"/>
                <w:szCs w:val="25"/>
                <w:color w:val="auto"/>
                <w:vertAlign w:val="subscript"/>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 ​133</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​149</w:t>
            </w: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​140</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​122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​122</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 113</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92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3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 40</w:t>
            </w:r>
          </w:p>
        </w:tc>
        <w:tc>
          <w:tcPr>
            <w:tcW w:w="3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24</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19</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Add: Expenses related to this</w:t>
            </w:r>
          </w:p>
        </w:tc>
        <w:tc>
          <w:tcPr>
            <w:tcW w:w="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6"/>
                <w:szCs w:val="16"/>
                <w:color w:val="auto"/>
              </w:rPr>
            </w:pPr>
          </w:p>
        </w:tc>
        <w:tc>
          <w:tcPr>
            <w:tcW w:w="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spacing w:after="0"/>
              <w:rPr>
                <w:sz w:val="16"/>
                <w:szCs w:val="16"/>
                <w:color w:val="auto"/>
              </w:rPr>
            </w:pP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340" w:type="dxa"/>
            <w:vAlign w:val="bottom"/>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vMerge w:val="continue"/>
          </w:tcPr>
          <w:p>
            <w:pPr>
              <w:spacing w:after="0"/>
              <w:rPr>
                <w:sz w:val="19"/>
                <w:szCs w:val="19"/>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tcPr>
          <w:p>
            <w:pPr>
              <w:spacing w:after="0"/>
              <w:rPr>
                <w:sz w:val="19"/>
                <w:szCs w:val="19"/>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continue"/>
          </w:tcPr>
          <w:p>
            <w:pPr>
              <w:spacing w:after="0"/>
              <w:rPr>
                <w:sz w:val="19"/>
                <w:szCs w:val="19"/>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tcPr>
          <w:p>
            <w:pPr>
              <w:spacing w:after="0"/>
              <w:rPr>
                <w:sz w:val="19"/>
                <w:szCs w:val="19"/>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continue"/>
          </w:tcPr>
          <w:p>
            <w:pPr>
              <w:spacing w:after="0"/>
              <w:rPr>
                <w:sz w:val="19"/>
                <w:szCs w:val="19"/>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gridSpan w:val="5"/>
            <w:shd w:val="clear" w:color="auto" w:fill="CCEEFF"/>
          </w:tcPr>
          <w:p>
            <w:pPr>
              <w:ind w:left="6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$182</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$143</w:t>
            </w:r>
          </w:p>
        </w:tc>
        <w:tc>
          <w:tcPr>
            <w:tcW w:w="3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$121</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$127</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$132</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169</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$137</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$ 66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line="223"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103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40%</w:t>
            </w:r>
          </w:p>
        </w:tc>
        <w:tc>
          <w:tcPr>
            <w:tcW w:w="60" w:type="dxa"/>
            <w:vAlign w:val="bottom"/>
          </w:tcPr>
          <w:p>
            <w:pPr>
              <w:spacing w:after="0"/>
              <w:rPr>
                <w:sz w:val="16"/>
                <w:szCs w:val="16"/>
                <w:color w:val="auto"/>
              </w:rPr>
            </w:pPr>
          </w:p>
        </w:tc>
        <w:tc>
          <w:tcPr>
            <w:tcW w:w="680" w:type="dxa"/>
            <w:vAlign w:val="bottom"/>
            <w:gridSpan w:val="5"/>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36%</w:t>
            </w:r>
          </w:p>
        </w:tc>
        <w:tc>
          <w:tcPr>
            <w:tcW w:w="60" w:type="dxa"/>
            <w:vAlign w:val="bottom"/>
          </w:tcPr>
          <w:p>
            <w:pPr>
              <w:spacing w:after="0"/>
              <w:rPr>
                <w:sz w:val="16"/>
                <w:szCs w:val="16"/>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40%</w:t>
            </w: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continue"/>
          </w:tcPr>
          <w:p>
            <w:pPr>
              <w:spacing w:after="0"/>
              <w:rPr>
                <w:sz w:val="10"/>
                <w:szCs w:val="10"/>
                <w:color w:val="auto"/>
              </w:rPr>
            </w:pPr>
          </w:p>
        </w:tc>
        <w:tc>
          <w:tcPr>
            <w:tcW w:w="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continue"/>
          </w:tcPr>
          <w:p>
            <w:pPr>
              <w:spacing w:after="0"/>
              <w:rPr>
                <w:sz w:val="10"/>
                <w:szCs w:val="10"/>
                <w:color w:val="auto"/>
              </w:rPr>
            </w:pPr>
          </w:p>
        </w:tc>
        <w:tc>
          <w:tcPr>
            <w:tcW w:w="2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continue"/>
          </w:tcPr>
          <w:p>
            <w:pPr>
              <w:spacing w:after="0"/>
              <w:rPr>
                <w:sz w:val="10"/>
                <w:szCs w:val="10"/>
                <w:color w:val="auto"/>
              </w:rPr>
            </w:pPr>
          </w:p>
        </w:tc>
        <w:tc>
          <w:tcPr>
            <w:tcW w:w="3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4"/>
        </w:trPr>
        <w:tc>
          <w:tcPr>
            <w:tcW w:w="2000" w:type="dxa"/>
            <w:vAlign w:val="bottom"/>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jc w:val="right"/>
              <w:ind w:right="11"/>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tcPr>
          <w:p>
            <w:pPr>
              <w:jc w:val="right"/>
              <w:ind w:right="18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8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gridSpan w:val="2"/>
          </w:tcPr>
          <w:p>
            <w:pPr>
              <w:jc w:val="right"/>
              <w:ind w:right="10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-445135</wp:posOffset>
            </wp:positionV>
            <wp:extent cx="1117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-445135</wp:posOffset>
            </wp:positionV>
            <wp:extent cx="2400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-445135</wp:posOffset>
            </wp:positionV>
            <wp:extent cx="54178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-1362075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-1362075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-1362075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-1362075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-1362075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-1362075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-1362075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-1362075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-1362075</wp:posOffset>
            </wp:positionV>
            <wp:extent cx="168021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July 2,</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25,</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680" w:type="dxa"/>
            <w:vAlign w:val="bottom"/>
            <w:tcBorders>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(7)</w:t>
            </w:r>
            <w:r>
              <w:rPr>
                <w:rFonts w:ascii="Times New Roman" w:cs="Times New Roman" w:eastAsia="Times New Roman" w:hAnsi="Times New Roman"/>
                <w:sz w:val="13"/>
                <w:szCs w:val="13"/>
                <w:color w:val="auto"/>
              </w:rPr>
              <w:t>​​​</w:t>
            </w:r>
          </w:p>
        </w:tc>
        <w:tc>
          <w:tcPr>
            <w:tcW w:w="740" w:type="dxa"/>
            <w:vAlign w:val="bottom"/>
            <w:gridSpan w:val="6"/>
            <w:shd w:val="clear" w:color="auto" w:fill="CCEEFF"/>
          </w:tcPr>
          <w:p>
            <w:pPr>
              <w:jc w:val="right"/>
              <w:ind w:right="16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(60) </w:t>
            </w:r>
            <w:r>
              <w:rPr>
                <w:rFonts w:ascii="Times New Roman" w:cs="Times New Roman" w:eastAsia="Times New Roman" w:hAnsi="Times New Roman"/>
                <w:sz w:val="25"/>
                <w:szCs w:val="25"/>
                <w:color w:val="auto"/>
                <w:vertAlign w:val="subscript"/>
              </w:rPr>
              <w:t>​​​</w:t>
            </w:r>
          </w:p>
        </w:tc>
        <w:tc>
          <w:tcPr>
            <w:tcW w:w="5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(53)</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(26)</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(21)</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(14)</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2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$(107) </w:t>
            </w:r>
            <w:r>
              <w:rPr>
                <w:rFonts w:ascii="Times New Roman" w:cs="Times New Roman" w:eastAsia="Times New Roman" w:hAnsi="Times New Roman"/>
                <w:sz w:val="25"/>
                <w:szCs w:val="25"/>
                <w:color w:val="auto"/>
                <w:vertAlign w:val="subscript"/>
              </w:rPr>
              <w: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​149</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​140</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​122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​122</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 113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​92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 36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 40</w:t>
            </w:r>
          </w:p>
        </w:tc>
        <w:tc>
          <w:tcPr>
            <w:tcW w:w="3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24</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Expenses related to this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  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Income tax effects</w:t>
            </w:r>
          </w:p>
        </w:tc>
        <w:tc>
          <w:tcPr>
            <w:tcW w:w="680" w:type="dxa"/>
            <w:vAlign w:val="bottom"/>
            <w:tcBorders>
              <w:right w:val="single" w:sz="8" w:color="CCEEFF"/>
            </w:tcBorders>
            <w:gridSpan w:val="4"/>
            <w:shd w:val="clear" w:color="auto" w:fill="CCEEFF"/>
          </w:tcPr>
          <w:p>
            <w:pPr>
              <w:jc w:val="right"/>
              <w:spacing w:after="0" w:line="247"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(9)</w:t>
            </w: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168"/>
              <w:spacing w:after="0" w:line="247"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 (9)</w:t>
            </w:r>
            <w:r>
              <w:rPr>
                <w:rFonts w:ascii="Times New Roman" w:cs="Times New Roman" w:eastAsia="Times New Roman" w:hAnsi="Times New Roman"/>
                <w:sz w:val="14"/>
                <w:szCs w:val="14"/>
                <w:color w:val="auto"/>
              </w:rPr>
              <w:t xml:space="preserve"> ​​​</w:t>
            </w:r>
          </w:p>
        </w:tc>
        <w:tc>
          <w:tcPr>
            <w:tcW w:w="580" w:type="dxa"/>
            <w:vAlign w:val="bottom"/>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28"/>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(13)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6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$156</w:t>
            </w:r>
            <w:r>
              <w:rPr>
                <w:rFonts w:ascii="Times New Roman" w:cs="Times New Roman" w:eastAsia="Times New Roman" w:hAnsi="Times New Roman"/>
                <w:sz w:val="13"/>
                <w:szCs w:val="13"/>
                <w:color w:val="auto"/>
              </w:rPr>
              <w:t xml:space="preserve"> ​​​</w:t>
            </w:r>
          </w:p>
        </w:tc>
        <w:tc>
          <w:tcPr>
            <w:tcW w:w="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$120</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$ 97</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$107</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158</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$120</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44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net income margin</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34%</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30%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27%</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33%</w:t>
            </w:r>
          </w:p>
        </w:tc>
        <w:tc>
          <w:tcPr>
            <w:tcW w:w="2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34%</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42%</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36%</w:t>
            </w:r>
          </w:p>
        </w:tc>
        <w:tc>
          <w:tcPr>
            <w:tcW w:w="38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gridSpan w:val="3"/>
            <w:shd w:val="clear" w:color="auto" w:fill="CCEEFF"/>
          </w:tcPr>
          <w:p>
            <w:pPr>
              <w:jc w:val="right"/>
              <w:ind w:right="16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80" w:type="dxa"/>
            <w:vAlign w:val="bottom"/>
            <w:gridSpan w:val="2"/>
            <w:shd w:val="clear" w:color="auto" w:fill="CCEEFF"/>
          </w:tcPr>
          <w:p>
            <w:pPr>
              <w:jc w:val="right"/>
              <w:ind w:right="8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ind w:right="2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-1397000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-1397000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-1397000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-1397000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-1397000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-1397000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-1397000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-1397000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-1397000</wp:posOffset>
            </wp:positionV>
            <wp:extent cx="168846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62" w:lineRule="exact"/>
        <w:rPr>
          <w:sz w:val="20"/>
          <w:szCs w:val="20"/>
          <w:color w:val="auto"/>
        </w:rPr>
      </w:pPr>
    </w:p>
    <w:p>
      <w:pPr>
        <w:ind w:left="1260" w:right="860" w:firstLine="360"/>
        <w:spacing w:after="0" w:line="259" w:lineRule="auto"/>
        <w:rPr>
          <w:sz w:val="20"/>
          <w:szCs w:val="20"/>
          <w:color w:val="auto"/>
        </w:rPr>
      </w:pPr>
      <w:r>
        <w:rPr>
          <w:rFonts w:ascii="Times New Roman" w:cs="Times New Roman" w:eastAsia="Times New Roman" w:hAnsi="Times New Roman"/>
          <w:sz w:val="18"/>
          <w:szCs w:val="18"/>
          <w:color w:val="auto"/>
        </w:rPr>
        <w:t>In 2020, the entire automotive industry was severely impacted by COVID-19, resulting in global vehicle production declining by 16% compared to 2019. This led to fluctuations in our quarterly results. We experienced a temporary reduction in revenue and operating margin during the second and third quarters of 2020, followed by a sharp recovery that is reflected in the results of the fourth quarter of 2020 and the first quarter of 2021.</w:t>
      </w:r>
    </w:p>
    <w:p>
      <w:pPr>
        <w:spacing w:after="0" w:line="335" w:lineRule="exact"/>
        <w:rPr>
          <w:sz w:val="20"/>
          <w:szCs w:val="20"/>
          <w:color w:val="auto"/>
        </w:rPr>
      </w:pPr>
    </w:p>
    <w:p>
      <w:pPr>
        <w:ind w:left="1260" w:right="1160" w:firstLine="360"/>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starting in the fourth quarter of 2021 is mainly due to increased R&amp;D investments in connection with the launch of Mobileye SuperVision™ and AV productization.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1260" w:right="860" w:firstLine="360"/>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08" w:lineRule="exact"/>
        <w:rPr>
          <w:sz w:val="20"/>
          <w:szCs w:val="20"/>
          <w:color w:val="auto"/>
        </w:rPr>
      </w:pPr>
    </w:p>
    <w:p>
      <w:pPr>
        <w:ind w:left="1260" w:right="880" w:firstLine="360"/>
        <w:spacing w:after="0" w:line="256"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336" w:lineRule="exact"/>
        <w:rPr>
          <w:sz w:val="20"/>
          <w:szCs w:val="20"/>
          <w:color w:val="auto"/>
        </w:rPr>
      </w:pPr>
    </w:p>
    <w:p>
      <w:pPr>
        <w:ind w:left="1260" w:right="920" w:firstLine="360"/>
        <w:spacing w:after="0" w:line="256"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06" w:lineRule="exact"/>
        <w:rPr>
          <w:sz w:val="20"/>
          <w:szCs w:val="20"/>
          <w:color w:val="auto"/>
        </w:rPr>
      </w:pPr>
    </w:p>
    <w:p>
      <w:pPr>
        <w:ind w:left="1260" w:right="800" w:firstLine="360"/>
        <w:spacing w:after="0" w:line="259"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or the six months ended July 2, 2022, due to our hedging services agreement with Intel.</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left="1260" w:right="1120" w:firstLine="360"/>
        <w:spacing w:after="0" w:line="275" w:lineRule="auto"/>
        <w:rPr>
          <w:sz w:val="20"/>
          <w:szCs w:val="20"/>
          <w:color w:val="auto"/>
        </w:rPr>
      </w:pPr>
      <w:r>
        <w:rPr>
          <w:rFonts w:ascii="Times New Roman" w:cs="Times New Roman" w:eastAsia="Times New Roman" w:hAnsi="Times New Roman"/>
          <w:sz w:val="18"/>
          <w:szCs w:val="18"/>
          <w:color w:val="auto"/>
        </w:rPr>
        <w:t>The application of our accounting policies may require us to make assumptions and estimates about future events and apply judgments that affect the reported amounts of assets, liabilities, revenue and expense,</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4" w:lineRule="auto"/>
        <w:rPr>
          <w:sz w:val="20"/>
          <w:szCs w:val="20"/>
          <w:color w:val="auto"/>
        </w:rPr>
      </w:pPr>
      <w:r>
        <w:rPr>
          <w:rFonts w:ascii="Times New Roman" w:cs="Times New Roman" w:eastAsia="Times New Roman" w:hAnsi="Times New Roman"/>
          <w:sz w:val="18"/>
          <w:szCs w:val="18"/>
          <w:color w:val="auto"/>
        </w:rPr>
        <w:t>and the accompanying disclosures. We base our assumptions, estimates and judgments on historical experience, current trends and other factors that management believes to be relevant at the time the estimate was made.</w:t>
      </w:r>
    </w:p>
    <w:p>
      <w:pPr>
        <w:spacing w:after="0" w:line="3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 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327"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0"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we performed a quantitative impairment test at the reporting unit level, which had</w:t>
      </w:r>
    </w:p>
    <w:p>
      <w:pPr>
        <w:spacing w:after="0" w:line="27"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$111 million of allocated goodwill as of December 25, 2021. As of December 25, 2021, the reporting unit was not at risk of failing the quantitative impairment test and the fair value of the reporting unit substantially exceeded its carrying amount. As of July 2, 2022, no indicators of impairment were identified.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combined financial statements included elsewhere in this prospectus for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TAM to be approximately $ 16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 -term TAM as the market size in or about 2030. The TAM combines market opportunities in ADAS and AV, including AMaaS.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2021. For the six months ended July 2, 2022 and June 26, 2021, our revenue was $854 million and $704</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million, respectively, representing period-over-period growth of 21%. We currently derive substantially all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revenue from our commercially deployed ADAS solutions. We recorded net losses of $75 million,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$196 million, and $328 million in 2021, 2020, and 2019, respectively. We recorded a net loss of $67 million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net income of $4 million in the six months ended July 2, 2022 and June 26, 2021, respectively. Our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Adjusted Net Income for 2021, 2020 and 2019 was $474 million, $289 million, and $51 million,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respectively. Our Adjusted Net Income for the six months ended July 2, 2022 and June 26, 2021 was $276</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million and $270 million, respectively.</w:t>
      </w:r>
    </w:p>
    <w:p>
      <w:pPr>
        <w:spacing w:after="0" w:line="124" w:lineRule="exact"/>
        <w:rPr>
          <w:sz w:val="20"/>
          <w:szCs w:val="20"/>
          <w:color w:val="auto"/>
        </w:rPr>
      </w:pPr>
    </w:p>
    <w:p>
      <w:pPr>
        <w:ind w:left="1260" w:right="539" w:firstLine="360"/>
        <w:spacing w:after="0" w:line="213" w:lineRule="exact"/>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week fiscal year while 2021, 2020, and 2019 are 52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2" w:lineRule="auto"/>
        <w:rPr>
          <w:sz w:val="20"/>
          <w:szCs w:val="20"/>
          <w:color w:val="auto"/>
        </w:rPr>
      </w:pPr>
      <w:r>
        <w:rPr>
          <w:rFonts w:ascii="Times New Roman" w:cs="Times New Roman" w:eastAsia="Times New Roman" w:hAnsi="Times New Roman"/>
          <w:sz w:val="18"/>
          <w:szCs w:val="18"/>
          <w:color w:val="auto"/>
        </w:rPr>
        <w:t>As of July 2, 2022 and October 1, 2022, our solutions had been installed in approximately 800 vehicle models (including local country, year, and other vehicle model variations), and our SoCs had been deployed in over 117 million and 125 million, respectively, vehicles. We are actively working with more than 50 OEMs worldwide on the implementation of our ADAS solutions, and we announced over 40 new design wins in 2021 alone. In the first half of 2022 and in the nine months ended October 1, 2022, we shipped approximately 15.9 million and 24.0 million, respectively, of our SoCs. This represents an increase from the approximately 14.4 million and 21.2 million of our SoCs that we shipped in the first half and first</w:t>
      </w:r>
    </w:p>
    <w:p>
      <w:pPr>
        <w:spacing w:after="0" w:line="3"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nine months, respectively, of 2021. In 2021, 2020, and 2019, we shipped approximately 28.1 million, 19.7 million, and 17.5 million, respectively, of our SoCs. We estimate, based on our existing design wins through July 2, 2022 and October 1, 2022, that our ADAS solutions will be deployed in more than an additional</w:t>
      </w:r>
    </w:p>
    <w:p>
      <w:pPr>
        <w:spacing w:after="0" w:line="2" w:lineRule="exact"/>
        <w:rPr>
          <w:sz w:val="20"/>
          <w:szCs w:val="20"/>
          <w:color w:val="auto"/>
        </w:rPr>
      </w:pPr>
    </w:p>
    <w:p>
      <w:pPr>
        <w:ind w:left="1260" w:right="459"/>
        <w:spacing w:after="0" w:line="265" w:lineRule="auto"/>
        <w:rPr>
          <w:sz w:val="20"/>
          <w:szCs w:val="20"/>
          <w:color w:val="auto"/>
        </w:rPr>
      </w:pPr>
      <w:r>
        <w:rPr>
          <w:rFonts w:ascii="Times New Roman" w:cs="Times New Roman" w:eastAsia="Times New Roman" w:hAnsi="Times New Roman"/>
          <w:sz w:val="18"/>
          <w:szCs w:val="18"/>
          <w:color w:val="auto"/>
        </w:rPr>
        <w:t>266 million and 270 million, respectively, vehicles by 2030, including approximately 37 million and 54 million vehicles based on our first half 2022 design wins and 2022 design wins through October 1, 2022, respectively,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October 1, 2022.</w:t>
      </w:r>
    </w:p>
    <w:p>
      <w:pPr>
        <w:spacing w:after="0" w:line="338"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108" w:lineRule="exact"/>
        <w:rPr>
          <w:sz w:val="20"/>
          <w:szCs w:val="20"/>
          <w:color w:val="auto"/>
        </w:rPr>
      </w:pPr>
    </w:p>
    <w:p>
      <w:pPr>
        <w:ind w:left="1800" w:right="439" w:hanging="180"/>
        <w:spacing w:after="0" w:line="228"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84" w:lineRule="exact"/>
        <w:rPr>
          <w:rFonts w:ascii="Times New Roman" w:cs="Times New Roman" w:eastAsia="Times New Roman" w:hAnsi="Times New Roman"/>
          <w:sz w:val="18"/>
          <w:szCs w:val="18"/>
          <w:color w:val="auto"/>
        </w:rPr>
      </w:pPr>
    </w:p>
    <w:p>
      <w:pPr>
        <w:ind w:left="1800" w:right="439" w:hanging="180"/>
        <w:spacing w:after="0" w:line="21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generates AV maps from crowd-sourced data that is uploaded and analyzed in the cloud from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production ADAS solutions that are deployed on vehicles on the road;</w:t>
      </w:r>
    </w:p>
    <w:p>
      <w:pPr>
        <w:spacing w:after="0" w:line="82" w:lineRule="exact"/>
        <w:rPr>
          <w:rFonts w:ascii="Times New Roman" w:cs="Times New Roman" w:eastAsia="Times New Roman" w:hAnsi="Times New Roman"/>
          <w:sz w:val="18"/>
          <w:szCs w:val="18"/>
          <w:color w:val="auto"/>
        </w:rPr>
      </w:pPr>
    </w:p>
    <w:p>
      <w:pPr>
        <w:ind w:left="1800" w:right="559" w:hanging="180"/>
        <w:spacing w:after="0" w:line="24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102"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9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3660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84" w:lineRule="exact"/>
        <w:rPr>
          <w:sz w:val="20"/>
          <w:szCs w:val="20"/>
          <w:color w:val="auto"/>
        </w:rPr>
      </w:pPr>
    </w:p>
    <w:p>
      <w:pPr>
        <w:ind w:left="1800" w:right="89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40"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40"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60" w:right="439" w:firstLine="360"/>
        <w:spacing w:after="0" w:line="222"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6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19" w:lineRule="exact"/>
        <w:rPr>
          <w:sz w:val="20"/>
          <w:szCs w:val="20"/>
          <w:color w:val="auto"/>
        </w:rPr>
      </w:pPr>
    </w:p>
    <w:p>
      <w:pPr>
        <w:ind w:left="1800" w:right="559"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spacing w:after="0" w:line="282" w:lineRule="auto"/>
        <w:rPr>
          <w:sz w:val="20"/>
          <w:szCs w:val="20"/>
          <w:color w:val="auto"/>
        </w:rPr>
      </w:pPr>
      <w:r>
        <w:rPr>
          <w:rFonts w:ascii="Times New Roman" w:cs="Times New Roman" w:eastAsia="Times New Roman" w:hAnsi="Times New Roman"/>
          <w:sz w:val="18"/>
          <w:szCs w:val="18"/>
          <w:color w:val="auto"/>
        </w:rPr>
        <w:t>drive without the limitations of pre-mapped geofenced zones. These AV maps will support our efforts to deploy in new cities and geographies quickly;</w:t>
      </w:r>
    </w:p>
    <w:p>
      <w:pPr>
        <w:spacing w:after="0" w:line="1" w:lineRule="exact"/>
        <w:rPr>
          <w:sz w:val="20"/>
          <w:szCs w:val="20"/>
          <w:color w:val="auto"/>
        </w:rPr>
      </w:pPr>
    </w:p>
    <w:p>
      <w:pPr>
        <w:ind w:left="1800" w:right="479" w:hanging="180"/>
        <w:spacing w:after="0" w:line="215"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announced 6Lite, and 6High, cover the entire spectrum of our ADAS solutions portfolio, and our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monolithic “AV-on-Chip”, covers our autonomous driving solutions portfolio;</w:t>
      </w:r>
    </w:p>
    <w:p>
      <w:pPr>
        <w:spacing w:after="0" w:line="7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of October 1,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w:t>
      </w:r>
    </w:p>
    <w:p>
      <w:pPr>
        <w:ind w:left="1260"/>
        <w:spacing w:after="0" w:line="238" w:lineRule="auto"/>
        <w:rPr>
          <w:sz w:val="20"/>
          <w:szCs w:val="20"/>
          <w:color w:val="auto"/>
        </w:rPr>
      </w:pPr>
      <w:r>
        <w:rPr>
          <w:rFonts w:ascii="Times New Roman" w:cs="Times New Roman" w:eastAsia="Times New Roman" w:hAnsi="Times New Roman"/>
          <w:sz w:val="18"/>
          <w:szCs w:val="18"/>
          <w:color w:val="auto"/>
        </w:rPr>
        <w:t>54 million vehicles based on our of 2022 design wins through October 1, 2022 and approximately</w:t>
      </w:r>
    </w:p>
    <w:p>
      <w:pPr>
        <w:ind w:left="1260" w:right="539"/>
        <w:spacing w:after="0"/>
        <w:rPr>
          <w:sz w:val="20"/>
          <w:szCs w:val="20"/>
          <w:color w:val="auto"/>
        </w:rPr>
      </w:pPr>
      <w:r>
        <w:rPr>
          <w:rFonts w:ascii="Times New Roman" w:cs="Times New Roman" w:eastAsia="Times New Roman" w:hAnsi="Times New Roman"/>
          <w:sz w:val="18"/>
          <w:szCs w:val="18"/>
          <w:color w:val="auto"/>
        </w:rPr>
        <w:t>50 million vehicles based on our 2021 design wins. We currently ship a variety of ADAS solutions to 13 of the 15 largest automakers in the world in addition to many smaller OEMs, and we are recognized for our top-rated safety solutions globally. For example, 66% of Euro NCAP 5-star rated vehicle models for 2018-2021 are equipped with our solutions, with the Euro NCAP widely recognized as the most stringent in regulating automotive safety, and many other regional NCAPs following its leadership.</w:t>
      </w:r>
    </w:p>
    <w:p>
      <w:pPr>
        <w:spacing w:after="0" w:line="94" w:lineRule="exact"/>
        <w:rPr>
          <w:sz w:val="20"/>
          <w:szCs w:val="20"/>
          <w:color w:val="auto"/>
        </w:rPr>
      </w:pPr>
    </w:p>
    <w:p>
      <w:pPr>
        <w:ind w:left="1260" w:right="67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102870</wp:posOffset>
            </wp:positionV>
            <wp:extent cx="5109210" cy="1680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092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ECU</w:t>
      </w:r>
    </w:p>
    <w:p>
      <w:pPr>
        <w:sectPr>
          <w:pgSz w:w="11900" w:h="16838" w:orient="portrait"/>
          <w:cols w:equalWidth="0" w:num="1">
            <w:col w:w="9879"/>
          </w:cols>
          <w:pgMar w:left="580" w:top="97" w:right="1440" w:bottom="1440" w:gutter="0" w:footer="0" w:header="0"/>
        </w:sectPr>
      </w:pPr>
    </w:p>
    <w:p>
      <w:pPr>
        <w:spacing w:after="0" w:line="2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20" w:lineRule="auto"/>
        <w:rPr>
          <w:sz w:val="20"/>
          <w:szCs w:val="20"/>
          <w:color w:val="auto"/>
        </w:rPr>
      </w:pPr>
      <w:r>
        <w:rPr>
          <w:rFonts w:ascii="Times New Roman" w:cs="Times New Roman" w:eastAsia="Times New Roman" w:hAnsi="Times New Roman"/>
          <w:sz w:val="18"/>
          <w:szCs w:val="18"/>
          <w:color w:val="auto"/>
        </w:rPr>
        <w:t>architecture, thereby supporting a variety of ADAS solution architectures. These solutions range from base, windshield mounted ECUs to multi-SoC central compute ECUs as well as our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expected to be capable of hosting the full workload of autonomous driving under stringent cost and power efficiency metrics.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and subsequent generations feature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 end-to-end SDK intended to enable the co-hosting of our partners’ and customers’ workloads alongside our cutting-edge AI technologies.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evolution of our core competencies and differentiated central compute knowhow.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used by several OEMs and Tier 1s, and hosts third-party content such as driver monitoring systems, parking functions, and visualization features. Our end-to-end software model encourages our customers to innovate on top of our platform, augmenting and differentiating their offerings, while benefiting from our cutting-edge, verified, and validated core ADAS capabilities. Importantly,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128905</wp:posOffset>
            </wp:positionV>
            <wp:extent cx="4954905" cy="24085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549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Road Experience Management</w:t>
      </w:r>
      <w:r>
        <w:rPr>
          <w:rFonts w:ascii="Times New Roman" w:cs="Times New Roman" w:eastAsia="Times New Roman" w:hAnsi="Times New Roman"/>
          <w:sz w:val="26"/>
          <w:szCs w:val="26"/>
          <w:i w:val="1"/>
          <w:iCs w:val="1"/>
          <w:color w:val="auto"/>
          <w:vertAlign w:val="superscript"/>
        </w:rPr>
        <w:t>™</w:t>
      </w:r>
    </w:p>
    <w:p>
      <w:pPr>
        <w:spacing w:after="0" w:line="68" w:lineRule="exact"/>
        <w:rPr>
          <w:sz w:val="20"/>
          <w:szCs w:val="20"/>
          <w:color w:val="auto"/>
        </w:rPr>
      </w:pPr>
    </w:p>
    <w:p>
      <w:pPr>
        <w:ind w:left="1260" w:right="419" w:firstLine="360"/>
        <w:spacing w:after="0" w:line="212" w:lineRule="auto"/>
        <w:rPr>
          <w:sz w:val="20"/>
          <w:szCs w:val="20"/>
          <w:color w:val="auto"/>
        </w:rPr>
      </w:pPr>
      <w:r>
        <w:rPr>
          <w:rFonts w:ascii="Times New Roman" w:cs="Times New Roman" w:eastAsia="Times New Roman" w:hAnsi="Times New Roman"/>
          <w:sz w:val="18"/>
          <w:szCs w:val="18"/>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cloud-based system that leverages the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vehicles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crowd-sourced, high-definition maps of roads from around the world.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harvests Road Segment Data from millions of vehicles in small packets that have been launched by our partner OEMs since 2018 that are equipped with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seamlessly creates high-precision AV maps in the cloud at centimeter detail, which are then delivered to the edge to provide vehicles with real-time intelligence, including situational awareness, context, and foresight.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As of July 2, 2022, we had collected 8.6 billion miles of road data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and were analyzing up to</w:t>
      </w:r>
    </w:p>
    <w:p>
      <w:pPr>
        <w:spacing w:after="0" w:line="4" w:lineRule="exact"/>
        <w:rPr>
          <w:sz w:val="20"/>
          <w:szCs w:val="20"/>
          <w:color w:val="auto"/>
        </w:rPr>
      </w:pPr>
    </w:p>
    <w:p>
      <w:pPr>
        <w:ind w:left="1260" w:right="699"/>
        <w:spacing w:after="0" w:line="241" w:lineRule="auto"/>
        <w:rPr>
          <w:sz w:val="20"/>
          <w:szCs w:val="20"/>
          <w:color w:val="auto"/>
        </w:rPr>
      </w:pPr>
      <w:r>
        <w:rPr>
          <w:rFonts w:ascii="Times New Roman" w:cs="Times New Roman" w:eastAsia="Times New Roman" w:hAnsi="Times New Roman"/>
          <w:sz w:val="18"/>
          <w:szCs w:val="18"/>
          <w:color w:val="auto"/>
        </w:rPr>
        <w:t>43 million miles of road data per day, with the size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fleet increasing daily. Over the last six months alone, we estimate that the data we have accumulated covers over 90% and 80% of the approximately 0.8 million miles of motorway, trunk, and primary road types in each of the United States and Europe, respectively. This data enables us to create robust high definition maps to support solutions across the product spectrum</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879"/>
        <w:spacing w:after="0" w:line="229" w:lineRule="auto"/>
        <w:rPr>
          <w:sz w:val="20"/>
          <w:szCs w:val="20"/>
          <w:color w:val="auto"/>
        </w:rPr>
      </w:pPr>
      <w:r>
        <w:rPr>
          <w:rFonts w:ascii="Times New Roman" w:cs="Times New Roman" w:eastAsia="Times New Roman" w:hAnsi="Times New Roman"/>
          <w:sz w:val="18"/>
          <w:szCs w:val="18"/>
          <w:color w:val="auto"/>
        </w:rPr>
        <w:t>from cloud-enhanced ADAS to Mobileye SuperVision Lite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34290</wp:posOffset>
            </wp:positionV>
            <wp:extent cx="4954905" cy="61296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954905" cy="6129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right="559" w:firstLine="360"/>
        <w:spacing w:after="0" w:line="236" w:lineRule="auto"/>
        <w:rPr>
          <w:sz w:val="20"/>
          <w:szCs w:val="20"/>
          <w:color w:val="auto"/>
        </w:rPr>
      </w:pPr>
      <w:r>
        <w:rPr>
          <w:rFonts w:ascii="Times New Roman" w:cs="Times New Roman" w:eastAsia="Times New Roman" w:hAnsi="Times New Roman"/>
          <w:sz w:val="18"/>
          <w:szCs w:val="18"/>
          <w:color w:val="auto"/>
        </w:rPr>
        <w:t>By augmenting our base ADAS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have pioneered the new ADAS category of cloud-enhanced ADAS, which we call Cloud-Enhanced Driver Assist. Cloud-Enhanced Driver Assist includes an in-path driver assist function capable of:</w:t>
      </w:r>
    </w:p>
    <w:p>
      <w:pPr>
        <w:spacing w:after="0" w:line="63" w:lineRule="exact"/>
        <w:rPr>
          <w:sz w:val="20"/>
          <w:szCs w:val="20"/>
          <w:color w:val="auto"/>
        </w:rPr>
      </w:pPr>
    </w:p>
    <w:p>
      <w:pPr>
        <w:ind w:left="1800" w:right="4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Laterally controlling the vehicle to accurately track the driving path even in cases where lane markings are poorly marked, partly visible, or completely absent (for example, while driving through intersections);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5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True Redundancy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Our Unique Sensor Fusion Architecture</w:t>
      </w:r>
    </w:p>
    <w:p>
      <w:pPr>
        <w:spacing w:after="0" w:line="68"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Our unique architecture design, called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We have announced a robotaxi with a unified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including radar and lidar subsystems, and we expect this vehicle to be on the road in 2022, subject to regulatory approval. In 2021, we announced the expected initial commercial deployment of our AMaaS offering in Munich and Tel Aviv together with Moovit in addition to our current testing sites in China, Israel, Detroit, Miami, Munich, Paris, Stuttgart and Tokyo.</w:t>
      </w:r>
    </w:p>
    <w:p>
      <w:pPr>
        <w:spacing w:after="0" w:line="100" w:lineRule="exact"/>
        <w:rPr>
          <w:sz w:val="20"/>
          <w:szCs w:val="20"/>
          <w:color w:val="auto"/>
        </w:rPr>
      </w:pPr>
    </w:p>
    <w:p>
      <w:pPr>
        <w:ind w:left="1260" w:right="479" w:firstLine="360"/>
        <w:spacing w:after="0" w:line="228" w:lineRule="auto"/>
        <w:rPr>
          <w:sz w:val="20"/>
          <w:szCs w:val="20"/>
          <w:color w:val="auto"/>
        </w:rPr>
      </w:pPr>
      <w:r>
        <w:rPr>
          <w:rFonts w:ascii="Times New Roman" w:cs="Times New Roman" w:eastAsia="Times New Roman" w:hAnsi="Times New Roman"/>
          <w:sz w:val="18"/>
          <w:szCs w:val="18"/>
          <w:color w:val="auto"/>
        </w:rPr>
        <w:t>A byproduct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launched by 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enables us to considerably enhance the evolution of ADAS from front-facing camera solutions to a full surround multi-camera solution supporting fully operational “eyes-on” functions.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The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Our AV maps provide areas of potential dangers (such as lane merges, traffic lights and occluded pedestrians) and adjust the driving accordingly, while RSS provides human-like decisions enabled by surround (360) sensing and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 We believe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260"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In addition, the autonomous driving-ADAS interplay rooted in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35"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30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with two separate subsystems combines both cameras and software-defined imaging radar around the vehicle, with a single front-facing lidar for three-way redundancy, which will be powered by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AV-on-Chip. This unique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designed to bring the cost structure of a full self-driving system to a consumer level by having the imaging radars replace the multiple, expensive lidars around the vehicle and require only a single front-facing lidar, enabling “eyes-off/hands-free” Level 4 autonomous solutions to be launched at scale. Until completion of development of our software-defined imaging radar, we expect the implementation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to employ third-party lidars and commercially available radars.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51866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54905" cy="518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920" w:right="639"/>
        <w:spacing w:after="0"/>
        <w:rPr>
          <w:sz w:val="20"/>
          <w:szCs w:val="20"/>
          <w:color w:val="auto"/>
        </w:rPr>
      </w:pPr>
      <w:r>
        <w:rPr>
          <w:rFonts w:ascii="Times New Roman" w:cs="Times New Roman" w:eastAsia="Times New Roman" w:hAnsi="Times New Roman"/>
          <w:sz w:val="14"/>
          <w:szCs w:val="14"/>
          <w:color w:val="auto"/>
        </w:rPr>
        <w:t>Represents commercially deployed solutions (Driver Assist, Cloud-Enhanced Driver Assist and Mobileye SuperVision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solutions that we expect to be commercially deployed in the future (Mobileye Chauffeur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Mobileye Drive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AMaaS).</w:t>
      </w:r>
    </w:p>
    <w:p>
      <w:pPr>
        <w:spacing w:after="0" w:line="220" w:lineRule="exact"/>
        <w:rPr>
          <w:sz w:val="20"/>
          <w:szCs w:val="20"/>
          <w:color w:val="auto"/>
        </w:rPr>
      </w:pPr>
    </w:p>
    <w:p>
      <w:pPr>
        <w:ind w:left="1260" w:right="419" w:firstLine="360"/>
        <w:spacing w:after="0" w:line="215"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The first generation will be based on six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5High SoCs, and future generations will be powered by three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6 High SoCs or one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We believe that this design win is an early sign of broad interest in consumer-level “eyes-off/hands-free” driving.</w:t>
      </w:r>
    </w:p>
    <w:p>
      <w:pPr>
        <w:spacing w:after="0" w:line="96" w:lineRule="exact"/>
        <w:rPr>
          <w:sz w:val="20"/>
          <w:szCs w:val="20"/>
          <w:color w:val="auto"/>
        </w:rPr>
      </w:pPr>
    </w:p>
    <w:p>
      <w:pPr>
        <w:ind w:left="1260" w:right="619" w:firstLine="360"/>
        <w:spacing w:after="0"/>
        <w:rPr>
          <w:sz w:val="20"/>
          <w:szCs w:val="20"/>
          <w:color w:val="auto"/>
        </w:rPr>
      </w:pPr>
      <w:r>
        <w:rPr>
          <w:rFonts w:ascii="Times New Roman" w:cs="Times New Roman" w:eastAsia="Times New Roman" w:hAnsi="Times New Roman"/>
          <w:sz w:val="18"/>
          <w:szCs w:val="18"/>
          <w:color w:val="auto"/>
        </w:rPr>
        <w:t>Building upon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targets the consumer-owned AV market, we are developing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self-driving system targeted for fleet-owned AMaaS and goods delivery networks. While these markets are still nascent, we view the potential use of autonomous driving technology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color w:val="auto"/>
        </w:rPr>
        <w:t>by the operators of passenger and goods transportation networks as unlocking significant efficiencies and 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83"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Self-Driving System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our core autonomous driving technologies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05" w:lineRule="exact"/>
        <w:rPr>
          <w:sz w:val="20"/>
          <w:szCs w:val="20"/>
          <w:color w:val="auto"/>
        </w:rPr>
      </w:pPr>
    </w:p>
    <w:p>
      <w:pPr>
        <w:ind w:left="1800" w:right="459" w:hanging="180"/>
        <w:spacing w:after="0" w:line="28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 cost-efficient, low-energy, purpose-built central compute processors; imaging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radars targeted to reduce the need for multiple lidar units and require only a single front-facing lidar;</w:t>
      </w:r>
    </w:p>
    <w:p>
      <w:pPr>
        <w:spacing w:after="0" w:line="42" w:lineRule="exact"/>
        <w:rPr>
          <w:rFonts w:ascii="Times New Roman" w:cs="Times New Roman" w:eastAsia="Times New Roman" w:hAnsi="Times New Roman"/>
          <w:sz w:val="18"/>
          <w:szCs w:val="18"/>
          <w:color w:val="auto"/>
        </w:rPr>
      </w:pPr>
    </w:p>
    <w:p>
      <w:pPr>
        <w:ind w:left="1800" w:right="459" w:hanging="180"/>
        <w:spacing w:after="0" w:line="239"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Scalability</w:t>
      </w:r>
      <w:r>
        <w:rPr>
          <w:rFonts w:ascii="Times New Roman" w:cs="Times New Roman" w:eastAsia="Times New Roman" w:hAnsi="Times New Roman"/>
          <w:sz w:val="18"/>
          <w:szCs w:val="18"/>
          <w:color w:val="auto"/>
        </w:rPr>
        <w:t> —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-based AV maps that eliminate the need for dedicated high-definition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82" w:lineRule="exact"/>
        <w:rPr>
          <w:rFonts w:ascii="Times New Roman" w:cs="Times New Roman" w:eastAsia="Times New Roman" w:hAnsi="Times New Roman"/>
          <w:sz w:val="18"/>
          <w:szCs w:val="18"/>
          <w:color w:val="auto"/>
        </w:rPr>
      </w:pPr>
    </w:p>
    <w:p>
      <w:pPr>
        <w:ind w:left="1800" w:right="599"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Validation</w:t>
      </w:r>
      <w:r>
        <w:rPr>
          <w:rFonts w:ascii="Times New Roman" w:cs="Times New Roman" w:eastAsia="Times New Roman" w:hAnsi="Times New Roman"/>
          <w:sz w:val="18"/>
          <w:szCs w:val="18"/>
          <w:color w:val="auto"/>
        </w:rPr>
        <w:t> —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independent, separate perception subsystems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robustness and ease of validation, RSS used by international bodies that are currently developing standards with respect to the safety of AV.</w:t>
      </w:r>
    </w:p>
    <w:p>
      <w:pPr>
        <w:spacing w:after="0" w:line="12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Mobility Intelligence Platform, Demand and Services</w:t>
      </w:r>
      <w:r>
        <w:rPr>
          <w:rFonts w:ascii="Times New Roman" w:cs="Times New Roman" w:eastAsia="Times New Roman" w:hAnsi="Times New Roman"/>
          <w:sz w:val="18"/>
          <w:szCs w:val="18"/>
          <w:color w:val="auto"/>
        </w:rPr>
        <w:t> — We provide this layer through Moovit,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urban mobility app and MaaS solutions provider, which was acquired by Intel in 2020 to support the Mobileye business and which will become wholly owned by us as part of the Reorganization. As of July 2, 2022, Moovit had more than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09" w:lineRule="exact"/>
        <w:rPr>
          <w:sz w:val="20"/>
          <w:szCs w:val="20"/>
          <w:color w:val="auto"/>
        </w:rPr>
      </w:pPr>
    </w:p>
    <w:p>
      <w:pPr>
        <w:ind w:left="1260" w:right="479" w:firstLine="36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Demand and Rider Experience</w:t>
      </w:r>
      <w:r>
        <w:rPr>
          <w:rFonts w:ascii="Times New Roman" w:cs="Times New Roman" w:eastAsia="Times New Roman" w:hAnsi="Times New Roman"/>
          <w:sz w:val="18"/>
          <w:szCs w:val="18"/>
          <w:color w:val="auto"/>
        </w:rPr>
        <w:t> — Moovit’s global user base also provides a ready consumer base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business-to-business customers. It also provides the necessary service and user-base layer within our own AMaaS solution.</w:t>
      </w:r>
    </w:p>
    <w:p>
      <w:pPr>
        <w:spacing w:after="0" w:line="10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09" w:lineRule="exact"/>
        <w:rPr>
          <w:sz w:val="20"/>
          <w:szCs w:val="20"/>
          <w:color w:val="auto"/>
        </w:rPr>
      </w:pPr>
    </w:p>
    <w:p>
      <w:pPr>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569595</wp:posOffset>
            </wp:positionV>
            <wp:extent cx="3128645" cy="27946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believe that the path to full autonomy at scale will begin with increased proliferation of the middle category —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125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1088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549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Models for AV Adoption</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we believe consumer-owned and operated AVs will fundamentally change how individuals utilize their vehicles. Today, cars are in operation for an average of only approximately one hour per day, 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 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00" w:right="539" w:hanging="180"/>
        <w:spacing w:after="0" w:line="265"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 Regulation is an often-overlooked factor. While laws and regulations are specific to human drivers, there are challenges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3" w:lineRule="auto"/>
        <w:rPr>
          <w:sz w:val="20"/>
          <w:szCs w:val="20"/>
          <w:color w:val="auto"/>
        </w:rPr>
      </w:pPr>
      <w:r>
        <w:rPr>
          <w:rFonts w:ascii="Times New Roman" w:cs="Times New Roman" w:eastAsia="Times New Roman" w:hAnsi="Times New Roman"/>
          <w:sz w:val="18"/>
          <w:szCs w:val="18"/>
          <w:color w:val="auto"/>
        </w:rPr>
        <w:t>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79" w:lineRule="exact"/>
        <w:rPr>
          <w:sz w:val="20"/>
          <w:szCs w:val="20"/>
          <w:color w:val="auto"/>
        </w:rPr>
      </w:pPr>
    </w:p>
    <w:p>
      <w:pPr>
        <w:ind w:left="1800" w:right="439" w:hanging="180"/>
        <w:spacing w:after="0" w:line="25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88"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The cost of a self-driving system commonly employed by robotaxis, with its cameras, radars,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60" w:right="459" w:firstLine="360"/>
        <w:spacing w:after="0" w:line="231"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We will be adding a new innovative Premium ADAS Solution, SuperVision™ Lite, which will utilize the SuperVision™ software stack with a scaled-down sensor suite and an ECU that will include in the future one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6 High SoC. This solution will enable eyes-on/hands-free driving on highway road types (as compared to SuperVision™ which is expected to operate on various road types), next-generation automated parking functions, and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Kit support, which will enable customers to deploy internally-developed software components on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while benefiting from our industry-leading technology platform. Additionally, by leveraging Mobileye SuperVision’s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full-surround computer vision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developing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consumer AV solution with a human driver still in the driver’s seat that may require driver intervention in certain situations,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autonomous driving solution. Together with Moovit’s urban mobility and transit application and its global user base, we are developing our own AMaaS offering for consumers built upon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current offerings to Tier 1 and OEM customers do not include cameras, radars, lidar systems, or other sensors (except in particular cases). We intend in the future to offer radar and lidar products that are currently in development stages.</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End-to-End ADAS and AV 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Driver Assist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Cloud-Enhanced Driver Assist</w:t>
      </w:r>
    </w:p>
    <w:p>
      <w:pPr>
        <w:spacing w:after="0" w:line="162" w:lineRule="exact"/>
        <w:rPr>
          <w:sz w:val="20"/>
          <w:szCs w:val="20"/>
          <w:color w:val="auto"/>
        </w:rPr>
      </w:pPr>
    </w:p>
    <w:p>
      <w:pPr>
        <w:ind w:left="1260" w:right="419" w:firstLine="360"/>
        <w:spacing w:after="0" w:line="236" w:lineRule="auto"/>
        <w:rPr>
          <w:sz w:val="20"/>
          <w:szCs w:val="20"/>
          <w:color w:val="auto"/>
        </w:rPr>
      </w:pPr>
      <w:r>
        <w:rPr>
          <w:rFonts w:ascii="Times New Roman" w:cs="Times New Roman" w:eastAsia="Times New Roman" w:hAnsi="Times New Roman"/>
          <w:sz w:val="18"/>
          <w:szCs w:val="18"/>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This additional input to the environmental model enhances speed and quality of the system’s decision-making. Our Cloud-Enhanced Driver Assist solution is category-defining and,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1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Cloud-Enhanced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106045</wp:posOffset>
            </wp:positionV>
            <wp:extent cx="5109210" cy="2091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092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Lite</w:t>
      </w:r>
    </w:p>
    <w:p>
      <w:pPr>
        <w:spacing w:after="0" w:line="104" w:lineRule="exact"/>
        <w:rPr>
          <w:sz w:val="20"/>
          <w:szCs w:val="20"/>
          <w:color w:val="auto"/>
        </w:rPr>
      </w:pPr>
    </w:p>
    <w:p>
      <w:pPr>
        <w:ind w:left="1260" w:right="459" w:firstLine="360"/>
        <w:spacing w:after="0" w:line="228" w:lineRule="auto"/>
        <w:rPr>
          <w:sz w:val="20"/>
          <w:szCs w:val="20"/>
          <w:color w:val="auto"/>
        </w:rPr>
      </w:pPr>
      <w:r>
        <w:rPr>
          <w:rFonts w:ascii="Times New Roman" w:cs="Times New Roman" w:eastAsia="Times New Roman" w:hAnsi="Times New Roman"/>
          <w:sz w:val="18"/>
          <w:szCs w:val="18"/>
          <w:color w:val="auto"/>
        </w:rPr>
        <w:t>Mobileye SuperVision™ Lite is our recently-introduced highway-only navigation and assisted driving solution with autonomous parking capabilities supported by our cloud-based enhancements such as REM™. Mobileye SuperVision™ Lite will utilize the SuperVision™ software stack, including our RSS policy model, and will be powered by a Mobileye ECU with one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6 SoC, which will process data from the customer’s third party sensor suite featuring six cameras and five radars. Such cameras are expeceted to consist of two long-range 8-megapixel cameras in the front and rear and four 3-megapixel parking cameras. Mobileye’s SuperVision™ Lite will offer eyes-on/hands-free assisted driving on highway road types, as well as automated lane changes, evasive maneuvering, and red traffic light braking, and will also include all core Driver Assist safety features. This offering is expected to include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Kit support, which will enable customers to deploy their own internally-developed software components on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while benefiting from our industry-leading technology platform.</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p>
    <w:p>
      <w:pPr>
        <w:spacing w:after="0" w:line="70" w:lineRule="exact"/>
        <w:rPr>
          <w:sz w:val="20"/>
          <w:szCs w:val="20"/>
          <w:color w:val="auto"/>
        </w:rPr>
      </w:pPr>
    </w:p>
    <w:p>
      <w:pPr>
        <w:ind w:left="1260" w:right="439" w:firstLine="360"/>
        <w:spacing w:after="0" w:line="202" w:lineRule="auto"/>
        <w:rPr>
          <w:sz w:val="20"/>
          <w:szCs w:val="20"/>
          <w:color w:val="auto"/>
        </w:rPr>
      </w:pPr>
      <w:r>
        <w:rPr>
          <w:rFonts w:ascii="Times New Roman" w:cs="Times New Roman" w:eastAsia="Times New Roman" w:hAnsi="Times New Roman"/>
          <w:sz w:val="18"/>
          <w:szCs w:val="18"/>
          <w:color w:val="auto"/>
        </w:rPr>
        <w:t>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Premium Driver Assist offering, is a point-to-point assisted driving navigation solution and includes cloud-based enhancements such as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supports OTA updates.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our RSS policy model and supports 360-degree surround sensing with 11 cameras powered by a turnkey ECU with two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5 or, in the future, two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6 SoCs. Furthermore, in addition to supervised point-to-point assisted driving,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capable of changing lanes, managing priorities, and turning in intersections as well as engaging in automated parking, preventative steering, and braking, and other Driver Assist features. Our validated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enables the full spectrum of L3/L4 capabilities for OEMs as the foundational technology for these solutions. The</w:t>
      </w:r>
    </w:p>
    <w:p>
      <w:pPr>
        <w:spacing w:after="0" w:line="4" w:lineRule="exact"/>
        <w:rPr>
          <w:sz w:val="20"/>
          <w:szCs w:val="20"/>
          <w:color w:val="auto"/>
        </w:rPr>
      </w:pPr>
    </w:p>
    <w:p>
      <w:pPr>
        <w:ind w:left="1260" w:right="419"/>
        <w:spacing w:after="0" w:line="228" w:lineRule="auto"/>
        <w:rPr>
          <w:sz w:val="20"/>
          <w:szCs w:val="20"/>
          <w:color w:val="auto"/>
        </w:rPr>
      </w:pPr>
      <w:r>
        <w:rPr>
          <w:rFonts w:ascii="Times New Roman" w:cs="Times New Roman" w:eastAsia="Times New Roman" w:hAnsi="Times New Roman"/>
          <w:sz w:val="18"/>
          <w:szCs w:val="18"/>
          <w:color w:val="auto"/>
        </w:rPr>
        <w:t>11 cameras (seven long range cameras and four parking cameras) provide full surround coverage and consist of 8-megapixel 120-degree and 28-degree cameras in the front, four 100-degree corner 8-megapixel cameras (two front-facing and two rear-facing), a 60-degree rear 8-megapixel camera and four wide-view 192-degree parking cameras mounted on the side mirrors and front and rear bumpers. The mapping is powered by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create a 360-degree environmental model, and RSS constrains the driving decisions to be compliant with an underlying formally proven model for safe driving decisions. This offering also includes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Kit support, which will enable customers to deploy their own internally-developed software on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while benefiting from our industry-leading technology platform.</w:t>
      </w:r>
    </w:p>
    <w:p>
      <w:pPr>
        <w:spacing w:after="0" w:line="63" w:lineRule="exact"/>
        <w:rPr>
          <w:sz w:val="20"/>
          <w:szCs w:val="20"/>
          <w:color w:val="auto"/>
        </w:rPr>
      </w:pPr>
    </w:p>
    <w:p>
      <w:pPr>
        <w:ind w:left="1260" w:right="459" w:firstLine="360"/>
        <w:spacing w:after="0" w:line="215" w:lineRule="auto"/>
        <w:rPr>
          <w:sz w:val="20"/>
          <w:szCs w:val="20"/>
          <w:color w:val="auto"/>
        </w:rPr>
      </w:pPr>
      <w:r>
        <w:rPr>
          <w:rFonts w:ascii="Times New Roman" w:cs="Times New Roman" w:eastAsia="Times New Roman" w:hAnsi="Times New Roman"/>
          <w:sz w:val="18"/>
          <w:szCs w:val="18"/>
          <w:color w:val="auto"/>
        </w:rPr>
        <w:t>The first series production launch of this offering occurred in 2021 as Geely Group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A series of over-the-air updates added premium highway-assist features in 2022 and the full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capability is expected to be implemented by the end of 2022 when high-definition mapping is integrated through an over-the-air update.</w:t>
      </w:r>
    </w:p>
    <w:p>
      <w:pPr>
        <w:spacing w:after="0" w:line="119"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Successful productization with ZEEKR, in addition to multiple long-distance proof-of-concept expeditions in the United States and Europe, has accelerated customer engagement. We are engaged in advanced contractual negotiations with two major western OEMs for adoption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a Premium Driver Assist solution across multiple vehicle models as well as consumer AV solutions. Additionally, we are expanding our collaboration with Geely as three additional brands under the Geely Group umbrella are expected to launch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globally in upcoming electric vehicle models, beginning in 2023. Additionally, we have a design win with Vinfast to integrate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upcoming global vehicle launches expected to begin in 2023 and a consumer AV product expected in 2024.</w:t>
      </w:r>
    </w:p>
    <w:p>
      <w:pPr>
        <w:spacing w:after="0" w:line="16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Our Revolutionary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102235</wp:posOffset>
            </wp:positionV>
            <wp:extent cx="4954905" cy="27857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54905" cy="27857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Chauffeur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Mobileye Drive</w:t>
      </w:r>
      <w:r>
        <w:rPr>
          <w:rFonts w:ascii="Times New Roman" w:cs="Times New Roman" w:eastAsia="Times New Roman" w:hAnsi="Times New Roman"/>
          <w:sz w:val="26"/>
          <w:szCs w:val="26"/>
          <w:b w:val="1"/>
          <w:bCs w:val="1"/>
          <w:i w:val="1"/>
          <w:iCs w:val="1"/>
          <w:color w:val="auto"/>
          <w:vertAlign w:val="superscript"/>
        </w:rPr>
        <w:t>™</w:t>
      </w:r>
    </w:p>
    <w:p>
      <w:pPr>
        <w:spacing w:after="0" w:line="70" w:lineRule="exact"/>
        <w:rPr>
          <w:sz w:val="20"/>
          <w:szCs w:val="20"/>
          <w:color w:val="auto"/>
        </w:rPr>
      </w:pPr>
    </w:p>
    <w:p>
      <w:pPr>
        <w:ind w:left="1260" w:right="439" w:firstLine="360"/>
        <w:spacing w:after="0" w:line="215" w:lineRule="auto"/>
        <w:rPr>
          <w:sz w:val="20"/>
          <w:szCs w:val="20"/>
          <w:color w:val="auto"/>
        </w:rPr>
      </w:pPr>
      <w:r>
        <w:rPr>
          <w:rFonts w:ascii="Times New Roman" w:cs="Times New Roman" w:eastAsia="Times New Roman" w:hAnsi="Times New Roman"/>
          <w:sz w:val="18"/>
          <w:szCs w:val="18"/>
          <w:color w:val="auto"/>
        </w:rPr>
        <w:t>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first generation solution will be based on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three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6 High SoCs or one EyeQ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Ultra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It will combine our leading computer vision, camera-based perception subsystem with a radar-lidar subsystem.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provide 360-degrees of coverage through two independent and redundant sensing subsystems offering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reduce the validation burden and, along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and RSS, to increase scalability and safety.</w:t>
      </w:r>
    </w:p>
    <w:p>
      <w:pPr>
        <w:spacing w:after="0" w:line="110"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pacing w:after="0" w:line="111" w:lineRule="exact"/>
        <w:rPr>
          <w:sz w:val="20"/>
          <w:szCs w:val="20"/>
          <w:color w:val="auto"/>
        </w:rPr>
      </w:pPr>
    </w:p>
    <w:p>
      <w:pPr>
        <w:ind w:left="1260" w:right="439" w:firstLine="360"/>
        <w:spacing w:after="0" w:line="222"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solution, will encompass our core autonomous driving technologies found in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(360-degrees of coverage,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True Redundancy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RSS) and will deliver the driving functions without the need for any in-vehicle human intervention by adding teleoperability and by minimizing cases where human input would be required.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to be powered by eight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(versus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by 2025, it will be powered by an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offering more compute with less 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117" w:lineRule="exact"/>
        <w:rPr>
          <w:sz w:val="20"/>
          <w:szCs w:val="20"/>
          <w:color w:val="auto"/>
        </w:rPr>
      </w:pPr>
    </w:p>
    <w:p>
      <w:pPr>
        <w:ind w:left="1260" w:right="1019" w:firstLine="360"/>
        <w:spacing w:after="0" w:line="236"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be offered across two increasingly vertically integrated product sets each underpinned by our full set of autonomous driving technology solutions:</w:t>
      </w:r>
    </w:p>
    <w:p>
      <w:pPr>
        <w:spacing w:after="0" w:line="96" w:lineRule="exact"/>
        <w:rPr>
          <w:sz w:val="20"/>
          <w:szCs w:val="20"/>
          <w:color w:val="auto"/>
        </w:rPr>
      </w:pPr>
    </w:p>
    <w:p>
      <w:pPr>
        <w:ind w:left="1800" w:right="439" w:hanging="180"/>
        <w:spacing w:after="0" w:line="244"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4 self-driving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 Group, Schaeffler, Udelv, and Willer. We announced a strategic collaboration with Benteler and Beep to develop and deploy fully electric, autonomous movers in public and private communities across North America aimed at first- and last-mile use cases in urban areas.</w:t>
      </w:r>
    </w:p>
    <w:p>
      <w:pPr>
        <w:spacing w:after="0" w:line="80" w:lineRule="exact"/>
        <w:rPr>
          <w:rFonts w:ascii="Times New Roman" w:cs="Times New Roman" w:eastAsia="Times New Roman" w:hAnsi="Times New Roman"/>
          <w:sz w:val="18"/>
          <w:szCs w:val="18"/>
          <w:color w:val="auto"/>
        </w:rPr>
      </w:pPr>
    </w:p>
    <w:p>
      <w:pPr>
        <w:ind w:left="1800" w:right="459" w:hanging="180"/>
        <w:spacing w:after="0" w:line="23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designed to interface with Moovit’s MaaS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adds a service layer and a ready-made user base. As of July 2, 2022, Moovit had over</w:t>
      </w:r>
    </w:p>
    <w:p>
      <w:pPr>
        <w:spacing w:after="0" w:line="1" w:lineRule="exact"/>
        <w:rPr>
          <w:rFonts w:ascii="Times New Roman" w:cs="Times New Roman" w:eastAsia="Times New Roman" w:hAnsi="Times New Roman"/>
          <w:sz w:val="18"/>
          <w:szCs w:val="18"/>
          <w:color w:val="auto"/>
        </w:rPr>
      </w:pPr>
    </w:p>
    <w:p>
      <w:pPr>
        <w:ind w:left="180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self-driving vehicles in an AMaaS network in partnership with fleet operators. Initial commercial deployments of this full-stack service are expected to take place in Munich and Tel Aviv.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674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95490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w:t>
      </w:r>
    </w:p>
    <w:p>
      <w:pPr>
        <w:spacing w:after="0" w:line="27" w:lineRule="exact"/>
        <w:rPr>
          <w:sz w:val="20"/>
          <w:szCs w:val="20"/>
          <w:color w:val="auto"/>
        </w:rPr>
      </w:pPr>
    </w:p>
    <w:p>
      <w:pPr>
        <w:ind w:left="1260" w:right="559"/>
        <w:spacing w:after="0" w:line="263" w:lineRule="auto"/>
        <w:rPr>
          <w:sz w:val="20"/>
          <w:szCs w:val="20"/>
          <w:color w:val="auto"/>
        </w:rPr>
      </w:pPr>
      <w:r>
        <w:rPr>
          <w:rFonts w:ascii="Times New Roman" w:cs="Times New Roman" w:eastAsia="Times New Roman" w:hAnsi="Times New Roman"/>
          <w:sz w:val="18"/>
          <w:szCs w:val="18"/>
          <w:color w:val="auto"/>
        </w:rPr>
        <w:t>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25" w:lineRule="exact"/>
        <w:rPr>
          <w:sz w:val="20"/>
          <w:szCs w:val="20"/>
          <w:color w:val="auto"/>
        </w:rPr>
      </w:pPr>
    </w:p>
    <w:p>
      <w:pPr>
        <w:ind w:left="1260" w:right="459" w:firstLine="360"/>
        <w:spacing w:after="0" w:line="227" w:lineRule="auto"/>
        <w:rPr>
          <w:sz w:val="20"/>
          <w:szCs w:val="20"/>
          <w:color w:val="auto"/>
        </w:rPr>
      </w:pPr>
      <w:r>
        <w:rPr>
          <w:rFonts w:ascii="Times New Roman" w:cs="Times New Roman" w:eastAsia="Times New Roman" w:hAnsi="Times New Roman"/>
          <w:sz w:val="18"/>
          <w:szCs w:val="18"/>
          <w:color w:val="auto"/>
        </w:rPr>
        <w:t>Additionally, we have created a separate dataset of 8.6 billion miles of roads driven as of July 2, 2022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then apply</w:t>
      </w:r>
    </w:p>
    <w:p>
      <w:pPr>
        <w:ind w:left="1260" w:right="439"/>
        <w:spacing w:after="0" w:line="262" w:lineRule="auto"/>
        <w:tabs>
          <w:tab w:leader="none" w:pos="13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2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These two datasets create powerful network effects as we seek to continually improve our solutions as more vehicles are deployed with our technology.</w:t>
      </w:r>
    </w:p>
    <w:p>
      <w:pPr>
        <w:spacing w:after="0" w:line="73"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solutions continuously harvest high-precision data that is analyzed in the cloud, creating a large repository of real-world dataset from the analysis of up to 43 million miles of road data per day, varying by road types and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569595</wp:posOffset>
            </wp:positionV>
            <wp:extent cx="5109210" cy="51606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09210"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60" w:right="479" w:firstLine="360"/>
        <w:spacing w:after="0" w:line="231" w:lineRule="auto"/>
        <w:rPr>
          <w:sz w:val="20"/>
          <w:szCs w:val="20"/>
          <w:color w:val="auto"/>
        </w:rPr>
      </w:pPr>
      <w:r>
        <w:rPr>
          <w:rFonts w:ascii="Times New Roman" w:cs="Times New Roman" w:eastAsia="Times New Roman" w:hAnsi="Times New Roman"/>
          <w:sz w:val="18"/>
          <w:szCs w:val="18"/>
          <w:color w:val="auto"/>
        </w:rPr>
        <w:t>As we continue to rapidly scale our offerings, the benefits of greater data and higher intelligence incorporated into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connected vehicles that are collecting data and continually enhancing our solutions, we believe we are well positioned to build on our leadership position.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Large and Growing Market Opportunity</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and SAM in respect of the estimated market size in or about 2026 and the long-term TAM and SAM in respect of the estimated market size in or about 2030.</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TAM combines our market opportunities in ADAS and AV, including AMaaS. We estimate the current TAM to be approximately $16 billion, composed entirely of selected ADAS market opportunities. We expect the near- 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 Combining market opportunities in ADAS and AV, including AMaaS, we estimate our current SAM to be approximately $5 billion and our near-term SAM to be approximately $21 billion, in each case, composed entirely of selected ADAS market opportunities, and we estimate our long-term SAM to be approximately $455 billion, which includes AV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102235</wp:posOffset>
            </wp:positionV>
            <wp:extent cx="4954905" cy="22288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5490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ADAS</w:t>
      </w:r>
    </w:p>
    <w:p>
      <w:pPr>
        <w:spacing w:after="0" w:line="162" w:lineRule="exact"/>
        <w:rPr>
          <w:sz w:val="20"/>
          <w:szCs w:val="20"/>
          <w:color w:val="auto"/>
        </w:rPr>
      </w:pPr>
    </w:p>
    <w:p>
      <w:pPr>
        <w:jc w:val="both"/>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relies on the combination of cloud enhancements and cost-effective, high- resolution surround sensing that enables highly automated driving features across a wide range of road types and driving conditions</w:t>
      </w:r>
    </w:p>
    <w:p>
      <w:pPr>
        <w:spacing w:after="0" w:line="11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ADAS TAM</w:t>
      </w:r>
      <w:r>
        <w:rPr>
          <w:rFonts w:ascii="Times New Roman" w:cs="Times New Roman" w:eastAsia="Times New Roman" w:hAnsi="Times New Roman"/>
          <w:sz w:val="18"/>
          <w:szCs w:val="18"/>
          <w:color w:val="auto"/>
        </w:rPr>
        <w:t>: We define the ADAS market as that for assisted driving solutions that support the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ADAS TAM as the market for select hardware and software components that enable this technology. We estimate the current ADAS TAM to be approximately $16 billion, near-term TAM to be approximately $31 billion and long-term TAM to be approximately $60 billion.</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ADAS SAM</w:t>
      </w:r>
      <w:r>
        <w:rPr>
          <w:rFonts w:ascii="Times New Roman" w:cs="Times New Roman" w:eastAsia="Times New Roman" w:hAnsi="Times New Roman"/>
          <w:sz w:val="18"/>
          <w:szCs w:val="18"/>
          <w:color w:val="auto"/>
        </w:rPr>
        <w:t>: We define our ADAS SAM as the portion of the TAM that we believe can be addressed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solutions in the Driver Assist, Cloud-Enhanced Driver Assist, and Premium Driver Assist categories. We estimate our current ADAS SAM to be $5 billion and our near-term SAM to be approximately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billion, as consumer adoption of premium ADAS increases in the near-term. We estimate that our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0" w:lineRule="auto"/>
        <w:rPr>
          <w:sz w:val="20"/>
          <w:szCs w:val="20"/>
          <w:color w:val="auto"/>
        </w:rPr>
      </w:pPr>
      <w:r>
        <w:rPr>
          <w:rFonts w:ascii="Times New Roman" w:cs="Times New Roman" w:eastAsia="Times New Roman" w:hAnsi="Times New Roman"/>
          <w:sz w:val="18"/>
          <w:szCs w:val="18"/>
          <w:color w:val="auto"/>
        </w:rPr>
        <w:t>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AMaaS TAM</w:t>
      </w:r>
    </w:p>
    <w:p>
      <w:pPr>
        <w:spacing w:after="0" w:line="146"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105"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Consumer AV TAM</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12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under $6,000. We believe this solution will be able to unlock substantial market growth in the consumer AV category over time, a market category that is not yet understood or forecasted by most third-party research providers.</w:t>
      </w:r>
    </w:p>
    <w:p>
      <w:pPr>
        <w:spacing w:after="0" w:line="33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105" w:lineRule="exact"/>
        <w:rPr>
          <w:sz w:val="20"/>
          <w:szCs w:val="20"/>
          <w:color w:val="auto"/>
        </w:rPr>
      </w:pPr>
    </w:p>
    <w:p>
      <w:pPr>
        <w:ind w:left="1260" w:right="679" w:firstLine="360"/>
        <w:spacing w:after="0" w:line="297" w:lineRule="auto"/>
        <w:rPr>
          <w:sz w:val="20"/>
          <w:szCs w:val="20"/>
          <w:color w:val="auto"/>
        </w:rPr>
      </w:pPr>
      <w:r>
        <w:rPr>
          <w:rFonts w:ascii="Times New Roman" w:cs="Times New Roman" w:eastAsia="Times New Roman" w:hAnsi="Times New Roman"/>
          <w:sz w:val="18"/>
          <w:szCs w:val="18"/>
          <w:color w:val="auto"/>
        </w:rPr>
        <w:t>We estimate the resulting total AV TAM (including AMaaS and consumer AV) in the near term to be approximately $9 billion, significantly increasing to approximately $420 billion in the long term.</w:t>
      </w:r>
    </w:p>
    <w:p>
      <w:pPr>
        <w:spacing w:after="0" w:line="200" w:lineRule="exact"/>
        <w:rPr>
          <w:sz w:val="20"/>
          <w:szCs w:val="20"/>
          <w:color w:val="auto"/>
        </w:rPr>
      </w:pPr>
    </w:p>
    <w:p>
      <w:pPr>
        <w:spacing w:after="0" w:line="3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17830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954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60" w:right="459"/>
        <w:spacing w:after="0" w:line="246" w:lineRule="auto"/>
        <w:tabs>
          <w:tab w:leader="none" w:pos="15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68"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9" w:lineRule="exact"/>
        <w:rPr>
          <w:rFonts w:ascii="Times New Roman" w:cs="Times New Roman" w:eastAsia="Times New Roman" w:hAnsi="Times New Roman"/>
          <w:sz w:val="18"/>
          <w:szCs w:val="18"/>
          <w:color w:val="auto"/>
        </w:rPr>
      </w:pPr>
    </w:p>
    <w:p>
      <w:pPr>
        <w:ind w:left="1800" w:right="439" w:hanging="180"/>
        <w:spacing w:after="0"/>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accelerator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effectively an AV-on-Chip, will enable us to build a self-driving system at affordable consumer cost levels in the future.</w:t>
      </w:r>
    </w:p>
    <w:p>
      <w:pPr>
        <w:spacing w:after="0" w:line="186" w:lineRule="exact"/>
        <w:rPr>
          <w:rFonts w:ascii="Times New Roman" w:cs="Times New Roman" w:eastAsia="Times New Roman" w:hAnsi="Times New Roman"/>
          <w:sz w:val="18"/>
          <w:szCs w:val="18"/>
          <w:color w:val="auto"/>
        </w:rPr>
      </w:pPr>
    </w:p>
    <w:p>
      <w:pPr>
        <w:ind w:left="1800" w:right="599" w:hanging="180"/>
        <w:spacing w:after="0" w:line="256" w:lineRule="auto"/>
        <w:tabs>
          <w:tab w:leader="none" w:pos="18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 leading computer vision capabilities — </w:t>
      </w:r>
      <w:r>
        <w:rPr>
          <w:rFonts w:ascii="Times New Roman" w:cs="Times New Roman" w:eastAsia="Times New Roman" w:hAnsi="Times New Roman"/>
          <w:sz w:val="18"/>
          <w:szCs w:val="18"/>
          <w:color w:val="auto"/>
        </w:rPr>
        <w:t>ADAS solutions are responsible for saving lives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rPr>
          <w:sz w:val="20"/>
          <w:szCs w:val="20"/>
          <w:color w:val="auto"/>
        </w:rPr>
      </w:pPr>
      <w:r>
        <w:rPr>
          <w:rFonts w:ascii="Times New Roman" w:cs="Times New Roman" w:eastAsia="Times New Roman" w:hAnsi="Times New Roman"/>
          <w:sz w:val="18"/>
          <w:szCs w:val="18"/>
          <w:color w:val="auto"/>
        </w:rPr>
        <w:t>redundancy. We have been responsible for many “industry first” launches using monocular vision processing. These include forward collision warning, automatic emergency braking, pedestrian detection, hands -free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was launched in late 2021.</w:t>
      </w:r>
    </w:p>
    <w:p>
      <w:pPr>
        <w:spacing w:after="0" w:line="207" w:lineRule="exact"/>
        <w:rPr>
          <w:sz w:val="20"/>
          <w:szCs w:val="20"/>
          <w:color w:val="auto"/>
        </w:rPr>
      </w:pPr>
    </w:p>
    <w:p>
      <w:pPr>
        <w:ind w:left="1800" w:right="499" w:hanging="180"/>
        <w:spacing w:after="0" w:line="229"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w:t>
      </w:r>
      <w:r>
        <w:rPr>
          <w:rFonts w:ascii="Times New Roman" w:cs="Times New Roman" w:eastAsia="Times New Roman" w:hAnsi="Times New Roman"/>
          <w:sz w:val="18"/>
          <w:szCs w:val="18"/>
          <w:color w:val="auto"/>
        </w:rPr>
        <w:t>— 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91" w:lineRule="exact"/>
        <w:rPr>
          <w:rFonts w:ascii="Times New Roman" w:cs="Times New Roman" w:eastAsia="Times New Roman" w:hAnsi="Times New Roman"/>
          <w:sz w:val="18"/>
          <w:szCs w:val="18"/>
          <w:color w:val="auto"/>
        </w:rPr>
      </w:pPr>
    </w:p>
    <w:p>
      <w:pPr>
        <w:ind w:left="1800" w:right="519"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technology, which will allow our solutions to be driven without the limitations of geofencing;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consumer AV production at scale in the future.</w:t>
      </w:r>
    </w:p>
    <w:p>
      <w:pPr>
        <w:spacing w:after="0" w:line="221" w:lineRule="exact"/>
        <w:rPr>
          <w:rFonts w:ascii="Times New Roman" w:cs="Times New Roman" w:eastAsia="Times New Roman" w:hAnsi="Times New Roman"/>
          <w:sz w:val="18"/>
          <w:szCs w:val="18"/>
          <w:color w:val="auto"/>
        </w:rPr>
      </w:pPr>
    </w:p>
    <w:p>
      <w:pPr>
        <w:ind w:left="1800" w:right="559" w:hanging="180"/>
        <w:spacing w:after="0" w:line="24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Autonomous driving-ADAS synergies — </w:t>
      </w:r>
      <w:r>
        <w:rPr>
          <w:rFonts w:ascii="Times New Roman" w:cs="Times New Roman" w:eastAsia="Times New Roman" w:hAnsi="Times New Roman"/>
          <w:sz w:val="18"/>
          <w:szCs w:val="18"/>
          <w:color w:val="auto"/>
        </w:rPr>
        <w:t>The autonomous driving-ADAS interplay, which is borne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279" w:lineRule="exact"/>
        <w:rPr>
          <w:rFonts w:ascii="Times New Roman" w:cs="Times New Roman" w:eastAsia="Times New Roman" w:hAnsi="Times New Roman"/>
          <w:sz w:val="18"/>
          <w:szCs w:val="18"/>
          <w:color w:val="auto"/>
        </w:rPr>
      </w:pPr>
    </w:p>
    <w:p>
      <w:pPr>
        <w:ind w:left="1800" w:right="439" w:hanging="180"/>
        <w:spacing w:after="0" w:line="22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creates a powerful network effect and long-term competitive advantage — </w:t>
      </w: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is a crucial ingredient that we believe allows for: (1) defining a new category of cloud-enhanced ADAS that we call Cloud-Enhanced Driver Assist, where information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computationally intensive processing in the cloud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billions of data packets sent from millions of vehicles —  all automatically.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benefits from a powerful network effect, where more vehicles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spacing w:after="0" w:line="282" w:lineRule="auto"/>
        <w:rPr>
          <w:sz w:val="20"/>
          <w:szCs w:val="20"/>
          <w:color w:val="auto"/>
        </w:rPr>
      </w:pPr>
      <w:r>
        <w:rPr>
          <w:rFonts w:ascii="Times New Roman" w:cs="Times New Roman" w:eastAsia="Times New Roman" w:hAnsi="Times New Roman"/>
          <w:sz w:val="18"/>
          <w:szCs w:val="18"/>
          <w:color w:val="auto"/>
        </w:rPr>
        <w:t>Munich and Tel Aviv together with Moovit in addition to our current testing sites in China, Israel, Detroit, Miami, Munich, Paris, Stuttgart and Tokyo.</w:t>
      </w:r>
    </w:p>
    <w:p>
      <w:pPr>
        <w:spacing w:after="0" w:line="36" w:lineRule="exact"/>
        <w:rPr>
          <w:sz w:val="20"/>
          <w:szCs w:val="20"/>
          <w:color w:val="auto"/>
        </w:rPr>
      </w:pPr>
    </w:p>
    <w:p>
      <w:pPr>
        <w:ind w:left="1800" w:right="419" w:hanging="180"/>
        <w:spacing w:after="0" w:line="25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and technology advantage — </w:t>
      </w:r>
      <w:r>
        <w:rPr>
          <w:rFonts w:ascii="Times New Roman" w:cs="Times New Roman" w:eastAsia="Times New Roman" w:hAnsi="Times New Roman"/>
          <w:sz w:val="18"/>
          <w:szCs w:val="18"/>
          <w:color w:val="auto"/>
        </w:rPr>
        <w:t>Developing effective ADAS technology is technologically complex,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over 23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w:t>
      </w:r>
    </w:p>
    <w:p>
      <w:pPr>
        <w:spacing w:after="0" w:line="5" w:lineRule="exact"/>
        <w:rPr>
          <w:rFonts w:ascii="Times New Roman" w:cs="Times New Roman" w:eastAsia="Times New Roman" w:hAnsi="Times New Roman"/>
          <w:sz w:val="18"/>
          <w:szCs w:val="18"/>
          <w:color w:val="auto"/>
        </w:rPr>
      </w:pPr>
    </w:p>
    <w:p>
      <w:pPr>
        <w:ind w:left="1800" w:right="419"/>
        <w:spacing w:after="0" w:line="2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billion miles of roads driven as of July 2, 2022 from, based on our estimates, approximately 1.5 million REM™-enabled vehicles worldwide. Over the last six months alone, we estimate that the data we have accumulated covers over 90% and 80%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dataset creates a powerful network effect as we seek to continually improve our solutions as more vehicles are deployed with our technology.</w:t>
      </w:r>
    </w:p>
    <w:p>
      <w:pPr>
        <w:spacing w:after="0" w:line="92"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RSS and driving policy are designed for global deployment — </w:t>
      </w:r>
      <w:r>
        <w:rPr>
          <w:rFonts w:ascii="Times New Roman" w:cs="Times New Roman" w:eastAsia="Times New Roman" w:hAnsi="Times New Roman"/>
          <w:sz w:val="18"/>
          <w:szCs w:val="18"/>
          <w:color w:val="auto"/>
        </w:rPr>
        <w:t>We published our RSS model in 2017,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current testing sites in China, Israel, Detroit, Miami, Munich, Paris, Stuttgart and Tokyo.</w:t>
      </w:r>
    </w:p>
    <w:p>
      <w:pPr>
        <w:spacing w:after="0" w:line="77" w:lineRule="exact"/>
        <w:rPr>
          <w:rFonts w:ascii="Times New Roman" w:cs="Times New Roman" w:eastAsia="Times New Roman" w:hAnsi="Times New Roman"/>
          <w:sz w:val="18"/>
          <w:szCs w:val="18"/>
          <w:color w:val="auto"/>
        </w:rPr>
      </w:pPr>
    </w:p>
    <w:p>
      <w:pPr>
        <w:ind w:left="1800" w:right="439" w:hanging="180"/>
        <w:spacing w:after="0" w:line="239"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89"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80"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collaborative ecosystem relationships</w:t>
      </w:r>
      <w:r>
        <w:rPr>
          <w:rFonts w:ascii="Times New Roman" w:cs="Times New Roman" w:eastAsia="Times New Roman" w:hAnsi="Times New Roman"/>
          <w:sz w:val="18"/>
          <w:szCs w:val="18"/>
          <w:color w:val="auto"/>
        </w:rPr>
        <w:t> — 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00" w:right="439" w:hanging="180"/>
        <w:spacing w:after="0" w:line="25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October 1, 2022, our solutions had been installed in approximately 800 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w:t>
      </w:r>
    </w:p>
    <w:p>
      <w:pPr>
        <w:spacing w:after="0" w:line="5" w:lineRule="exact"/>
        <w:rPr>
          <w:rFonts w:ascii="Times New Roman" w:cs="Times New Roman" w:eastAsia="Times New Roman" w:hAnsi="Times New Roman"/>
          <w:sz w:val="18"/>
          <w:szCs w:val="18"/>
          <w:color w:val="auto"/>
        </w:rPr>
      </w:pPr>
    </w:p>
    <w:p>
      <w:pPr>
        <w:ind w:left="180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and 17.5 million, respectively, of our SoCs.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October 1, 2022. We believe that our comprehensive stack of solutions and proven success at scale will enable us to further solidify our industry leadership.</w:t>
      </w:r>
    </w:p>
    <w:p>
      <w:pPr>
        <w:spacing w:after="0" w:line="297" w:lineRule="exact"/>
        <w:rPr>
          <w:rFonts w:ascii="Times New Roman" w:cs="Times New Roman" w:eastAsia="Times New Roman" w:hAnsi="Times New Roman"/>
          <w:sz w:val="18"/>
          <w:szCs w:val="18"/>
          <w:color w:val="auto"/>
        </w:rPr>
      </w:pPr>
    </w:p>
    <w:p>
      <w:pPr>
        <w:ind w:left="1800" w:right="419"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Our Cloud-Enhanced Driver Assist solution is capable of utilizing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in order to deliver leading ADAS capabilities. In the future, we plan to create revenue streams from our OTA capabilities and AV maps through solution upgrades.</w:t>
      </w:r>
    </w:p>
    <w:p>
      <w:pPr>
        <w:spacing w:after="0" w:line="160" w:lineRule="exact"/>
        <w:rPr>
          <w:rFonts w:ascii="Times New Roman" w:cs="Times New Roman" w:eastAsia="Times New Roman" w:hAnsi="Times New Roman"/>
          <w:sz w:val="18"/>
          <w:szCs w:val="18"/>
          <w:color w:val="auto"/>
        </w:rPr>
      </w:pPr>
    </w:p>
    <w:p>
      <w:pPr>
        <w:ind w:left="1800" w:right="559" w:hanging="180"/>
        <w:spacing w:after="0" w:line="22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enhance and drive adoption of our Premium Driver Assist solutions — </w:t>
      </w:r>
      <w:r>
        <w:rPr>
          <w:rFonts w:ascii="Times New Roman" w:cs="Times New Roman" w:eastAsia="Times New Roman" w:hAnsi="Times New Roman"/>
          <w:sz w:val="18"/>
          <w:szCs w:val="18"/>
          <w:color w:val="auto"/>
        </w:rPr>
        <w:t>Our Mobileye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represents a comprehensive “eyes-on/hands-free” ADAS solution. It was launched by Geely Group for its ZEEKR premium electric vehicle brand, and we are expanding our collaboration as three additional brands under the Geely Group umbrella are expected to launch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globally in upcoming electric vehicle models, beginning in</w:t>
      </w:r>
    </w:p>
    <w:p>
      <w:pPr>
        <w:spacing w:after="0" w:line="3" w:lineRule="exact"/>
        <w:rPr>
          <w:rFonts w:ascii="Times New Roman" w:cs="Times New Roman" w:eastAsia="Times New Roman" w:hAnsi="Times New Roman"/>
          <w:sz w:val="18"/>
          <w:szCs w:val="18"/>
          <w:color w:val="auto"/>
        </w:rPr>
      </w:pPr>
    </w:p>
    <w:p>
      <w:pPr>
        <w:ind w:left="1800" w:right="519"/>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We believe that the high value-add, our continuous efforts to add capabilities, as well as the competitive price point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allow it to gain strong market traction in the coming years. Our validated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enables the full spectrum of L3/L4 capabilities for OEMs as the foundational technology for these solutions. In addition,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w:t>
      </w:r>
    </w:p>
    <w:p>
      <w:pPr>
        <w:spacing w:after="0" w:line="118" w:lineRule="exact"/>
        <w:rPr>
          <w:rFonts w:ascii="Times New Roman" w:cs="Times New Roman" w:eastAsia="Times New Roman" w:hAnsi="Times New Roman"/>
          <w:sz w:val="18"/>
          <w:szCs w:val="18"/>
          <w:color w:val="auto"/>
        </w:rPr>
      </w:pPr>
    </w:p>
    <w:p>
      <w:pPr>
        <w:ind w:left="1800" w:right="419"/>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recently added a new innovative Premium ADAS solution, SuperVision™ Lite, which will utilize the SuperVision™ software stack with a down-scaled sensor suite and an ECU that will include one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6 High SoC in the future. The solution will enable eyes-on/hands-free driving on highway road types (as compared to SuperVision™ which is expected to operate on</w:t>
      </w: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66" w:lineRule="auto"/>
        <w:rPr>
          <w:sz w:val="20"/>
          <w:szCs w:val="20"/>
          <w:color w:val="auto"/>
        </w:rPr>
      </w:pPr>
      <w:r>
        <w:rPr>
          <w:rFonts w:ascii="Times New Roman" w:cs="Times New Roman" w:eastAsia="Times New Roman" w:hAnsi="Times New Roman"/>
          <w:sz w:val="18"/>
          <w:szCs w:val="18"/>
          <w:color w:val="auto"/>
        </w:rPr>
        <w:t>various road types), and next-generation automated parking functions. Mobileye SuperVision™ Lite will provide OEMs with higher levels of autonomy than Cloud-Enhanced Driver Assist, which we believe will expand the application and adoption of our products.</w:t>
      </w:r>
    </w:p>
    <w:p>
      <w:pPr>
        <w:spacing w:after="0" w:line="73" w:lineRule="exact"/>
        <w:rPr>
          <w:sz w:val="20"/>
          <w:szCs w:val="20"/>
          <w:color w:val="auto"/>
        </w:rPr>
      </w:pPr>
    </w:p>
    <w:p>
      <w:pPr>
        <w:ind w:left="1800" w:right="599"/>
        <w:spacing w:after="0" w:line="217" w:lineRule="auto"/>
        <w:rPr>
          <w:sz w:val="20"/>
          <w:szCs w:val="20"/>
          <w:color w:val="auto"/>
        </w:rPr>
      </w:pPr>
      <w:r>
        <w:rPr>
          <w:rFonts w:ascii="Times New Roman" w:cs="Times New Roman" w:eastAsia="Times New Roman" w:hAnsi="Times New Roman"/>
          <w:sz w:val="18"/>
          <w:szCs w:val="18"/>
          <w:color w:val="auto"/>
        </w:rPr>
        <w:t>Our Premium Driver Assist offerings are expected to be available with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Kit support, which will enable OEM customers to deploy their own internally-developed software on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while benefiting from our industry-leading technology platform.</w:t>
      </w:r>
    </w:p>
    <w:p>
      <w:pPr>
        <w:spacing w:after="0" w:line="86" w:lineRule="exact"/>
        <w:rPr>
          <w:sz w:val="20"/>
          <w:szCs w:val="20"/>
          <w:color w:val="auto"/>
        </w:rPr>
      </w:pPr>
    </w:p>
    <w:p>
      <w:pPr>
        <w:ind w:left="1800" w:right="419" w:hanging="180"/>
        <w:spacing w:after="0" w:line="214"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the introduction of our premium ADAS capabilities with our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Level 4 capabilities with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92" w:lineRule="exact"/>
        <w:rPr>
          <w:rFonts w:ascii="Times New Roman" w:cs="Times New Roman" w:eastAsia="Times New Roman" w:hAnsi="Times New Roman"/>
          <w:sz w:val="18"/>
          <w:szCs w:val="18"/>
          <w:color w:val="auto"/>
        </w:rPr>
      </w:pPr>
    </w:p>
    <w:p>
      <w:pPr>
        <w:ind w:left="1800" w:right="439" w:hanging="180"/>
        <w:spacing w:after="0" w:line="24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driver monitoring systems, parking functions, and visualization features. In addition, our SDKs enable OEMs to innovate on top of our platform, augmenting and differentiating their offerings, while benefiting from our cutting-edge, verified and validated core ADAS capabilities.</w:t>
      </w:r>
    </w:p>
    <w:p>
      <w:pPr>
        <w:spacing w:after="0" w:line="310"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w:t>
      </w:r>
    </w:p>
    <w:p>
      <w:pPr>
        <w:ind w:left="180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274" w:lineRule="exact"/>
        <w:rPr>
          <w:rFonts w:ascii="Times New Roman" w:cs="Times New Roman" w:eastAsia="Times New Roman" w:hAnsi="Times New Roman"/>
          <w:sz w:val="18"/>
          <w:szCs w:val="18"/>
          <w:color w:val="auto"/>
        </w:rPr>
      </w:pPr>
    </w:p>
    <w:p>
      <w:pPr>
        <w:ind w:left="1800" w:right="539" w:hanging="180"/>
        <w:spacing w:after="0" w:line="227"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We believe that we have created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standard for processors focused on computer vision.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86" w:lineRule="exact"/>
        <w:rPr>
          <w:rFonts w:ascii="Times New Roman" w:cs="Times New Roman" w:eastAsia="Times New Roman" w:hAnsi="Times New Roman"/>
          <w:sz w:val="18"/>
          <w:szCs w:val="18"/>
          <w:color w:val="auto"/>
        </w:rPr>
      </w:pPr>
    </w:p>
    <w:p>
      <w:pPr>
        <w:ind w:left="1800" w:right="519" w:hanging="180"/>
        <w:spacing w:after="0" w:line="237"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 — </w:t>
      </w:r>
      <w:r>
        <w:rPr>
          <w:rFonts w:ascii="Times New Roman" w:cs="Times New Roman" w:eastAsia="Times New Roman" w:hAnsi="Times New Roman"/>
          <w:sz w:val="18"/>
          <w:szCs w:val="18"/>
          <w:color w:val="auto"/>
        </w:rPr>
        <w:t>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 2022, encompassed over 200 petabytes of data and 8.6 billion miles of AV mapped roads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believe that our ability to use this data to create, maintain, and improve our high-precision AV maps</w:t>
      </w:r>
    </w:p>
    <w:p>
      <w:pPr>
        <w:sectPr>
          <w:pgSz w:w="11900" w:h="16838" w:orient="portrait"/>
          <w:cols w:equalWidth="0" w:num="1">
            <w:col w:w="9879"/>
          </w:cols>
          <w:pgMar w:left="580" w:top="97" w:right="1440" w:bottom="1440" w:gutter="0" w:footer="0" w:header="0"/>
        </w:sect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right="919"/>
        <w:spacing w:after="0" w:line="230" w:lineRule="auto"/>
        <w:rPr>
          <w:sz w:val="20"/>
          <w:szCs w:val="20"/>
          <w:color w:val="auto"/>
        </w:rPr>
      </w:pPr>
      <w:r>
        <w:rPr>
          <w:rFonts w:ascii="Times New Roman" w:cs="Times New Roman" w:eastAsia="Times New Roman" w:hAnsi="Times New Roman"/>
          <w:sz w:val="18"/>
          <w:szCs w:val="18"/>
          <w:color w:val="auto"/>
        </w:rPr>
        <w:t>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will enable us to further improve our ADAS offerings and position us well for autonomous driving.</w:t>
      </w:r>
    </w:p>
    <w:p>
      <w:pPr>
        <w:spacing w:after="0" w:line="1" w:lineRule="exact"/>
        <w:rPr>
          <w:sz w:val="20"/>
          <w:szCs w:val="20"/>
          <w:color w:val="auto"/>
        </w:rPr>
      </w:pPr>
    </w:p>
    <w:p>
      <w:pPr>
        <w:ind w:left="1800" w:right="639" w:hanging="180"/>
        <w:spacing w:after="0" w:line="23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 — </w:t>
      </w:r>
      <w:r>
        <w:rPr>
          <w:rFonts w:ascii="Times New Roman" w:cs="Times New Roman" w:eastAsia="Times New Roman" w:hAnsi="Times New Roman"/>
          <w:sz w:val="18"/>
          <w:szCs w:val="18"/>
          <w:color w:val="auto"/>
        </w:rPr>
        <w:t>We believe that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45" w:lineRule="exact"/>
        <w:rPr>
          <w:rFonts w:ascii="Times New Roman" w:cs="Times New Roman" w:eastAsia="Times New Roman" w:hAnsi="Times New Roman"/>
          <w:sz w:val="18"/>
          <w:szCs w:val="18"/>
          <w:color w:val="auto"/>
        </w:rPr>
      </w:pPr>
    </w:p>
    <w:p>
      <w:pPr>
        <w:ind w:left="1800" w:right="519" w:hanging="180"/>
        <w:spacing w:after="0" w:line="243"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 — </w:t>
      </w:r>
      <w:r>
        <w:rPr>
          <w:rFonts w:ascii="Times New Roman" w:cs="Times New Roman" w:eastAsia="Times New Roman" w:hAnsi="Times New Roman"/>
          <w:sz w:val="18"/>
          <w:szCs w:val="18"/>
          <w:color w:val="auto"/>
        </w:rPr>
        <w:t>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In India, Mahindra &amp; Mahindra, one of the country’s largest automakers, has launched the first vehicle made locally to offer ADAS capabilities — the XUV700 powered by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Our customers include leading OEMs, which we sell to through Tier 1 automotive suppliers that implement our product into automotive vehicles, as well as fleet owners and operators.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OEMs</w:t>
      </w:r>
    </w:p>
    <w:p>
      <w:pPr>
        <w:spacing w:after="0" w:line="12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of October 1,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w:t>
      </w:r>
    </w:p>
    <w:p>
      <w:pPr>
        <w:spacing w:after="0" w:line="2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85725</wp:posOffset>
            </wp:positionV>
            <wp:extent cx="4954905" cy="19970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5490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Tier 1 Automotive Suppliers</w:t>
      </w:r>
    </w:p>
    <w:p>
      <w:pPr>
        <w:spacing w:after="0" w:line="100" w:lineRule="exact"/>
        <w:rPr>
          <w:sz w:val="20"/>
          <w:szCs w:val="20"/>
          <w:color w:val="auto"/>
        </w:rPr>
      </w:pPr>
    </w:p>
    <w:p>
      <w:pPr>
        <w:ind w:left="1260" w:right="599" w:firstLine="360"/>
        <w:spacing w:after="0" w:line="236" w:lineRule="auto"/>
        <w:rPr>
          <w:sz w:val="20"/>
          <w:szCs w:val="20"/>
          <w:color w:val="auto"/>
        </w:rPr>
      </w:pPr>
      <w:r>
        <w:rPr>
          <w:rFonts w:ascii="Times New Roman" w:cs="Times New Roman" w:eastAsia="Times New Roman" w:hAnsi="Times New Roman"/>
          <w:sz w:val="18"/>
          <w:szCs w:val="18"/>
          <w:color w:val="auto"/>
        </w:rPr>
        <w:t>We supply certain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through our arrangements with automotive system integrators, known as Tier 1 automotive suppliers, which are direct suppliers to OEMs. Our Tier 1 customers include Aptiv, Magna, Valeo, Wabco, ZF, and others.</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Mobility-as-a-Service</w:t>
      </w:r>
    </w:p>
    <w:p>
      <w:pPr>
        <w:spacing w:after="0" w:line="113" w:lineRule="exact"/>
        <w:rPr>
          <w:sz w:val="20"/>
          <w:szCs w:val="20"/>
          <w:color w:val="auto"/>
        </w:rPr>
      </w:pPr>
    </w:p>
    <w:p>
      <w:pPr>
        <w:ind w:left="1260" w:right="439" w:firstLine="360"/>
        <w:spacing w:after="0" w:line="217" w:lineRule="auto"/>
        <w:rPr>
          <w:sz w:val="20"/>
          <w:szCs w:val="20"/>
          <w:color w:val="auto"/>
        </w:rPr>
      </w:pPr>
      <w:r>
        <w:rPr>
          <w:rFonts w:ascii="Times New Roman" w:cs="Times New Roman" w:eastAsia="Times New Roman" w:hAnsi="Times New Roman"/>
          <w:sz w:val="18"/>
          <w:szCs w:val="18"/>
          <w:color w:val="auto"/>
        </w:rPr>
        <w:t>We expect to sell the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self-driving vehicles to a range of shuttle network operators and vehicle OEMs which intend to operate a variety of services (e.g., consumer-facing AMaaS, transportation on demand, delivery). These partners could produce vehicles themselves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our assistance and include Benteler, Lohr, Marubeni, RATP Group, Schaeffler, Udelv, and Willer.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95885</wp:posOffset>
            </wp:positionV>
            <wp:extent cx="5109210" cy="26142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0921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System-on-Chip Architecture</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EyeQ</w:t>
      </w:r>
      <w:r>
        <w:rPr>
          <w:rFonts w:ascii="Times New Roman" w:cs="Times New Roman" w:eastAsia="Times New Roman" w:hAnsi="Times New Roman"/>
          <w:sz w:val="26"/>
          <w:szCs w:val="26"/>
          <w:b w:val="1"/>
          <w:bCs w:val="1"/>
          <w:i w:val="1"/>
          <w:iCs w:val="1"/>
          <w:color w:val="auto"/>
          <w:vertAlign w:val="superscript"/>
        </w:rPr>
        <w:t>®</w:t>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new generation of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is many times faster than its predecessor and tightly integrated</w:t>
      </w:r>
    </w:p>
    <w:p>
      <w:pPr>
        <w:ind w:left="1260" w:right="559"/>
        <w:spacing w:after="0" w:line="225" w:lineRule="auto"/>
        <w:rPr>
          <w:sz w:val="20"/>
          <w:szCs w:val="20"/>
          <w:color w:val="auto"/>
        </w:rPr>
      </w:pPr>
      <w:r>
        <w:rPr>
          <w:rFonts w:ascii="Times New Roman" w:cs="Times New Roman" w:eastAsia="Times New Roman" w:hAnsi="Times New Roman"/>
          <w:sz w:val="18"/>
          <w:szCs w:val="18"/>
          <w:color w:val="auto"/>
        </w:rPr>
        <w:t>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95" w:lineRule="exact"/>
        <w:rPr>
          <w:sz w:val="20"/>
          <w:szCs w:val="20"/>
          <w:color w:val="auto"/>
        </w:rPr>
      </w:pPr>
    </w:p>
    <w:p>
      <w:pPr>
        <w:ind w:left="1260" w:right="599" w:firstLine="360"/>
        <w:spacing w:after="0" w:line="225" w:lineRule="auto"/>
        <w:rPr>
          <w:sz w:val="20"/>
          <w:szCs w:val="20"/>
          <w:color w:val="auto"/>
        </w:rPr>
      </w:pPr>
      <w:r>
        <w:rPr>
          <w:rFonts w:ascii="Times New Roman" w:cs="Times New Roman" w:eastAsia="Times New Roman" w:hAnsi="Times New Roman"/>
          <w:sz w:val="18"/>
          <w:szCs w:val="18"/>
          <w:color w:val="auto"/>
        </w:rPr>
        <w:t>For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95250</wp:posOffset>
            </wp:positionV>
            <wp:extent cx="5109210" cy="22028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The deployment mix of these accelerators varies by product line based on the functions each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supports. Our accelerator architecture allows us to achieve high compute performance with power efficiency.</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103505</wp:posOffset>
            </wp:positionV>
            <wp:extent cx="4688840" cy="17913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6888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0" w:right="699" w:hanging="180"/>
        <w:spacing w:after="0" w:line="224"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 launched in 2007, supported two bundle types: (1) Lane Departure Warning (“LDW”),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Traffic Sign Recognition (“TSR”) and Intelligent High-beam Control (“IHC”); and (2) LDW and Vehicle Automatic Emergency Braking (“AEB”) fusion with radar.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was an industry first supporting camera/radar ACC.</w:t>
      </w:r>
    </w:p>
    <w:p>
      <w:pPr>
        <w:spacing w:after="0" w:line="54" w:lineRule="exact"/>
        <w:rPr>
          <w:rFonts w:ascii="Times New Roman" w:cs="Times New Roman" w:eastAsia="Times New Roman" w:hAnsi="Times New Roman"/>
          <w:sz w:val="18"/>
          <w:szCs w:val="18"/>
          <w:color w:val="auto"/>
        </w:rPr>
      </w:pPr>
    </w:p>
    <w:p>
      <w:pPr>
        <w:ind w:left="1800" w:right="559" w:hanging="180"/>
        <w:spacing w:after="0" w:line="239"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 launched in 2010, supported a variety of functional bundles, including LDW, TSR, IHC,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Collision Warning (“FCW”) and AEB for vehicles and pedestrians (partial braking).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2 was an industry first with Pedestrian AEB, and Adaptive Cruise Control (“ACC”).</w:t>
      </w:r>
    </w:p>
    <w:p>
      <w:pPr>
        <w:spacing w:after="0" w:line="2" w:lineRule="exact"/>
        <w:rPr>
          <w:rFonts w:ascii="Times New Roman" w:cs="Times New Roman" w:eastAsia="Times New Roman" w:hAnsi="Times New Roman"/>
          <w:sz w:val="18"/>
          <w:szCs w:val="18"/>
          <w:color w:val="auto"/>
        </w:rPr>
      </w:pPr>
    </w:p>
    <w:p>
      <w:pPr>
        <w:ind w:left="1800" w:right="599" w:hanging="180"/>
        <w:spacing w:after="0" w:line="200"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 launched in the fourth quarter of 2014. In addition to significant upgrades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functions,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supports full braking AEB, structure from motion functionalities, road profile reconstruction, debris detection, general object detection, traffic light detection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was an industry first with Highway Autopilot, Camera-only AEB and full in path assisted driving.</w:t>
      </w:r>
    </w:p>
    <w:p>
      <w:pPr>
        <w:spacing w:after="0" w:line="51" w:lineRule="exact"/>
        <w:rPr>
          <w:rFonts w:ascii="Times New Roman" w:cs="Times New Roman" w:eastAsia="Times New Roman" w:hAnsi="Times New Roman"/>
          <w:sz w:val="18"/>
          <w:szCs w:val="18"/>
          <w:color w:val="auto"/>
        </w:rPr>
      </w:pPr>
    </w:p>
    <w:p>
      <w:pPr>
        <w:ind w:left="1800" w:right="439" w:hanging="180"/>
        <w:spacing w:after="0" w:line="214"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High</w:t>
      </w:r>
      <w:r>
        <w:rPr>
          <w:rFonts w:ascii="Times New Roman" w:cs="Times New Roman" w:eastAsia="Times New Roman" w:hAnsi="Times New Roman"/>
          <w:sz w:val="18"/>
          <w:szCs w:val="18"/>
          <w:color w:val="auto"/>
        </w:rPr>
        <w:t> — launched in early 2018.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supports processing from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cameras (including multi-focal or ultra-high-resolution front facing and side/rear), as well as other sensor perception modalities through two models: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is a one-box windshield solution that offers around 1.1 tera operations per second (“TOPS”) supporting up to Level 2 functionality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offers 2 TOPS supporting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and localization to provide Level 2+ functionalities.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was the first SoC to support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 Harvesting and an industry first supporting 100-degree cameras.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08"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5 High </w:t>
      </w:r>
      <w:r>
        <w:rPr>
          <w:rFonts w:ascii="Times New Roman" w:cs="Times New Roman" w:eastAsia="Times New Roman" w:hAnsi="Times New Roman"/>
          <w:sz w:val="18"/>
          <w:szCs w:val="18"/>
          <w:color w:val="auto"/>
        </w:rPr>
        <w:t>— designed to act as the central computing processor to enable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driving vehicles,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comes in two forms: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is a one-box windshield solution designed to support up to Level 2+ functionality.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supports Premium ADAS and up to Level 4 functionality powering both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solutions. Volume production began in 2021.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is designed on the 7nm fin field-effect transistor (“FinFET”) technology node and offers around 15 TOPS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and more than 4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we are supporting a complete SDK to allow customers to differentiate their solutions by deploying their algorithms on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0" w:right="419" w:hanging="180"/>
        <w:spacing w:after="0" w:line="22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High</w:t>
      </w:r>
      <w:r>
        <w:rPr>
          <w:rFonts w:ascii="Times New Roman" w:cs="Times New Roman" w:eastAsia="Times New Roman" w:hAnsi="Times New Roman"/>
          <w:sz w:val="18"/>
          <w:szCs w:val="18"/>
          <w:color w:val="auto"/>
        </w:rPr>
        <w:t> —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 one-box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windshield optimized solution, is designed to deliver entry and premium Level 2 ADAS functionality at ultra-low power and high efficiency. Also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will support premium ADAS or partial AV capabilities with full surround and support for visualization and heavy AI workloads with 34 TOPS in 40 watts representing lean compute. This centralized solution will provide all ADAS Level 2 functionalities, multi-camera processing (including parking cameras), and will host third-party apps such as parking visualization and driver monitoring. Both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are designed on the 7nm FinFET process technology node. We expect to release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Lite/High in 2023 or 2024 and begin production by the end of 2024.</w:t>
      </w:r>
    </w:p>
    <w:p>
      <w:pPr>
        <w:spacing w:after="0" w:line="7" w:lineRule="exact"/>
        <w:rPr>
          <w:rFonts w:ascii="Times New Roman" w:cs="Times New Roman" w:eastAsia="Times New Roman" w:hAnsi="Times New Roman"/>
          <w:sz w:val="18"/>
          <w:szCs w:val="18"/>
          <w:color w:val="auto"/>
        </w:rPr>
      </w:pPr>
    </w:p>
    <w:p>
      <w:pPr>
        <w:ind w:left="1800" w:right="559" w:hanging="180"/>
        <w:spacing w:after="0" w:line="219"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announced in January 2022,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maximize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and efficiency at 176 TOPS.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with full automotive-grade production in 2025.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to address the needs of Level 4 AV without the power and cost to integrate multiple SoCs together.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on the 5nm FinFET process technology node.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and we expect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be ready for production in 2025.</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Partnerships with STMicroelectronics and Intel</w:t>
      </w:r>
    </w:p>
    <w:p>
      <w:pPr>
        <w:spacing w:after="0" w:line="148" w:lineRule="exact"/>
        <w:rPr>
          <w:sz w:val="20"/>
          <w:szCs w:val="20"/>
          <w:color w:val="auto"/>
        </w:rPr>
      </w:pPr>
    </w:p>
    <w:p>
      <w:pPr>
        <w:ind w:left="1260" w:right="419" w:firstLine="360"/>
        <w:spacing w:after="0" w:line="228" w:lineRule="auto"/>
        <w:rPr>
          <w:sz w:val="20"/>
          <w:szCs w:val="20"/>
          <w:color w:val="auto"/>
        </w:rPr>
      </w:pPr>
      <w:r>
        <w:rPr>
          <w:rFonts w:ascii="Times New Roman" w:cs="Times New Roman" w:eastAsia="Times New Roman" w:hAnsi="Times New Roman"/>
          <w:sz w:val="18"/>
          <w:szCs w:val="18"/>
          <w:color w:val="auto"/>
        </w:rPr>
        <w:t>Our long-standing relationship with STMicroelectronics continues to strengthen with the complexity of our solutions. Our partnership includes close collaboration in product development, design, and manufacturing. For example, we have co-developed the seven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generations, including the launched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3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designed and manufactured specifically for automotive applications after extensive validation tests under stringent automotive environmental conditions.</w:t>
      </w:r>
    </w:p>
    <w:p>
      <w:pPr>
        <w:spacing w:after="0" w:line="81" w:lineRule="exact"/>
        <w:rPr>
          <w:sz w:val="20"/>
          <w:szCs w:val="20"/>
          <w:color w:val="auto"/>
        </w:rPr>
      </w:pPr>
    </w:p>
    <w:p>
      <w:pPr>
        <w:ind w:left="1260" w:right="579" w:firstLine="360"/>
        <w:spacing w:after="0"/>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with STMicroelectronics including EyeQ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integrated circuits are manufactured by or outsourced to a partner foundry by STMicroelectronics.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24"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to develop and assemble our ECUs including our reference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from STMicroelectronics.</w:t>
      </w:r>
    </w:p>
    <w:p>
      <w:pPr>
        <w:spacing w:after="0" w:line="11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As a result of our relationship with Intel, we have access to unique and differentiating technologies such as proprietary silicon photonics fabrication technologies, capable of putting active and passive optical 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and Ratings</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0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1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Europe, certain vehicle safety regulations apply to self- 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99"/>
        <w:spacing w:after="0" w:line="258" w:lineRule="auto"/>
        <w:rPr>
          <w:sz w:val="20"/>
          <w:szCs w:val="20"/>
          <w:color w:val="auto"/>
        </w:rPr>
      </w:pPr>
      <w:r>
        <w:rPr>
          <w:rFonts w:ascii="Times New Roman" w:cs="Times New Roman" w:eastAsia="Times New Roman" w:hAnsi="Times New Roman"/>
          <w:sz w:val="18"/>
          <w:szCs w:val="18"/>
          <w:color w:val="auto"/>
        </w:rPr>
        <w:t>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October 7, 2022, the U.S. Department of Commerce, Bureau of Industry and Security (“BIS”) announced new restrictions on the export of advanced computing integrated circuits and related items to China and certain other jurisdictions. While these restrictions are new and have not yet been interpreted and applied, based on our existing customer base and the export classifications for our existing chip products, we do not believe that these new U.S. export controls will have a material impact on our sales of these products to our existing customers in China. Export control regulations adopted by the United States and other jurisdictions are subject to change and interpretation, and it is possible that future regulatory actions by BIS impacting U.S. exports of integrated circuits and related items to China could have a material impact on our business operations in China.</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12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327"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340"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0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 are extremely hard to replicate.</w:t>
      </w:r>
    </w:p>
    <w:p>
      <w:pPr>
        <w:spacing w:after="0" w:line="133"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impacting the market for our solutions include:</w:t>
      </w:r>
    </w:p>
    <w:p>
      <w:pPr>
        <w:spacing w:after="0" w:line="117" w:lineRule="exact"/>
        <w:rPr>
          <w:sz w:val="20"/>
          <w:szCs w:val="20"/>
          <w:color w:val="auto"/>
        </w:rPr>
      </w:pPr>
    </w:p>
    <w:p>
      <w:pPr>
        <w:ind w:left="1800" w:right="53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our technology platform including SoCs, sensing and perception technologies, sensor fusion architecture, high-precision mapping system, and supporting software and algorithms;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and develop ADAS and autonomous driving solutions that meet our customers’ needs;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quality standards, compliance, and performance in all areas of ADAS and autonomous driving;</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software validation and robust product release discipline;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cost efficiency of our solutions;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capabilities, the ability to innovate and continuously improve our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support for our customers;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reliability and the ability to make on-time delivery of appropriate quantities of product at a consistent level of quality;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regulatory requirements;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 including the ability to market new offerings.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1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0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As of July 2, 2022, we had approximately 3,100 employees operating across eight countries, with approximately 80% of such employees involved in research and development and approximately 2,900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570230</wp:posOffset>
            </wp:positionV>
            <wp:extent cx="5212080" cy="23399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26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27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9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and Shanghai, which include on Intel’s sites. We are currently making investments and are building a new campus in Jerusalem, Israel, which is expected to be completed in 2022. We have also signed a lease for additional new office space near Tel Aviv that we expect to begin utilizing in 2023 and are working to enter into additional leases for more office space in various locations around the world.</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94"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For example, on July 2, 2020, plaintiffs filed a complaint seeking monetary damages and class certification against our Israeli subsidiary in the District Court in Lod, Israel for an alleged defect in the display of one of our aftermarket products sold in Israel. Mobileye responded to the claim and the parties informed the court on January 3, 2022 that they have agreed to refer the suit to mediation. Additionally, on February 24, 2021, a plaintiff filed a complaint against Intel’s Italian subsidiary in the Court of Milan, Italy, Enterprises Section, alleging patent infringement relating to driver assistance systems. On May 19, 2021, Intel’s Italian subsidiary filed a statement of defense claiming that it is not the appropriate entity to be named as a defendant and that the plaintiff’s patent is invalid. The disputed technology is currently under review by a technical consultant appointed by the court, and we have not been named a defendant. As the likelihood of the ultimate outcome of these proceedings is not currently determinable, no amounts in respect of these matters have been accrued in our financial statements. We intend to vigorously defend each of these matters. We do not believe that these matters, and we are not a party to any other legal proceedings that we believe, if determined adversely to us, would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Set forth below are the names, ages and positions as of the date hereof of our executive officers, directors, and our director nominees who are expected to join our board of directors upon completion of this offering.</w:t>
      </w:r>
    </w:p>
    <w:p>
      <w:pPr>
        <w:spacing w:after="0" w:line="19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42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Chair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2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3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Gavriel Hayon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Executive Vice President, Research and Development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Shai Shalev-Shwartz</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Technology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Eyal Desheh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Jon M. Huntsman, Jr.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Christine Pambianchi</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5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Saf Yeboah-Amankwah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Nominee</w:t>
            </w:r>
          </w:p>
        </w:tc>
        <w:tc>
          <w:tcPr>
            <w:tcW w:w="23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39" w:firstLine="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Amnon Shashua </w:t>
      </w:r>
      <w:r>
        <w:rPr>
          <w:rFonts w:ascii="Times New Roman" w:cs="Times New Roman" w:eastAsia="Times New Roman" w:hAnsi="Times New Roman"/>
          <w:sz w:val="18"/>
          <w:szCs w:val="18"/>
          <w:color w:val="auto"/>
        </w:rPr>
        <w:t>is our co-founder and has been serving as our Chief Executive Officer and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2017 and as our director since our founding in 1999. He has also been serving as a Senior Vice President at Intel since 2017. Professor Shashua is expected to resign from his position at Intel in connection with the consummation of this offering and our continuation as a separate company.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33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Patrick P. Gelsinger </w:t>
      </w:r>
      <w:r>
        <w:rPr>
          <w:rFonts w:ascii="Times New Roman" w:cs="Times New Roman" w:eastAsia="Times New Roman" w:hAnsi="Times New Roman"/>
          <w:sz w:val="18"/>
          <w:szCs w:val="18"/>
          <w:color w:val="auto"/>
        </w:rPr>
        <w:t>has been the chair of our board of directors since September 2022. He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Senior Vice President and Co-General Manager of the Digital Enterprise Group from 2005 to</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324"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Anat Heller </w:t>
      </w:r>
      <w:r>
        <w:rPr>
          <w:rFonts w:ascii="Times New Roman" w:cs="Times New Roman" w:eastAsia="Times New Roman" w:hAnsi="Times New Roman"/>
          <w:sz w:val="18"/>
          <w:szCs w:val="18"/>
          <w:color w:val="auto"/>
        </w:rPr>
        <w:t>has been serving as our Chief Financial Officer since 2018. Prior to her current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0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Gavriel Hayon </w:t>
      </w:r>
      <w:r>
        <w:rPr>
          <w:rFonts w:ascii="Times New Roman" w:cs="Times New Roman" w:eastAsia="Times New Roman" w:hAnsi="Times New Roman"/>
          <w:sz w:val="18"/>
          <w:szCs w:val="18"/>
          <w:color w:val="auto"/>
        </w:rPr>
        <w:t>has been serving as our Executive Vice President, Research and Development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Dr. Hayon joined Mobileye in 1999 as an algorithm developer and had since led teams responsible for computer vision algorithms and led the algorithms department. In 2004, Dr. Hayon became the Vice President of Research and Development, leading the development and bringing to production multiple ADAS products. In 2017, in connection with our acquisition by Intel, Dr. Hayon became a Vice President of Intel. Mr. Hayon is expected to resign from his position at Intel in connection with the consummation of this offering and our continuation as a separate company. Prior to his work at Mobileye, Dr. Hayon was an algorithms developer at Applied Materials (Nasdaq: AMAT) . Dr. Hayon received his Ph.D. in AI from the Hebrew University, his M.Sc. in physics from the Weitzman Institute and his B.Sc. degree in physics from the Technion Israel Institute of Technology.</w:t>
      </w:r>
    </w:p>
    <w:p>
      <w:pPr>
        <w:spacing w:after="0" w:line="3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Shai Shalev-Shwartz </w:t>
      </w:r>
      <w:r>
        <w:rPr>
          <w:rFonts w:ascii="Times New Roman" w:cs="Times New Roman" w:eastAsia="Times New Roman" w:hAnsi="Times New Roman"/>
          <w:sz w:val="18"/>
          <w:szCs w:val="18"/>
          <w:color w:val="auto"/>
        </w:rPr>
        <w:t>has been serving as our Chief Technology Officer since 2018. In 2017,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our acquisition by Intel, Professor Shalev-Shwartz became a Senior Fellow of Intel. Professor Shalev-Shwartz is expected to resign from his position at Intel in connection with the consummation of this offering and our continuation as a separate company.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3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Eyal Desheh </w:t>
      </w:r>
      <w:r>
        <w:rPr>
          <w:rFonts w:ascii="Times New Roman" w:cs="Times New Roman" w:eastAsia="Times New Roman" w:hAnsi="Times New Roman"/>
          <w:sz w:val="18"/>
          <w:szCs w:val="18"/>
          <w:color w:val="auto"/>
        </w:rPr>
        <w:t>has been elected to join our board of directors upon the completion of this offering.</w:t>
      </w:r>
    </w:p>
    <w:p>
      <w:pPr>
        <w:spacing w:after="0" w:line="3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Mr. Desheh 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7" w:lineRule="auto"/>
        <w:rPr>
          <w:sz w:val="20"/>
          <w:szCs w:val="20"/>
          <w:color w:val="auto"/>
        </w:rPr>
      </w:pPr>
      <w:r>
        <w:rPr>
          <w:rFonts w:ascii="Times New Roman" w:cs="Times New Roman" w:eastAsia="Times New Roman" w:hAnsi="Times New Roman"/>
          <w:sz w:val="18"/>
          <w:szCs w:val="18"/>
          <w:color w:val="auto"/>
        </w:rPr>
        <w:t>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33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Jon M. Huntsman, Jr. </w:t>
      </w:r>
      <w:r>
        <w:rPr>
          <w:rFonts w:ascii="Times New Roman" w:cs="Times New Roman" w:eastAsia="Times New Roman" w:hAnsi="Times New Roman"/>
          <w:sz w:val="18"/>
          <w:szCs w:val="18"/>
          <w:color w:val="auto"/>
        </w:rPr>
        <w:t>has been elected to join our board of directors upon the completion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Governor Huntsman has been serving as Vice Chair, Policy at Ford Motor Company (NYSE: F) (“Ford”) since 2021 and as a director of Ford since 2020. He previously also served as a director of Ford from 2012 to 2017. We currently supply our solutions to Ford through our Tier 1 customers. As disclosed elsewhere in this prospectus,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Claire C. McCaskill </w:t>
      </w:r>
      <w:r>
        <w:rPr>
          <w:rFonts w:ascii="Times New Roman" w:cs="Times New Roman" w:eastAsia="Times New Roman" w:hAnsi="Times New Roman"/>
          <w:sz w:val="18"/>
          <w:szCs w:val="18"/>
          <w:color w:val="auto"/>
        </w:rPr>
        <w:t>has been elected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10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Christine Pambianchi </w:t>
      </w:r>
      <w:r>
        <w:rPr>
          <w:rFonts w:ascii="Times New Roman" w:cs="Times New Roman" w:eastAsia="Times New Roman" w:hAnsi="Times New Roman"/>
          <w:sz w:val="18"/>
          <w:szCs w:val="18"/>
          <w:color w:val="auto"/>
        </w:rPr>
        <w:t>has been elected to join our board of directors upon the completion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w:t>
      </w:r>
    </w:p>
    <w:p>
      <w:pPr>
        <w:spacing w:after="0" w:line="3"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Frank D. Yeary </w:t>
      </w:r>
      <w:r>
        <w:rPr>
          <w:rFonts w:ascii="Times New Roman" w:cs="Times New Roman" w:eastAsia="Times New Roman" w:hAnsi="Times New Roman"/>
          <w:sz w:val="18"/>
          <w:szCs w:val="18"/>
          <w:color w:val="auto"/>
        </w:rPr>
        <w:t>has been elected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Yeary has been serving as Principal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Intel. Mr. Yeary earned his B.A. from the University of California, Berkeley. Mr. Yeary was selected to serve on our board of directors due to his financial strategy and global M&amp;A expertise, including expertise in financial reporting.</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Saf Yeboah-Amankwah </w:t>
      </w:r>
      <w:r>
        <w:rPr>
          <w:rFonts w:ascii="Times New Roman" w:cs="Times New Roman" w:eastAsia="Times New Roman" w:hAnsi="Times New Roman"/>
          <w:sz w:val="18"/>
          <w:szCs w:val="18"/>
          <w:color w:val="auto"/>
        </w:rPr>
        <w:t>has been elected to join our board of directors upon the completion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Mr. Yeboah-Amankwah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Mr. Yeboah-Amankwah was selected to serve on our board of directors due to his extensive experience advising tech companies on transformation, growth and operations and his experience with mergers and acquisitions.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have amended and restated our certificate of incorporation and bylaws. Our amended and restated certificate of incorporation provides that the number of directors on our board of directors shall be no less than five and established from time to time by our board of directors. Immediately after this offering, our board of directors will be composed of eight members, as set forth above. Mr. Gelsinger will serve as the chair of our board of directors. Each director will continue to serve until the election and qualification of his, her or their successor, or until the earliest of his, her or their death, resignation, or removal.</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will be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will be a controlled company, we will be required to comply with the rules of the SEC and Nasdaq relating to the membership, qualifications, and operations of the audit committee, as discussed below.</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rules of Nasdaq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99.4% of the voting power of our common stock (or approximately</w:t>
      </w:r>
    </w:p>
    <w:p>
      <w:pPr>
        <w:spacing w:after="0" w:line="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99.3% if the underwriters exercise their option to purchase additional shares of our Class A common stock in full). Through its control of shares of common stock representing a majority of the votes entitled to be cast in the election of directors, Intel will have the ability to control the vote to elect all of our directors. Accordingly, we will qualify as a “controlled company” under the listing requirements of Nasdaq and will be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compensation of less than $120,000.</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we will establish the following committees of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61" w:lineRule="exact"/>
        <w:rPr>
          <w:sz w:val="20"/>
          <w:szCs w:val="20"/>
          <w:color w:val="auto"/>
        </w:rPr>
      </w:pPr>
    </w:p>
    <w:p>
      <w:pPr>
        <w:ind w:left="1800" w:right="77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Upon the completion of this offering, the members of our audit committee will be Mr. Desheh, Senator McCaskill, and Mr. Yeary. Mr. Desheh will serve as the chair of our audit committee. Rule 10A-3 of the Exchange Act and the corporate governance standards of Nasdaq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Mr. Desheh, Senator McCaskill, and Mr. Yeary meet the definition of “independent director” for purposes of serving on our audit committee under Rule 10A-3 of the Exchange Act and the corporate governance standards of Nasdaq. Our board of directors has determined that each director appointed to our audit committee is financially literate. Our board of directors has determined that Mr. Desheh is an “audit committee financial expert” as such term is defined in Item 407(d)(5) of Regulation S-K.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of directors approve, the compensation of our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equity grants under the 2022 Plan (as defined below) to employees and consultants and recommend such grants to directors for approval by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of directors with respect to, incentive compensation and equity plans;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overall compensation philosophy.</w:t>
      </w:r>
    </w:p>
    <w:p>
      <w:pPr>
        <w:spacing w:after="0" w:line="15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members of our compensation committee will be Mr. Desheh, Ms. Pambianchi, and Mr. Yeary. Ms. Pambianchi will serve as the chair of our compensation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2" w:lineRule="exact"/>
        <w:rPr>
          <w:sz w:val="20"/>
          <w:szCs w:val="20"/>
          <w:color w:val="auto"/>
        </w:rPr>
      </w:pPr>
    </w:p>
    <w:p>
      <w:pPr>
        <w:ind w:left="1800" w:right="95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select as nominees individuals qualified to become new directors, consistent with criteria approved by our board of directors;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appoint those directors that are qualified to serve on any committee of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corporate governance principles applicable to us;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w:t>
      </w:r>
    </w:p>
    <w:p>
      <w:pPr>
        <w:spacing w:after="0" w:line="144" w:lineRule="exact"/>
        <w:rPr>
          <w:sz w:val="20"/>
          <w:szCs w:val="20"/>
          <w:color w:val="auto"/>
        </w:rPr>
      </w:pPr>
    </w:p>
    <w:p>
      <w:pPr>
        <w:jc w:val="both"/>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members of our nominating and corporate governance committee will be Governor Huntsman, Ms. Pambianchi, and Mr. Yeboah-Amankwah. Mr. Yeboah-Amankwah will serve as the chair of our nominating and corporate governance committee.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have adopted, to be effective as of the completion of this offering,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 ended December 25, 2021. Except as otherwise indicated, the information in this section relates to the compensation of our NEOs, and the principles underlying our executive compensation policies, in respect of fiscal year 2021. Our NEOs for the year ended December 25, 2021 were as follows:</w:t>
      </w:r>
    </w:p>
    <w:p>
      <w:pPr>
        <w:spacing w:after="0" w:line="72"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Chief Executive Officer;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Anat Heller, Chief Financial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Shai Shalev-Shwartz,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Gaby Hayon, Executive Vice President, Research &amp; Development; and</w:t>
      </w:r>
    </w:p>
    <w:p>
      <w:pPr>
        <w:spacing w:after="0" w:line="90"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Erez Dagan, Executive Vice President, Products &amp; Strategy. 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11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in the “Summary Compensation Table,” as well as the overall principles underlying our executive compensation policies as we move toward becoming a public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69" w:lineRule="exact"/>
        <w:rPr>
          <w:sz w:val="20"/>
          <w:szCs w:val="20"/>
          <w:color w:val="auto"/>
        </w:rPr>
      </w:pPr>
    </w:p>
    <w:p>
      <w:pPr>
        <w:ind w:left="1800" w:right="459" w:hanging="180"/>
        <w:spacing w:after="0" w:line="275"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opportunities in order to attract and retain talented, high performing and experienced executive officers, whose knowledge, skills and performance are critical to our success;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achieve our business and financial objectives;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compensation and governance with regular review of external market best practices.</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we transition from being a privately held company to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which may become relevant once we are a publicly traded company.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of our NEOs includes two primary elements: (i) base salary and (ii) equity</w:t>
      </w:r>
    </w:p>
    <w:p>
      <w:pPr>
        <w:spacing w:after="0" w:line="27"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compensation. Our model focuses on equity compensation as the key element of total compensation. A meaningful portion of executive pay is tied directly to stockholder outcomes and value creation through annual RSU grants.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Base salary is provided as a fixed source of compensation for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NEOs. Adjustments to base salaries are expected to be determined annually and base salaries may be increased based on the executive officer’s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106"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Other Cash Compensation</w:t>
      </w:r>
      <w:r>
        <w:rPr>
          <w:rFonts w:ascii="Times New Roman" w:cs="Times New Roman" w:eastAsia="Times New Roman" w:hAnsi="Times New Roman"/>
          <w:sz w:val="18"/>
          <w:szCs w:val="18"/>
          <w:color w:val="auto"/>
        </w:rPr>
        <w:t>. We do not currently provide our NEOs with annual cash incentives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regular cash bonuses or sales commissions.</w:t>
      </w:r>
    </w:p>
    <w:p>
      <w:pPr>
        <w:spacing w:after="0" w:line="9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Equity based compensation is provided to our NEOs to align their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is a significant component of our compensation program. Annual equity awards are generally made through time- and on occasion, performance-based restricted stock units, providing long-term incentives differentiated based on talent assessment, level of contribution and performance. The key features of our equity compensation program are described below under “— Equity-Based Compensation Prior to the Offering.” We adopted a new equity incentive plan in connection with the Offering, as described below under “— Equity-Based Compensation Following the Offering.”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fiscal year 2021 and generally in prior years, the appropriate levels of annual salary and equity compensation for our NEOs (other than our CEO) were determined by our CEO, who provided his determinations to Intel’s human resources department, which communicated such determinations for consideration and final approval by the compensation committee of Intel’s board of directors. Such determinations took into account each NEO’s experience and roles as well the compensation practices of similar companies in our industry. Our CEO’s compensation has generally been determined by the compensation committee of Intel’s board of directors upon recommendations from Intel’s human resources department.</w:t>
      </w:r>
    </w:p>
    <w:p>
      <w:pPr>
        <w:spacing w:after="0" w:line="11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Following our transition to being a publicly traded company, our compensation committee will be responsible for, or will assist our board of directors, in fulfilling its governance and supervisory responsibilities, and overseeing our human resources, succession planning, and compensation policies, processes and practices. Our compensation committee will also be responsible for ensuring that our compensation policies and practices appropriately balance of risk and reward consistent with our risk profile and do not encourage excessive risk-taking behavior by our executive officers, including our NEOs.</w:t>
      </w:r>
    </w:p>
    <w:p>
      <w:pPr>
        <w:spacing w:after="0" w:line="11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our board of directors will adopt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will include reviewing compensation objectives, evaluating performance, and ensuring that total compensation paid to executive officers, including our NEOs, is reasonable, and consistent with the objectives and philosophy of our compensation program.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Generally, initial salaries of our NEOs were established through arm’s length negotiation at the time the individual executive officer was hired. Following the determination of initial salaries, over the years we have been conducting annual reviews of each NEO’s base salary and have adjusted as necessary to reflect individual contributions and responsibilities and to maintain market competitiveness.</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base salaries in accordance with the policies described above:</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2021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2020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60" w:type="dxa"/>
            <w:vAlign w:val="bottom"/>
          </w:tcPr>
          <w:p>
            <w:pPr>
              <w:spacing w:after="0"/>
              <w:rPr>
                <w:sz w:val="17"/>
                <w:szCs w:val="17"/>
                <w:color w:val="auto"/>
              </w:rPr>
            </w:pPr>
          </w:p>
        </w:tc>
      </w:tr>
      <w:tr>
        <w:trPr>
          <w:trHeight w:val="214"/>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263,417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198,674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261,960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-856615</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-856615</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-856615</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79" w:hanging="360"/>
        <w:spacing w:after="0" w:line="261"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figures include an amount reflecting global overtime and a high-tech addition, which is a fixed salary component for each NEO, as applicable. Such component was cancelled in March 2022, to all of the Company's employees, and the component amount was divided between the base salary and global overtime component.</w:t>
      </w:r>
    </w:p>
    <w:p>
      <w:pPr>
        <w:spacing w:after="0" w:line="31"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Shashua’s monthly salary was increased in August 2020 to $21,951.41 in order to align his salary with the salaries of the Company's executive vice presidents. The amounts in the table represent the adjusted salary and percentage increase to reflect the mid-year salary increase.</w:t>
      </w:r>
    </w:p>
    <w:p>
      <w:pPr>
        <w:spacing w:after="0" w:line="27"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Mr. Dagan’s 2020 salary and his 2021 salary is the result of unpaid absence days taken in 2021 rather than a determination of a smaller base salary.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 Retirement and Welfare Benefits</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73" w:lineRule="exact"/>
        <w:rPr>
          <w:sz w:val="20"/>
          <w:szCs w:val="20"/>
          <w:color w:val="auto"/>
        </w:rPr>
      </w:pPr>
    </w:p>
    <w:p>
      <w:pPr>
        <w:ind w:left="1800" w:right="579" w:hanging="180"/>
        <w:spacing w:after="0" w:line="254"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Pension and Severance Benefits</w:t>
      </w:r>
      <w:r>
        <w:rPr>
          <w:rFonts w:ascii="Times New Roman" w:cs="Times New Roman" w:eastAsia="Times New Roman" w:hAnsi="Times New Roman"/>
          <w:sz w:val="18"/>
          <w:szCs w:val="18"/>
          <w:color w:val="auto"/>
        </w:rPr>
        <w:t>. In Israel, we generally provide our executives,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82"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Generally, benefits available to our Israel-based employees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w:t>
      </w:r>
    </w:p>
    <w:p>
      <w:pPr>
        <w:ind w:left="180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also include payments for national health insurance. The payments to the National Insurance Institute amount to approximately 19.6% of wages (up to monthly wages of approx. NIS 45,075, approximately $14,314), of which the employee contributes approximately 7%</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spacing w:after="0" w:line="282" w:lineRule="auto"/>
        <w:rPr>
          <w:sz w:val="20"/>
          <w:szCs w:val="20"/>
          <w:color w:val="auto"/>
        </w:rPr>
      </w:pPr>
      <w:r>
        <w:rPr>
          <w:rFonts w:ascii="Times New Roman" w:cs="Times New Roman" w:eastAsia="Times New Roman" w:hAnsi="Times New Roman"/>
          <w:sz w:val="18"/>
          <w:szCs w:val="18"/>
          <w:color w:val="auto"/>
        </w:rPr>
        <w:t>toward natural insurance and 5% toward national health insurance and the employer contributes approximately 7.6% toward national insurance.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33" w:lineRule="exact"/>
        <w:rPr>
          <w:sz w:val="20"/>
          <w:szCs w:val="20"/>
          <w:color w:val="auto"/>
        </w:rPr>
      </w:pPr>
    </w:p>
    <w:p>
      <w:pPr>
        <w:ind w:left="1800" w:right="419" w:hanging="180"/>
        <w:spacing w:after="0" w:line="258"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 of Automobiles</w:t>
      </w:r>
      <w:r>
        <w:rPr>
          <w:rFonts w:ascii="Times New Roman" w:cs="Times New Roman" w:eastAsia="Times New Roman" w:hAnsi="Times New Roman"/>
          <w:sz w:val="18"/>
          <w:szCs w:val="18"/>
          <w:color w:val="auto"/>
        </w:rPr>
        <w:t>. As is customary in Israel, we lease automobiles for certain of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Anat Heller and Shai Shalev-Shwartz. The lease amount and the applicable taxes are deducted from Ms. Heller’s salary on a monthly basis (NIS 4,900, approximately $1,556, per month). Prof. Shwartz’s automobile lease is paid for by the Company and Prof. Shwartz pays for the taxes incurred in connection with this benefit.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Prior to the Offering</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Until the date of this offering, executive officers of the Company have been incentivized and rewarded through the grant of Intel equity awards under the Intel Corporation 2006 Equity Incentive Plan (the “</w:t>
      </w:r>
      <w:r>
        <w:rPr>
          <w:rFonts w:ascii="Times New Roman" w:cs="Times New Roman" w:eastAsia="Times New Roman" w:hAnsi="Times New Roman"/>
          <w:sz w:val="18"/>
          <w:szCs w:val="18"/>
          <w:u w:val="single" w:color="auto"/>
          <w:color w:val="auto"/>
        </w:rPr>
        <w:t>Intel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Equity awards were granted under the Intel Plan to our executive officers, including our NEOs, based upon the recommendation of our CEO and subject to the approval of the compensation committee of Intel’s board of directors. The CEO recommends the grant of equity awards based on the value and contributions of each executive to the Company as well as market conditions and the equity compensation of high technology talent in Israel. Our CEO’s compensation has generally been determined by the compensation committee of Intel’s board of directors upon recommendations from Intel’s human resources department.</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prior years, including in fiscal year 2021, the key component of our equity-based compensation program has been the grant of restricted stock units. All outstanding equity awards awarded under the Intel Plan that were granted prior to the offering will continue to vest and remain outstanding under the Intel Plan following the offering. Equity awards outstanding as of December 25, 2021 are set forth in the “Outstanding Equity Awards at Fiscal Year-End Table” below. It is anticipated that new equity awards in the form of restricted stock units, or other forms of awards that may be approved by our compensation committee from time to time following the offering, will be granted pursuant to the Company’s 2022 Equity Incentive Plan, as described in further detail below.</w:t>
      </w:r>
    </w:p>
    <w:p>
      <w:pPr>
        <w:spacing w:after="0" w:line="12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equity award grants in accordance with the process and policies described above: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Intel RSUs </w:t>
            </w:r>
            <w:r>
              <w:rPr>
                <w:rFonts w:ascii="Times New Roman" w:cs="Times New Roman" w:eastAsia="Times New Roman" w:hAnsi="Times New Roman"/>
                <w:sz w:val="24"/>
                <w:szCs w:val="24"/>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23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​11,121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3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​66,724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p>
        </w:tc>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-831215</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Restricted stock units have been granted under the Intel Plan to our executive officers annually, typically in October. Our CEO evaluates the awards to be granted to the management team, including our NEOs, and recommends such awards to Intel’s human resources department, who then seeks the approval of Intel’s compensation committee. The CEO evaluates performance as well as prior year targets when making recommendations. The restricted stock unit awards typically vest annually over a three-year period, subject to continued employment with the Company. In October 2021, the compensation committee of Intel’s board of directors approved grants of restricted stock units to our executive officers as set forth in the “Summary Compensation Table” and “Grants of Plan-Based Awards Table in the Fiscal Year Ended December 25, 2021,” below.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2017, when Mobileye was acquired by Intel, certain option awards held by then-current executives were converted into Intel option awards (the “2017 Options”). As of 2021 fiscal year end, all 2017 Options that were granted to our NEOs are fully vested. The option awards exercised in fiscal year 2021 are set forth in the “Option Exercises and Stock Vested Table” below. The 2017 Options that remain outstanding are reflected in the “Outstanding Equity Awards at Fiscal Year-End Table” below. Since Mobileye was acquired by Intel in 2017, executives have been granted only time-based restricted stock units, except for the performance-based awards granted to Erez Dagan, as summarized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60"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our NEOs on occasion. When granted, they are intended to align interests of executives with those of stockholders through the use of measures the Company believes drives its long-term success. The compensation committee of Intel’s board of directors granted a performance-based equity award to our NEO, Erez Dagan, who is currently the only NEO who holds a performance-based equity award, as further described below. We may also consider performance based equity to our CEO from time to time.</w:t>
      </w:r>
    </w:p>
    <w:p>
      <w:pPr>
        <w:spacing w:after="0" w:line="106"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performance-based equity awards granted to Mr. Dagan are reflected in the “Outstanding Equity Awards at Fiscal Year-End Table” below. In fiscal year 2021, we did not grant any performance-based awards to our NEOs.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Following the Offering</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Following the offering, we will establish a compensation committee that will be responsible for making recommendations for equity awards to be granted to our executive officers. In connection with the offering, the Company has adopted the Mobileye Holdings Inc. 2022 Equity Incentive Plan, which was renamed and approved as the Mobileye Global Inc. 2022 Equity Incentive Plan (the “2022 Plan”), which was adopted by our board of directors on January 30, 2022 and approved by our stockholder on September 30, 2022. The 2022 Plan will allow the compensation committee to make equity-based incentive awards to our employees, consultants and outside directors.</w:t>
      </w:r>
    </w:p>
    <w:p>
      <w:pPr>
        <w:spacing w:after="0" w:line="11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maximum number of shares that may be issued under the 2022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of our outstanding common stock as of the completion of the transactions contemplated hereby, including any exercise of the underwriters’ option to purchase additional shares of our Class A common stock, or 39,788,095 shares, subject to adjustment upon certain changes in the Company’s capitalization and assuming no exercise of the underwriters’ option to purchase additional shares of our Class A common stock. The shares issued under the 2022 Plan may be authorized and unissued shares, or reacquired common stock, including shares purchased by the Company on the open market for purposes of the plan.</w:t>
      </w:r>
    </w:p>
    <w:p>
      <w:pPr>
        <w:spacing w:after="0" w:line="10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share reserve under the 2022 Plan will be subject to adjustment in the event of a stock dividend, stock split, combination of shares, extraordinary dividend of cash and/or assets, recapitalization, reorganization or any similar equity restructuring transacting affecting shares. Any shares subject to an award which for any reason expires or terminates unexercised or is not earned in full may again be made subject to an award under the plan; however,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 The maximum number of shares that may be issued as incentive stock options under the 2022 Plan may not exceed 39,788,095 shares. Of these 39,788,095 shares, 12,595,238 shares (based on the initial public offering price of $21.00 per share) are expected to be issuable upon the vesting of restricted stock units to be issued under our equity incentive plan upon the completion of this offering pursuant to the prior approval of our board of directors of issuances in an aggregate value of $264,500,000.</w:t>
      </w:r>
    </w:p>
    <w:p>
      <w:pPr>
        <w:spacing w:after="0" w:line="118" w:lineRule="exact"/>
        <w:rPr>
          <w:sz w:val="20"/>
          <w:szCs w:val="20"/>
          <w:color w:val="auto"/>
        </w:rPr>
      </w:pPr>
    </w:p>
    <w:p>
      <w:pPr>
        <w:ind w:left="1260" w:right="53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2022 Plan will be administered by our compensation committee.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will have full power to take the following actions, subject to the provisions of the 2022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2022 Plan, including the forms of award agreement and manner of acceptance of an award, and to take or approve such further actions as it determines necessary or appropriate to the administration of the 2022 Plan and awards;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to receive awards and to grant awards to such persons;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vary the extent of satisfaction of any performance goals or other conditions applicable to the grant, issuance, exercisability, vesting and/or ability to retain any award;</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agreements or other documents evidencing awards made under the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the extent to which, adjustments are required;</w:t>
      </w:r>
    </w:p>
    <w:p>
      <w:pPr>
        <w:spacing w:after="0" w:line="130"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any award, without consideration, and without requirement of the consent of the participant;</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the plan and any rules and regulations under the 2022 Plan and award granted thereunder;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the 2022 Plan.</w:t>
      </w:r>
    </w:p>
    <w:p>
      <w:pPr>
        <w:spacing w:after="0" w:line="92"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2022 Plan will be those employees, outside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consultants, as selected from time to time by our compensation committee in its discretion.</w:t>
      </w:r>
    </w:p>
    <w:p>
      <w:pPr>
        <w:spacing w:after="0" w:line="77"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2022 Plan permits the granting of both options to purchase common stock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incentive stock options under Section 422 of the Code and options that do not so qualify.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1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Our compensation committee will be able to award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subject to such conditions and restrictions as it may 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Our compensation committee will be able to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of common stock and RSUs to participants subject to such conditions and restrictions as it may determine. These conditions and restrictions may include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3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Subject to certain restrictions, our board of directors may amend, alter or discontinue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No amendment or alteration which would impair the rights of any participant, will be made without the participant’s consent, provided, no such consent is required if the compensation committee otherwise determines in its sole discretion that such amendment or alteration either</w:t>
      </w:r>
    </w:p>
    <w:p>
      <w:pPr>
        <w:spacing w:after="0" w:line="5" w:lineRule="exact"/>
        <w:rPr>
          <w:sz w:val="20"/>
          <w:szCs w:val="20"/>
          <w:color w:val="auto"/>
        </w:rPr>
      </w:pPr>
    </w:p>
    <w:p>
      <w:pPr>
        <w:ind w:left="1260" w:right="519"/>
        <w:spacing w:after="0" w:line="253" w:lineRule="auto"/>
        <w:tabs>
          <w:tab w:leader="none" w:pos="14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No awards may be granted under the 2022 Plan after the date that is ten years from the date immediately preceding the registration date and no incentive stock options may be granted under the 2022 Plan after the date that is ten years from the date the 2022 Plan was approved by the board of directors. No awards under the 2022 Plan have been made prior to the date hereof.</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Equity Awards and Other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offering, we are making the following additional equity grants to our NEOs: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 Amnon Shashua:</w:t>
      </w:r>
    </w:p>
    <w:p>
      <w:pPr>
        <w:spacing w:after="0" w:line="158"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color w:val="auto"/>
        </w:rPr>
        <w:t>Upon successful completion of the IPO, Prof. Shashua will be eligible to receive: (i) an annual base salary of $800,000, which we anticipate will be retroactive to January 1, 2022; and (ii) an annual equity award representing approximately $14,200,000, with specific terms of the award to be determined.</w:t>
      </w:r>
    </w:p>
    <w:p>
      <w:pPr>
        <w:spacing w:after="0" w:line="2" w:lineRule="exact"/>
        <w:rPr>
          <w:sz w:val="20"/>
          <w:szCs w:val="20"/>
          <w:color w:val="auto"/>
        </w:rPr>
      </w:pPr>
    </w:p>
    <w:p>
      <w:pPr>
        <w:ind w:left="1260" w:right="579"/>
        <w:spacing w:after="0" w:line="265" w:lineRule="auto"/>
        <w:rPr>
          <w:sz w:val="20"/>
          <w:szCs w:val="20"/>
          <w:color w:val="auto"/>
        </w:rPr>
      </w:pPr>
      <w:r>
        <w:rPr>
          <w:rFonts w:ascii="Times New Roman" w:cs="Times New Roman" w:eastAsia="Times New Roman" w:hAnsi="Times New Roman"/>
          <w:sz w:val="18"/>
          <w:szCs w:val="18"/>
          <w:color w:val="auto"/>
        </w:rPr>
        <w:t>Additionally, Prof. Shashua has the option to invest up to $10,000,000 of his own capital in Mobileye, and such investment may be made, if Prof. Shashua so elects, by purchasing shares of our Class A common stock in this offering. Furthermore, if such investment is made, it will be matched on a three-to-one basis through grants of additional awards of our equity, vesting 50% in the fourth year following the completion of this offering and 50% in the fifth year following the completion of this offering, with specific terms of the grant to be determined.</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NEOs: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Grant</w:t>
            </w:r>
          </w:p>
        </w:tc>
        <w:tc>
          <w:tcPr>
            <w:tcW w:w="60" w:type="dxa"/>
            <w:vAlign w:val="bottom"/>
          </w:tcPr>
          <w:p>
            <w:pPr>
              <w:spacing w:after="0"/>
              <w:rPr>
                <w:sz w:val="14"/>
                <w:szCs w:val="14"/>
                <w:color w:val="auto"/>
              </w:rPr>
            </w:pPr>
          </w:p>
        </w:tc>
      </w:tr>
      <w:tr>
        <w:trPr>
          <w:trHeight w:val="149"/>
        </w:trPr>
        <w:tc>
          <w:tcPr>
            <w:tcW w:w="6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RSUs</w:t>
            </w:r>
          </w:p>
        </w:tc>
        <w:tc>
          <w:tcPr>
            <w:tcW w:w="60" w:type="dxa"/>
            <w:vAlign w:val="bottom"/>
          </w:tcPr>
          <w:p>
            <w:pPr>
              <w:spacing w:after="0"/>
              <w:rPr>
                <w:sz w:val="12"/>
                <w:szCs w:val="12"/>
                <w:color w:val="auto"/>
              </w:rPr>
            </w:pPr>
          </w:p>
        </w:tc>
      </w:tr>
      <w:tr>
        <w:trPr>
          <w:trHeight w:val="227"/>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17"/>
                <w:szCs w:val="17"/>
                <w:b w:val="1"/>
                <w:bCs w:val="1"/>
                <w:color w:val="auto"/>
                <w:vertAlign w:val="superscript"/>
              </w:rPr>
              <w:t>(1)</w:t>
            </w:r>
          </w:p>
        </w:tc>
        <w:tc>
          <w:tcPr>
            <w:tcW w:w="112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Grant Year </w:t>
            </w:r>
            <w:r>
              <w:rPr>
                <w:rFonts w:ascii="Times New Roman" w:cs="Times New Roman" w:eastAsia="Times New Roman" w:hAnsi="Times New Roman"/>
                <w:sz w:val="26"/>
                <w:szCs w:val="26"/>
                <w:b w:val="1"/>
                <w:bCs w:val="1"/>
                <w:color w:val="auto"/>
                <w:vertAlign w:val="subscript"/>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3,284,566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​​10,000,000​</w:t>
            </w:r>
          </w:p>
        </w:tc>
      </w:tr>
      <w:tr>
        <w:trPr>
          <w:trHeight w:val="25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 Development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11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2,284,566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-496570</wp:posOffset>
            </wp:positionV>
            <wp:extent cx="137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-496570</wp:posOffset>
            </wp:positionV>
            <wp:extent cx="1371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right="939" w:hanging="360"/>
        <w:spacing w:after="0" w:line="282"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in July 2022, Mr. Dagan resigned from his position as an executive officer. Accordingly, he will not receive an executive officer RSU award in connection with the offering.</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grants to the other NEOs will be in the form of RSUs and will be granted upon successful completion of the offering. The number of shares subject to each of the RSU grants will be determined at or around the time of the offering based on the total target amount reflected in the table and the share price on the date of grant. The RSUs are expected to be vested over a three-year period, in accordance with a vesting schedule to be determined by the compensation committee, and of which a portion will vest six months following the date of grant.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Compensation/Benefit Programs Following this Offering</w:t>
      </w:r>
    </w:p>
    <w:p>
      <w:pPr>
        <w:spacing w:after="0" w:line="148" w:lineRule="exact"/>
        <w:rPr>
          <w:sz w:val="20"/>
          <w:szCs w:val="20"/>
          <w:color w:val="auto"/>
        </w:rPr>
      </w:pPr>
    </w:p>
    <w:p>
      <w:pPr>
        <w:ind w:left="1260" w:right="739" w:firstLine="360"/>
        <w:spacing w:after="0" w:line="297" w:lineRule="auto"/>
        <w:rPr>
          <w:sz w:val="20"/>
          <w:szCs w:val="20"/>
          <w:color w:val="auto"/>
        </w:rPr>
      </w:pPr>
      <w:r>
        <w:rPr>
          <w:rFonts w:ascii="Times New Roman" w:cs="Times New Roman" w:eastAsia="Times New Roman" w:hAnsi="Times New Roman"/>
          <w:sz w:val="18"/>
          <w:szCs w:val="18"/>
          <w:color w:val="auto"/>
        </w:rPr>
        <w:t>In connection with the offering, we have not established for our NEOs any additional compensation plans and programs other than the 2022 Plan and the awards granted thereunder.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on Executive Compensation</w:t>
      </w:r>
    </w:p>
    <w:p>
      <w:pPr>
        <w:spacing w:after="0" w:line="148" w:lineRule="exact"/>
        <w:rPr>
          <w:sz w:val="20"/>
          <w:szCs w:val="20"/>
          <w:color w:val="auto"/>
        </w:rPr>
      </w:pPr>
    </w:p>
    <w:p>
      <w:pPr>
        <w:ind w:left="1260" w:right="1099" w:firstLine="360"/>
        <w:spacing w:after="0" w:line="274" w:lineRule="auto"/>
        <w:rPr>
          <w:sz w:val="20"/>
          <w:szCs w:val="20"/>
          <w:color w:val="auto"/>
        </w:rPr>
      </w:pPr>
      <w:r>
        <w:rPr>
          <w:rFonts w:ascii="Times New Roman" w:cs="Times New Roman" w:eastAsia="Times New Roman" w:hAnsi="Times New Roman"/>
          <w:sz w:val="18"/>
          <w:szCs w:val="18"/>
          <w:color w:val="auto"/>
        </w:rPr>
        <w:t>The Compensation Committee has reviewed and discussed the “Executive Compensation — Compensation Discussion and Analysis” section with our management. Based upon this review and discussion, it was recommended to include the Compensation Discussion and Analysis in this 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500" w:type="dxa"/>
            <w:vAlign w:val="bottom"/>
            <w:gridSpan w:val="8"/>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Year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Awards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p>
        </w:tc>
        <w:tc>
          <w:tcPr>
            <w:tcW w:w="880" w:type="dxa"/>
            <w:vAlign w:val="bottom"/>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5"/>
                <w:vertAlign w:val="subscript"/>
              </w:rPr>
              <w:t>($)</w:t>
            </w:r>
            <w:r>
              <w:rPr>
                <w:rFonts w:ascii="Times New Roman" w:cs="Times New Roman" w:eastAsia="Times New Roman" w:hAnsi="Times New Roman"/>
                <w:sz w:val="9"/>
                <w:szCs w:val="9"/>
                <w:b w:val="1"/>
                <w:bCs w:val="1"/>
                <w:color w:val="auto"/>
                <w:w w:val="85"/>
              </w:rPr>
              <w:t>(3)1</w:t>
            </w:r>
          </w:p>
        </w:tc>
        <w:tc>
          <w:tcPr>
            <w:tcW w:w="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16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​​2021​​ ​​263,417​​ ​ </w:t>
            </w: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8"/>
                <w:szCs w:val="18"/>
                <w:color w:val="auto"/>
              </w:rPr>
              <w:t>​68,952</w:t>
            </w:r>
            <w:r>
              <w:rPr>
                <w:rFonts w:ascii="Times New Roman" w:cs="Times New Roman" w:eastAsia="Times New Roman" w:hAnsi="Times New Roman"/>
                <w:sz w:val="23"/>
                <w:szCs w:val="23"/>
                <w:color w:val="auto"/>
                <w:vertAlign w:val="superscript"/>
              </w:rPr>
              <w:t>(4)</w:t>
            </w:r>
          </w:p>
        </w:tc>
        <w:tc>
          <w:tcPr>
            <w:tcW w:w="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xml:space="preserve">​ ​​2021​​ ​​265,780​​ ​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511,897 ​​ ​</w:t>
            </w:r>
          </w:p>
        </w:tc>
        <w:tc>
          <w:tcPr>
            <w:tcW w:w="8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​57,317</w:t>
            </w:r>
            <w:r>
              <w:rPr>
                <w:rFonts w:ascii="Times New Roman" w:cs="Times New Roman" w:eastAsia="Times New Roman" w:hAnsi="Times New Roman"/>
                <w:sz w:val="23"/>
                <w:szCs w:val="23"/>
                <w:color w:val="auto"/>
                <w:vertAlign w:val="superscript"/>
              </w:rPr>
              <w:t>(5)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834,994​</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31,441</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3,863,903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761,175​​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3,071,287 ​​ ​</w:t>
            </w:r>
          </w:p>
        </w:tc>
        <w:tc>
          <w:tcPr>
            <w:tcW w:w="1820" w:type="dxa"/>
            <w:vAlign w:val="bottom"/>
            <w:gridSpan w:val="5"/>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 Executive Vice President,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62,686</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2,244,315​</w:t>
            </w:r>
          </w:p>
        </w:tc>
        <w:tc>
          <w:tcPr>
            <w:tcW w:w="0" w:type="dxa"/>
            <w:vAlign w:val="bottom"/>
          </w:tcPr>
          <w:p>
            <w:pPr>
              <w:spacing w:after="0"/>
              <w:rPr>
                <w:sz w:val="1"/>
                <w:szCs w:val="1"/>
                <w:color w:val="auto"/>
              </w:rPr>
            </w:pPr>
          </w:p>
        </w:tc>
      </w:tr>
      <w:tr>
        <w:trPr>
          <w:trHeight w:val="24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5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263,893​​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 ​</w:t>
            </w:r>
          </w:p>
        </w:tc>
        <w:tc>
          <w:tcPr>
            <w:tcW w:w="188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63,170</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2,242,866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261,960​​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 ​</w:t>
            </w:r>
          </w:p>
        </w:tc>
        <w:tc>
          <w:tcPr>
            <w:tcW w:w="1820" w:type="dxa"/>
            <w:vAlign w:val="bottom"/>
            <w:gridSpan w:val="5"/>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-1242695</wp:posOffset>
            </wp:positionV>
            <wp:extent cx="1200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-1242695</wp:posOffset>
            </wp:positionV>
            <wp:extent cx="1200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-1242695</wp:posOffset>
            </wp:positionV>
            <wp:extent cx="1200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-1242695</wp:posOffset>
            </wp:positionV>
            <wp:extent cx="1200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-1242695</wp:posOffset>
            </wp:positionV>
            <wp:extent cx="1111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jc w:val="both"/>
        <w:ind w:left="1620" w:right="1180" w:hanging="360"/>
        <w:spacing w:after="0" w:line="266"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paid in NIS. The amounts are converted according to the closing foreign exchange rate U.S. dollar/​NIS for December 25, 2021 at $3.149. The salary figure includes the NEO’s base salary and global overtime.</w:t>
      </w:r>
    </w:p>
    <w:p>
      <w:pPr>
        <w:spacing w:after="0" w:line="40" w:lineRule="exact"/>
        <w:rPr>
          <w:rFonts w:ascii="Times New Roman" w:cs="Times New Roman" w:eastAsia="Times New Roman" w:hAnsi="Times New Roman"/>
          <w:sz w:val="18"/>
          <w:szCs w:val="18"/>
          <w:color w:val="auto"/>
        </w:rPr>
      </w:pPr>
    </w:p>
    <w:p>
      <w:pPr>
        <w:ind w:left="1620" w:right="820" w:hanging="360"/>
        <w:spacing w:after="0" w:line="258"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34" w:lineRule="exact"/>
        <w:rPr>
          <w:rFonts w:ascii="Times New Roman" w:cs="Times New Roman" w:eastAsia="Times New Roman" w:hAnsi="Times New Roman"/>
          <w:sz w:val="18"/>
          <w:szCs w:val="18"/>
          <w:color w:val="auto"/>
        </w:rPr>
      </w:pPr>
    </w:p>
    <w:p>
      <w:pPr>
        <w:ind w:left="1620" w:right="920" w:hanging="360"/>
        <w:spacing w:after="0" w:line="261"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Israeli law.</w:t>
      </w:r>
    </w:p>
    <w:p>
      <w:pPr>
        <w:spacing w:after="0" w:line="274" w:lineRule="exact"/>
        <w:rPr>
          <w:rFonts w:ascii="Times New Roman" w:cs="Times New Roman" w:eastAsia="Times New Roman" w:hAnsi="Times New Roman"/>
          <w:sz w:val="18"/>
          <w:szCs w:val="18"/>
          <w:color w:val="auto"/>
        </w:rPr>
      </w:pPr>
    </w:p>
    <w:p>
      <w:pPr>
        <w:ind w:left="1620" w:right="940" w:hanging="360"/>
        <w:spacing w:after="0" w:line="266"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Amnon Shashua represents pension benefit contributions of $39,188, an Advanced Study Fund contribution of $15,805, a patent grant cash award of $7,302,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Anat Heller represents pension benefit contributions of $37,823, an Advanced Study Fund contribution of $14,984, and other miscellaneous benefits.</w:t>
      </w:r>
    </w:p>
    <w:p>
      <w:pPr>
        <w:spacing w:after="0" w:line="241" w:lineRule="exact"/>
        <w:rPr>
          <w:rFonts w:ascii="Times New Roman" w:cs="Times New Roman" w:eastAsia="Times New Roman" w:hAnsi="Times New Roman"/>
          <w:sz w:val="18"/>
          <w:szCs w:val="18"/>
          <w:color w:val="auto"/>
        </w:rPr>
      </w:pPr>
    </w:p>
    <w:p>
      <w:pPr>
        <w:ind w:left="1620" w:right="960" w:hanging="360"/>
        <w:spacing w:after="0" w:line="266"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Shai Shalev represents a pension benefit contribution of $6,782, a patent grant cash award of $6,968, an automobile allowance of $11,813, and other miscellaneous benefits.</w:t>
      </w:r>
    </w:p>
    <w:p>
      <w:pPr>
        <w:spacing w:after="0" w:line="27" w:lineRule="exact"/>
        <w:rPr>
          <w:rFonts w:ascii="Times New Roman" w:cs="Times New Roman" w:eastAsia="Times New Roman" w:hAnsi="Times New Roman"/>
          <w:sz w:val="18"/>
          <w:szCs w:val="18"/>
          <w:color w:val="auto"/>
        </w:rPr>
      </w:pPr>
    </w:p>
    <w:p>
      <w:pPr>
        <w:ind w:left="1620" w:right="1020" w:hanging="360"/>
        <w:spacing w:after="0" w:line="266"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Dr. Gaby Hayon represents pension benefit contributions of $40,587, an Advanced Study Fund contribution of $16,033,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Erez Dagan represents pension benefit contributions of $39,856, an Advanced Study Fund contribution of $15,903, and other miscellaneous benefits.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the Year Ended December 25, 2021</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98" w:lineRule="exact"/>
        <w:rPr>
          <w:sz w:val="20"/>
          <w:szCs w:val="20"/>
          <w:color w:val="auto"/>
        </w:rPr>
      </w:pPr>
    </w:p>
    <w:p>
      <w:pPr>
        <w:ind w:left="640" w:hanging="143"/>
        <w:spacing w:after="0" w:line="282" w:lineRule="auto"/>
        <w:rPr>
          <w:sz w:val="20"/>
          <w:szCs w:val="20"/>
          <w:color w:val="auto"/>
        </w:rPr>
      </w:pPr>
      <w:r>
        <w:rPr>
          <w:rFonts w:ascii="Times New Roman" w:cs="Times New Roman" w:eastAsia="Times New Roman" w:hAnsi="Times New Roman"/>
          <w:sz w:val="14"/>
          <w:szCs w:val="14"/>
          <w:color w:val="auto"/>
        </w:rPr>
        <w:t>Prof. Amnon Shashua, Chief Executive Officer</w:t>
      </w:r>
    </w:p>
    <w:p>
      <w:pPr>
        <w:spacing w:after="0" w:line="13" w:lineRule="exact"/>
        <w:rPr>
          <w:sz w:val="20"/>
          <w:szCs w:val="20"/>
          <w:color w:val="auto"/>
        </w:rPr>
      </w:pPr>
    </w:p>
    <w:p>
      <w:pPr>
        <w:ind w:left="640" w:right="20" w:hanging="143"/>
        <w:spacing w:after="0" w:line="282" w:lineRule="auto"/>
        <w:rPr>
          <w:sz w:val="20"/>
          <w:szCs w:val="20"/>
          <w:color w:val="auto"/>
        </w:rPr>
      </w:pPr>
      <w:r>
        <w:rPr>
          <w:rFonts w:ascii="Times New Roman" w:cs="Times New Roman" w:eastAsia="Times New Roman" w:hAnsi="Times New Roman"/>
          <w:sz w:val="14"/>
          <w:szCs w:val="14"/>
          <w:color w:val="auto"/>
        </w:rPr>
        <w:t>Anat Heller, Chief Financial Officer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Estimated Future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w:t>
            </w:r>
          </w:p>
        </w:tc>
        <w:tc>
          <w:tcPr>
            <w:tcW w:w="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7"/>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7"/>
          </w:tcPr>
          <w:p>
            <w:pPr>
              <w:ind w:left="140"/>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6"/>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4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6"/>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5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on</w:t>
            </w: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4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100" w:type="dxa"/>
            <w:vAlign w:val="bottom"/>
          </w:tcPr>
          <w:p>
            <w:pPr>
              <w:spacing w:after="0"/>
              <w:rPr>
                <w:sz w:val="7"/>
                <w:szCs w:val="7"/>
                <w:color w:val="auto"/>
              </w:rPr>
            </w:pPr>
          </w:p>
        </w:tc>
        <w:tc>
          <w:tcPr>
            <w:tcW w:w="6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7"/>
                <w:szCs w:val="7"/>
                <w:color w:val="auto"/>
              </w:rPr>
            </w:pPr>
          </w:p>
        </w:tc>
        <w:tc>
          <w:tcPr>
            <w:tcW w:w="50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line="20" w:lineRule="exact"/>
              <w:rPr>
                <w:sz w:val="1"/>
                <w:szCs w:val="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2"/>
                <w:szCs w:val="12"/>
                <w:color w:val="auto"/>
              </w:rPr>
            </w:pPr>
          </w:p>
        </w:tc>
        <w:tc>
          <w:tcPr>
            <w:tcW w:w="7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Option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gridSpan w:val="5"/>
          </w:tcPr>
          <w:p>
            <w:pP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5"/>
                <w:szCs w:val="25"/>
                <w:b w:val="1"/>
                <w:bCs w:val="1"/>
                <w:color w:val="auto"/>
                <w:vertAlign w:val="subscript"/>
              </w:rPr>
              <w:t>​​</w:t>
            </w:r>
          </w:p>
        </w:tc>
        <w:tc>
          <w:tcPr>
            <w:tcW w:w="5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5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6"/>
          </w:tcPr>
          <w:p>
            <w:pPr>
              <w:jc w:val="right"/>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1"/>
        </w:trPr>
        <w:tc>
          <w:tcPr>
            <w:tcW w:w="94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511,897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-490220</wp:posOffset>
            </wp:positionV>
            <wp:extent cx="6180455" cy="2482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80455" cy="24828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220" w:space="360"/>
            <w:col w:w="7680"/>
          </w:cols>
          <w:pgMar w:left="580" w:top="97" w:right="1059" w:bottom="1440" w:gutter="0" w:footer="0" w:header="0"/>
          <w:type w:val="continuous"/>
        </w:sectPr>
      </w:pPr>
    </w:p>
    <w:p>
      <w:pPr>
        <w:spacing w:after="0" w:line="15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6"/>
          </w:tcPr>
          <w:p>
            <w:pPr>
              <w:jc w:val="center"/>
              <w:ind w:left="228"/>
              <w:spacing w:after="0" w:line="160" w:lineRule="exact"/>
              <w:rPr>
                <w:sz w:val="20"/>
                <w:szCs w:val="20"/>
                <w:color w:val="auto"/>
              </w:rPr>
            </w:pPr>
            <w:r>
              <w:rPr>
                <w:rFonts w:ascii="Times New Roman" w:cs="Times New Roman" w:eastAsia="Times New Roman" w:hAnsi="Times New Roman"/>
                <w:sz w:val="14"/>
                <w:szCs w:val="14"/>
                <w:b w:val="1"/>
                <w:bCs w:val="1"/>
                <w:color w:val="auto"/>
                <w:w w:val="98"/>
              </w:rPr>
              <w:t>Estimated Future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7"/>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12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w:t>
            </w:r>
          </w:p>
        </w:tc>
        <w:tc>
          <w:tcPr>
            <w:tcW w:w="8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6"/>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440" w:type="dxa"/>
            <w:vAlign w:val="bottom"/>
          </w:tcPr>
          <w:p>
            <w:pPr>
              <w:spacing w:after="0"/>
              <w:rPr>
                <w:sz w:val="10"/>
                <w:szCs w:val="10"/>
                <w:color w:val="auto"/>
              </w:rPr>
            </w:pP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6"/>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5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00" w:type="dxa"/>
            <w:vAlign w:val="bottom"/>
          </w:tcPr>
          <w:p>
            <w:pPr>
              <w:spacing w:after="0"/>
              <w:rPr>
                <w:sz w:val="10"/>
                <w:szCs w:val="10"/>
                <w:color w:val="auto"/>
              </w:rPr>
            </w:pPr>
          </w:p>
        </w:tc>
        <w:tc>
          <w:tcPr>
            <w:tcW w:w="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Price on</w:t>
            </w:r>
          </w:p>
        </w:tc>
        <w:tc>
          <w:tcPr>
            <w:tcW w:w="80" w:type="dxa"/>
            <w:vAlign w:val="bottom"/>
          </w:tcPr>
          <w:p>
            <w:pPr>
              <w:spacing w:after="0"/>
              <w:rPr>
                <w:sz w:val="10"/>
                <w:szCs w:val="10"/>
                <w:color w:val="auto"/>
              </w:rPr>
            </w:pPr>
          </w:p>
        </w:tc>
        <w:tc>
          <w:tcPr>
            <w:tcW w:w="76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92"/>
        </w:trPr>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340" w:type="dxa"/>
            <w:vAlign w:val="bottom"/>
            <w:gridSpan w:val="6"/>
            <w:vMerge w:val="continue"/>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130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100" w:type="dxa"/>
            <w:vAlign w:val="bottom"/>
          </w:tcPr>
          <w:p>
            <w:pPr>
              <w:spacing w:after="0"/>
              <w:rPr>
                <w:sz w:val="8"/>
                <w:szCs w:val="8"/>
                <w:color w:val="auto"/>
              </w:rPr>
            </w:pPr>
          </w:p>
        </w:tc>
        <w:tc>
          <w:tcPr>
            <w:tcW w:w="6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8"/>
                <w:szCs w:val="8"/>
                <w:color w:val="auto"/>
              </w:rPr>
            </w:pPr>
          </w:p>
        </w:tc>
        <w:tc>
          <w:tcPr>
            <w:tcW w:w="5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80" w:type="dxa"/>
            <w:vAlign w:val="bottom"/>
          </w:tcPr>
          <w:p>
            <w:pPr>
              <w:spacing w:after="0"/>
              <w:rPr>
                <w:sz w:val="8"/>
                <w:szCs w:val="8"/>
                <w:color w:val="auto"/>
              </w:rPr>
            </w:pPr>
          </w:p>
        </w:tc>
        <w:tc>
          <w:tcPr>
            <w:tcW w:w="760" w:type="dxa"/>
            <w:vAlign w:val="bottom"/>
            <w:gridSpan w:val="2"/>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34"/>
        </w:trPr>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2"/>
                <w:szCs w:val="2"/>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and Option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4"/>
          </w:tcPr>
          <w:p>
            <w:pPr>
              <w:jc w:val="right"/>
              <w:ind w:right="28"/>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5"/>
                <w:szCs w:val="25"/>
                <w:b w:val="1"/>
                <w:bCs w:val="1"/>
                <w:color w:val="auto"/>
                <w:vertAlign w:val="subscript"/>
              </w:rPr>
              <w:t>​​</w:t>
            </w:r>
          </w:p>
        </w:tc>
        <w:tc>
          <w:tcPr>
            <w:tcW w:w="5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6"/>
                <w:szCs w:val="16"/>
                <w:b w:val="1"/>
                <w:bCs w:val="1"/>
                <w:color w:val="auto"/>
                <w:vertAlign w:val="superscript"/>
              </w:rPr>
              <w:t>(2)</w:t>
            </w:r>
          </w:p>
        </w:tc>
        <w:tc>
          <w:tcPr>
            <w:tcW w:w="840" w:type="dxa"/>
            <w:vAlign w:val="bottom"/>
            <w:gridSpan w:val="3"/>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Shai Shalev-Shwartz, Chief</w:t>
            </w:r>
          </w:p>
        </w:tc>
        <w:tc>
          <w:tcPr>
            <w:tcW w:w="1000" w:type="dxa"/>
            <w:vAlign w:val="bottom"/>
            <w:gridSpan w:val="4"/>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20" w:type="dxa"/>
            <w:vAlign w:val="bottom"/>
            <w:tcBorders>
              <w:right w:val="single" w:sz="8" w:color="CCEEFF"/>
            </w:tcBorders>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vMerge w:val="restart"/>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vMerge w:val="restart"/>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66,724</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3,071,287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Officer</w:t>
            </w:r>
          </w:p>
        </w:tc>
        <w:tc>
          <w:tcPr>
            <w:tcW w:w="1000" w:type="dxa"/>
            <w:vAlign w:val="bottom"/>
            <w:gridSpan w:val="4"/>
            <w:vMerge w:val="continue"/>
            <w:shd w:val="clear" w:color="auto" w:fill="CCEEFF"/>
          </w:tcPr>
          <w:p>
            <w:pPr>
              <w:spacing w:after="0"/>
              <w:rPr>
                <w:sz w:val="16"/>
                <w:szCs w:val="16"/>
                <w:color w:val="auto"/>
              </w:rPr>
            </w:pPr>
          </w:p>
        </w:tc>
        <w:tc>
          <w:tcPr>
            <w:tcW w:w="520" w:type="dxa"/>
            <w:vAlign w:val="bottom"/>
            <w:tcBorders>
              <w:right w:val="single" w:sz="8" w:color="CCEEFF"/>
            </w:tcBorders>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360" w:type="dxa"/>
            <w:vAlign w:val="bottom"/>
            <w:tcBorders>
              <w:right w:val="single" w:sz="8" w:color="CCEEFF"/>
            </w:tcBorders>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44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540" w:type="dxa"/>
            <w:vAlign w:val="bottom"/>
            <w:tcBorders>
              <w:right w:val="single" w:sz="8" w:color="CCEEFF"/>
            </w:tcBorders>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360" w:type="dxa"/>
            <w:vAlign w:val="bottom"/>
            <w:tcBorders>
              <w:right w:val="single" w:sz="8" w:color="CCEEFF"/>
            </w:tcBorders>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CCEEFF"/>
            </w:tcBorders>
            <w:vMerge w:val="continue"/>
            <w:shd w:val="clear" w:color="auto" w:fill="CCEEFF"/>
          </w:tcPr>
          <w:p>
            <w:pPr>
              <w:spacing w:after="0"/>
              <w:rPr>
                <w:sz w:val="16"/>
                <w:szCs w:val="16"/>
                <w:color w:val="auto"/>
              </w:rPr>
            </w:pPr>
          </w:p>
        </w:tc>
        <w:tc>
          <w:tcPr>
            <w:tcW w:w="120" w:type="dxa"/>
            <w:vAlign w:val="bottom"/>
            <w:tcBorders>
              <w:right w:val="single" w:sz="8" w:color="CCEEFF"/>
            </w:tcBorders>
            <w:vMerge w:val="continue"/>
            <w:shd w:val="clear" w:color="auto" w:fill="CCEEFF"/>
          </w:tcPr>
          <w:p>
            <w:pPr>
              <w:spacing w:after="0"/>
              <w:rPr>
                <w:sz w:val="16"/>
                <w:szCs w:val="16"/>
                <w:color w:val="auto"/>
              </w:rPr>
            </w:pPr>
          </w:p>
        </w:tc>
        <w:tc>
          <w:tcPr>
            <w:tcW w:w="6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6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tcBorders>
              <w:right w:val="single" w:sz="8" w:color="CCEEFF"/>
            </w:tcBorders>
            <w:vMerge w:val="continue"/>
            <w:shd w:val="clear" w:color="auto" w:fill="CCEEFF"/>
          </w:tcPr>
          <w:p>
            <w:pPr>
              <w:spacing w:after="0"/>
              <w:rPr>
                <w:sz w:val="16"/>
                <w:szCs w:val="16"/>
                <w:color w:val="auto"/>
              </w:rPr>
            </w:pPr>
          </w:p>
        </w:tc>
        <w:tc>
          <w:tcPr>
            <w:tcW w:w="500" w:type="dxa"/>
            <w:vAlign w:val="bottom"/>
            <w:tcBorders>
              <w:right w:val="single" w:sz="8" w:color="CCEEFF"/>
            </w:tcBorders>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Dr. Gaby Hayon, Executive Vice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Research &amp;</w:t>
            </w:r>
          </w:p>
        </w:tc>
        <w:tc>
          <w:tcPr>
            <w:tcW w:w="10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1,917,736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1000" w:type="dxa"/>
            <w:vAlign w:val="bottom"/>
            <w:gridSpan w:val="4"/>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Products &amp; Strategy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20" w:type="dxa"/>
            <w:vAlign w:val="bottom"/>
            <w:tcBorders>
              <w:right w:val="single" w:sz="8" w:color="CCEEFF"/>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1,917,736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-856615</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-856615</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-856615</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-856615</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-856615</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-856615</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-856615</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-856615</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-856615</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-856615</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-856615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880" w:hanging="360"/>
        <w:spacing w:after="0" w:line="257"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each of Anat Heller, Prof. Shai Shalev, Dr. Gaby Hayon and Erez Dagan, received a grant of restricted stock units under the Intel Plan in the amounts shown, as described in the Compensation Discussion and Analysis, under the caption “Equity-Based Compensation — Equity-Based Compensation Prior to the Offering — Restricted Stock Units.” Unless otherwise noted in the footnotes, these restricted stock units vest in annual installments over three years following the vesting commencement date.</w:t>
      </w:r>
    </w:p>
    <w:p>
      <w:pPr>
        <w:spacing w:after="0" w:line="25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on the date of grant of a share of Intel common stock.</w:t>
      </w:r>
    </w:p>
    <w:p>
      <w:pPr>
        <w:spacing w:after="0" w:line="90" w:lineRule="exact"/>
        <w:rPr>
          <w:rFonts w:ascii="Times New Roman" w:cs="Times New Roman" w:eastAsia="Times New Roman" w:hAnsi="Times New Roman"/>
          <w:sz w:val="18"/>
          <w:szCs w:val="18"/>
          <w:color w:val="auto"/>
        </w:rPr>
      </w:pPr>
    </w:p>
    <w:p>
      <w:pPr>
        <w:ind w:left="1620" w:right="840" w:hanging="360"/>
        <w:spacing w:after="0" w:line="258"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restricted stock units granted during 2021 calculated in accordance with ASC 718.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48" w:lineRule="exact"/>
        <w:rPr>
          <w:sz w:val="20"/>
          <w:szCs w:val="20"/>
          <w:color w:val="auto"/>
        </w:rPr>
      </w:pPr>
    </w:p>
    <w:p>
      <w:pPr>
        <w:ind w:left="1260" w:right="980"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Messrs. Shashua, Shwartz, Hayon and Dagan and Ms. Heller, which are summarized below. Each agreement is governed by Israeli law and provides for customary non-competition and non-solicitation provisions during the term of the agreements and for twelve months after termination of their employment for any reason (except for Prof. Shashua whose non-competition and non-solicitation provisions continue for eighteen months).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Shashua</w:t>
      </w:r>
    </w:p>
    <w:p>
      <w:pPr>
        <w:spacing w:after="0" w:line="162" w:lineRule="exact"/>
        <w:rPr>
          <w:sz w:val="20"/>
          <w:szCs w:val="20"/>
          <w:color w:val="auto"/>
        </w:rPr>
      </w:pPr>
    </w:p>
    <w:p>
      <w:pPr>
        <w:ind w:left="1260" w:right="1400" w:firstLine="360"/>
        <w:spacing w:after="0" w:line="261" w:lineRule="auto"/>
        <w:rPr>
          <w:sz w:val="20"/>
          <w:szCs w:val="20"/>
          <w:color w:val="auto"/>
        </w:rPr>
      </w:pPr>
      <w:r>
        <w:rPr>
          <w:rFonts w:ascii="Times New Roman" w:cs="Times New Roman" w:eastAsia="Times New Roman" w:hAnsi="Times New Roman"/>
          <w:sz w:val="18"/>
          <w:szCs w:val="18"/>
          <w:color w:val="auto"/>
        </w:rPr>
        <w:t>Prof. Shashua is the founder and Chief Executive Officer of the Company and has been with the Company since 1999. On July 24, 2014, we entered into an amended employment agreement with</w:t>
      </w:r>
    </w:p>
    <w:p>
      <w:pPr>
        <w:ind w:left="1260" w:right="820"/>
        <w:spacing w:after="0" w:line="250" w:lineRule="auto"/>
        <w:rPr>
          <w:sz w:val="20"/>
          <w:szCs w:val="20"/>
          <w:color w:val="auto"/>
        </w:rPr>
      </w:pPr>
      <w:r>
        <w:rPr>
          <w:rFonts w:ascii="Times New Roman" w:cs="Times New Roman" w:eastAsia="Times New Roman" w:hAnsi="Times New Roman"/>
          <w:sz w:val="18"/>
          <w:szCs w:val="18"/>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spacing w:after="0" w:line="6" w:lineRule="exact"/>
        <w:rPr>
          <w:sz w:val="20"/>
          <w:szCs w:val="20"/>
          <w:color w:val="auto"/>
        </w:rPr>
      </w:pPr>
    </w:p>
    <w:p>
      <w:pPr>
        <w:ind w:left="1260" w:right="1520"/>
        <w:spacing w:after="0" w:line="260" w:lineRule="auto"/>
        <w:rPr>
          <w:sz w:val="20"/>
          <w:szCs w:val="20"/>
          <w:color w:val="auto"/>
        </w:rPr>
      </w:pPr>
      <w:r>
        <w:rPr>
          <w:rFonts w:ascii="Times New Roman" w:cs="Times New Roman" w:eastAsia="Times New Roman" w:hAnsi="Times New Roman"/>
          <w:sz w:val="18"/>
          <w:szCs w:val="18"/>
          <w:color w:val="auto"/>
        </w:rPr>
        <w:t>Prof. Shashua’s employment is terminated for reasons other than for “cause” or he resigns from the Company</w:t>
      </w:r>
    </w:p>
    <w:p>
      <w:pPr>
        <w:sectPr>
          <w:pgSz w:w="11900" w:h="16838" w:orient="portrait"/>
          <w:cols w:equalWidth="0" w:num="1">
            <w:col w:w="10260"/>
          </w:cols>
          <w:pgMar w:left="580" w:top="97" w:right="1059" w:bottom="1440" w:gutter="0" w:footer="0" w:header="0"/>
        </w:sectPr>
      </w:pPr>
    </w:p>
    <w:p>
      <w:pPr>
        <w:spacing w:after="0" w:line="35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by “deemed dismissal” in connection with a “change in control” (as​ defined in his employment agreement), he is entitled to receive such benefits and entitlements for a period of twelve months.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Shwartz</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121" w:lineRule="exact"/>
        <w:rPr>
          <w:sz w:val="20"/>
          <w:szCs w:val="20"/>
          <w:color w:val="auto"/>
        </w:rPr>
      </w:pPr>
    </w:p>
    <w:p>
      <w:pPr>
        <w:jc w:val="both"/>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 Law 5723-1963.</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Hayon</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August 1, 1999, we entered into an employment agreement with Dr. Hayon, our Executive Vice President of Research &amp; Development. The employment agreement sets forth his annual salary, vacation 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pacing w:after="0" w:line="12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 Law 5723-1963.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Mr. Dagan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Mr. Dagan joined the Company in February 2003. On October 1, 2016, we entered into the current employment agreement with Mr. Dagan. The employment agreement sets forth his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Provident Fund: a sum equal to 8.33% of his salary for severance purposes, 6.5% of his salary for pension purposes (Mr. Dagan also contributes 6% of his salary toward such fund) and up to 0.55% of his salary towards disability insurance. Mr. Dagan’s employment agreement also ensures certain payments to an Advance Study Fund, under which the Company contributes an amount equal to 7.5% of his gross salary (representing 80% of the sum of salary, travel expense and convalesce) on a monthly basis, and Mr. Dagan contributes 2.5% of his gross salary on a monthly basis.</w:t>
      </w:r>
    </w:p>
    <w:p>
      <w:pPr>
        <w:spacing w:after="0" w:line="32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Company and Mr. Dagan may terminate his employment agreement for any reason by providing thirty days’ prior written notice or pay in lieu of notice. Mr. Dagan is entitled to the transfer of the funds in his severance fund, only if his termination would entitle him to severance under the Severance Pay Law 5723-1963.</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As noted above, in July 2022, Mr. Dagan resigned from his position as Executive Vice President, Products and Strategy to take on an advisory role and continues to be an employee of the Company for a temporary period of transition of his responsibilities. He continues to be employed under his employment agreement for this period but is no longer deemed to be an executive officer of the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Ms. Heller</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3"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19"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 Law 5723-1963.</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Nonqualified Deferred Compensation</w:t>
      </w:r>
    </w:p>
    <w:p>
      <w:pPr>
        <w:spacing w:after="0" w:line="148" w:lineRule="exact"/>
        <w:rPr>
          <w:sz w:val="20"/>
          <w:szCs w:val="20"/>
          <w:color w:val="auto"/>
        </w:rPr>
      </w:pPr>
    </w:p>
    <w:p>
      <w:pPr>
        <w:jc w:val="both"/>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Company does not maintain a non-qualified deferred compensation plan for the benefit of the NEOs and none of the NEOs participate in a defined benefit pension plan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9"/>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6"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center"/>
              <w:ind w:left="58"/>
              <w:spacing w:after="0" w:line="135"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960" w:type="dxa"/>
            <w:vAlign w:val="bottom"/>
            <w:gridSpan w:val="10"/>
          </w:tcPr>
          <w:p>
            <w:pPr>
              <w:jc w:val="right"/>
              <w:spacing w:after="0" w:line="193"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Exercisable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Unexercisable </w:t>
            </w:r>
            <w:r>
              <w:rPr>
                <w:rFonts w:ascii="Times New Roman" w:cs="Times New Roman" w:eastAsia="Times New Roman" w:hAnsi="Times New Roman"/>
                <w:sz w:val="22"/>
                <w:szCs w:val="22"/>
                <w:b w:val="1"/>
                <w:bCs w:val="1"/>
                <w:color w:val="auto"/>
                <w:vertAlign w:val="subscript"/>
              </w:rPr>
              <w:t>​​</w:t>
            </w:r>
          </w:p>
        </w:tc>
        <w:tc>
          <w:tcPr>
            <w:tcW w:w="1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1"/>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Amnon Shashua,</w:t>
            </w:r>
          </w:p>
        </w:tc>
        <w:tc>
          <w:tcPr>
            <w:tcW w:w="40" w:type="dxa"/>
            <w:vAlign w:val="bottom"/>
          </w:tcPr>
          <w:p>
            <w:pPr>
              <w:spacing w:after="0"/>
              <w:rPr>
                <w:sz w:val="8"/>
                <w:szCs w:val="8"/>
                <w:color w:val="auto"/>
              </w:rPr>
            </w:pPr>
          </w:p>
        </w:tc>
        <w:tc>
          <w:tcPr>
            <w:tcW w:w="100" w:type="dxa"/>
            <w:vAlign w:val="bottom"/>
            <w:gridSpan w:val="2"/>
            <w:shd w:val="clear" w:color="auto" w:fill="CCEEFF"/>
          </w:tcPr>
          <w:p>
            <w:pPr>
              <w:jc w:val="right"/>
              <w:ind w:righ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20" w:type="dxa"/>
            <w:vAlign w:val="bottom"/>
            <w:shd w:val="clear" w:color="auto" w:fill="CCEEFF"/>
          </w:tcPr>
          <w:p>
            <w:pPr>
              <w:ind w:left="3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CCEEFF"/>
            </w:tcBorders>
            <w:gridSpan w:val="3"/>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8/8/2017</w:t>
            </w: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1"/>
                <w:szCs w:val="11"/>
                <w:color w:val="auto"/>
              </w:rPr>
              <w:t>​1,278,053</w:t>
            </w: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ind w:left="320"/>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 33.03</w:t>
            </w: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ind w:left="10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Executive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0"/>
                <w:szCs w:val="10"/>
                <w:color w:val="auto"/>
              </w:rPr>
            </w:pP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8/8/2017</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8"/>
                <w:szCs w:val="8"/>
                <w:color w:val="auto"/>
              </w:rPr>
              <w:t>​2,098,578</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26.89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tcPr>
          <w:p>
            <w:pPr>
              <w:ind w:left="40"/>
              <w:spacing w:after="0" w:line="72" w:lineRule="exact"/>
              <w:rPr>
                <w:sz w:val="20"/>
                <w:szCs w:val="20"/>
                <w:color w:val="auto"/>
              </w:rPr>
            </w:pPr>
            <w:r>
              <w:rPr>
                <w:rFonts w:ascii="Times New Roman" w:cs="Times New Roman" w:eastAsia="Times New Roman" w:hAnsi="Times New Roman"/>
                <w:sz w:val="8"/>
                <w:szCs w:val="8"/>
                <w:color w:val="auto"/>
              </w:rPr>
              <w:t>​ 8/15/23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Anat Heller, Chief</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(5)</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1700" w:type="dxa"/>
            <w:vAlign w:val="bottom"/>
            <w:gridSpan w:val="2"/>
            <w:vMerge w:val="continue"/>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10/30/2020</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 8,063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413,713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color w:val="auto"/>
              </w:rPr>
              <w:t>Financial Officer</w:t>
            </w:r>
          </w:p>
        </w:tc>
        <w:tc>
          <w:tcPr>
            <w:tcW w:w="40" w:type="dxa"/>
            <w:vAlign w:val="bottom"/>
          </w:tcPr>
          <w:p>
            <w:pPr>
              <w:spacing w:after="0"/>
              <w:rPr>
                <w:sz w:val="13"/>
                <w:szCs w:val="13"/>
                <w:color w:val="auto"/>
              </w:rPr>
            </w:pPr>
          </w:p>
        </w:tc>
        <w:tc>
          <w:tcPr>
            <w:tcW w:w="10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2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36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4"/>
          </w:tcPr>
          <w:p>
            <w:pPr>
              <w:ind w:left="80"/>
              <w:spacing w:after="0" w:line="108" w:lineRule="exact"/>
              <w:rPr>
                <w:sz w:val="20"/>
                <w:szCs w:val="20"/>
                <w:color w:val="auto"/>
              </w:rPr>
            </w:pPr>
            <w:r>
              <w:rPr>
                <w:rFonts w:ascii="Times New Roman" w:cs="Times New Roman" w:eastAsia="Times New Roman" w:hAnsi="Times New Roman"/>
                <w:sz w:val="12"/>
                <w:szCs w:val="12"/>
                <w:color w:val="auto"/>
              </w:rPr>
              <w:t>10/30/2021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2"/>
                <w:szCs w:val="12"/>
                <w:color w:val="auto"/>
              </w:rPr>
              <w:t>​11,121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570,619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Shai Shalev-Shwartz,</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rPr>
              <w:t>(7)</w:t>
            </w: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​48,373</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​2,482,019</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Technology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3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(8) </w:t>
            </w: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10/30/2021</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​66,724</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​3,423,609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Dr. Gaby Hayon, Executive</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(9)</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1700" w:type="dxa"/>
            <w:vAlign w:val="bottom"/>
            <w:gridSpan w:val="2"/>
            <w:vMerge w:val="continue"/>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gridSpan w:val="2"/>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Vice President, Research</w:t>
            </w:r>
          </w:p>
        </w:tc>
        <w:tc>
          <w:tcPr>
            <w:tcW w:w="40" w:type="dxa"/>
            <w:vAlign w:val="bottom"/>
          </w:tcPr>
          <w:p>
            <w:pPr>
              <w:spacing w:after="0"/>
              <w:rPr>
                <w:sz w:val="16"/>
                <w:szCs w:val="16"/>
                <w:color w:val="auto"/>
              </w:rPr>
            </w:pPr>
          </w:p>
        </w:tc>
        <w:tc>
          <w:tcPr>
            <w:tcW w:w="86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10/30/2021 </w:t>
            </w:r>
            <w:r>
              <w:rPr>
                <w:rFonts w:ascii="Times New Roman" w:cs="Times New Roman" w:eastAsia="Times New Roman" w:hAnsi="Times New Roman"/>
                <w:sz w:val="21"/>
                <w:szCs w:val="21"/>
                <w:color w:val="auto"/>
                <w:vertAlign w:val="superscript"/>
              </w:rPr>
              <w:t>​​</w:t>
            </w:r>
          </w:p>
        </w:tc>
        <w:tc>
          <w:tcPr>
            <w:tcW w:w="100" w:type="dxa"/>
            <w:vAlign w:val="bottom"/>
          </w:tcPr>
          <w:p>
            <w:pPr>
              <w:ind w:left="40"/>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22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bscript"/>
              </w:rPr>
              <w:t>​</w:t>
            </w:r>
          </w:p>
        </w:tc>
        <w:tc>
          <w:tcPr>
            <w:tcW w:w="660" w:type="dxa"/>
            <w:vAlign w:val="bottom"/>
            <w:gridSpan w:val="5"/>
          </w:tcPr>
          <w:p>
            <w:pPr>
              <w:ind w:left="220"/>
              <w:spacing w:after="0" w:line="185"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1"/>
                <w:szCs w:val="21"/>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9"/>
          </w:tcPr>
          <w:p>
            <w:pPr>
              <w:ind w:left="14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​41,663</w:t>
            </w:r>
            <w:r>
              <w:rPr>
                <w:rFonts w:ascii="Times New Roman" w:cs="Times New Roman" w:eastAsia="Times New Roman" w:hAnsi="Times New Roman"/>
                <w:sz w:val="14"/>
                <w:szCs w:val="14"/>
                <w:color w:val="auto"/>
                <w:vertAlign w:val="superscript"/>
              </w:rPr>
              <w:t>(10)</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​2,137,729 </w:t>
            </w:r>
            <w:r>
              <w:rPr>
                <w:rFonts w:ascii="Times New Roman" w:cs="Times New Roman" w:eastAsia="Times New Roman" w:hAnsi="Times New Roman"/>
                <w:sz w:val="21"/>
                <w:szCs w:val="21"/>
                <w:color w:val="auto"/>
                <w:vertAlign w:val="superscript"/>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&amp; Development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75"/>
              </w:rPr>
              <w:t>(1)</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0"/>
                <w:szCs w:val="10"/>
                <w:color w:val="auto"/>
              </w:rPr>
            </w:pP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4/9/2019</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​67,500</w:t>
            </w: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​55.165</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gridSpan w:val="2"/>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​4/9/2029</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President, Products &amp;</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Strategy</w:t>
            </w: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4/9/2019</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tcPr>
          <w:p>
            <w:pPr>
              <w:ind w:left="100"/>
              <w:spacing w:after="0" w:line="72" w:lineRule="exact"/>
              <w:rPr>
                <w:sz w:val="20"/>
                <w:szCs w:val="20"/>
                <w:color w:val="auto"/>
              </w:rPr>
            </w:pPr>
            <w:r>
              <w:rPr>
                <w:rFonts w:ascii="Times New Roman" w:cs="Times New Roman" w:eastAsia="Times New Roman" w:hAnsi="Times New Roman"/>
                <w:sz w:val="8"/>
                <w:szCs w:val="8"/>
                <w:color w:val="auto"/>
              </w:rPr>
              <w:t>​22,500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​1,154,475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7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vMerge w:val="restart"/>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9"/>
                <w:szCs w:val="9"/>
                <w:color w:val="auto"/>
              </w:rPr>
            </w:pPr>
          </w:p>
        </w:tc>
        <w:tc>
          <w:tcPr>
            <w:tcW w:w="360" w:type="dxa"/>
            <w:vAlign w:val="bottom"/>
            <w:gridSpan w:val="4"/>
            <w:shd w:val="clear" w:color="auto" w:fill="CCEEFF"/>
          </w:tcPr>
          <w:p>
            <w:pPr>
              <w:jc w:val="right"/>
              <w:spacing w:after="0" w:line="108" w:lineRule="exact"/>
              <w:rPr>
                <w:sz w:val="20"/>
                <w:szCs w:val="20"/>
                <w:color w:val="auto"/>
              </w:rPr>
            </w:pPr>
            <w:r>
              <w:rPr>
                <w:rFonts w:ascii="Times New Roman" w:cs="Times New Roman" w:eastAsia="Times New Roman" w:hAnsi="Times New Roman"/>
                <w:sz w:val="8"/>
                <w:szCs w:val="8"/>
                <w:color w:val="auto"/>
              </w:rPr>
              <w:t>(11)</w:t>
            </w:r>
            <w:r>
              <w:rPr>
                <w:rFonts w:ascii="Times New Roman" w:cs="Times New Roman" w:eastAsia="Times New Roman" w:hAnsi="Times New Roman"/>
                <w:sz w:val="12"/>
                <w:szCs w:val="12"/>
                <w:color w:val="auto"/>
              </w:rPr>
              <w:t>​​​ ​</w:t>
            </w:r>
          </w:p>
        </w:tc>
        <w:tc>
          <w:tcPr>
            <w:tcW w:w="5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20" w:type="dxa"/>
            <w:vAlign w:val="bottom"/>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(12)</w:t>
            </w: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10/30/2021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​41,663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​2,137,729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-2047875</wp:posOffset>
            </wp:positionV>
            <wp:extent cx="6180455" cy="18942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80455" cy="1894205"/>
                    </a:xfrm>
                    <a:prstGeom prst="rect">
                      <a:avLst/>
                    </a:prstGeom>
                    <a:noFill/>
                  </pic:spPr>
                </pic:pic>
              </a:graphicData>
            </a:graphic>
          </wp:anchor>
        </w:drawing>
      </w:r>
    </w:p>
    <w:p>
      <w:pPr>
        <w:spacing w:after="0" w:line="97" w:lineRule="exact"/>
        <w:rPr>
          <w:sz w:val="20"/>
          <w:szCs w:val="20"/>
          <w:color w:val="auto"/>
        </w:rPr>
      </w:pPr>
    </w:p>
    <w:p>
      <w:pPr>
        <w:ind w:left="1620" w:right="800" w:hanging="360"/>
        <w:spacing w:after="0" w:line="253"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granted to Erez Dagan under the Intel Plan that are subject to both time- and performance-based vesting requirements. The options granted may vest (if at all) in three equal installments on the following dates: February 1, 2021, February 1, 2022, and February 1, 2023, subject to satisfying certain stock price performance hurdles prior to February 1, 2024. The performance-based vesting terms are based on achieving stock price performance hurdles prior to February 1, 2024. The stock price performance hurdle is a period of thirty (30) consecutive trading days in which the closing price of a share of the Intel common stock reported on Nasdaq is at least the greater of (1) 30% over the closing price of the Intel common stock on February 1, 2019, or (2) 15% over the closing price of Intel common stock on the grant date. If the stock price performance hurdles are not achieved prior to February 1, 2024, the option will expire and will be canceled.</w:t>
      </w:r>
    </w:p>
    <w:p>
      <w:pPr>
        <w:spacing w:after="0" w:line="45" w:lineRule="exact"/>
        <w:rPr>
          <w:rFonts w:ascii="Times New Roman" w:cs="Times New Roman" w:eastAsia="Times New Roman" w:hAnsi="Times New Roman"/>
          <w:sz w:val="18"/>
          <w:szCs w:val="18"/>
          <w:color w:val="auto"/>
        </w:rPr>
      </w:pPr>
    </w:p>
    <w:p>
      <w:pPr>
        <w:ind w:left="1620" w:right="980" w:hanging="360"/>
        <w:spacing w:after="0" w:line="282"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granted under the Intel Plan. Restricted stock units vest in annual installments over three years on each anniversary of the grant date, subject to continued employment.</w:t>
      </w:r>
    </w:p>
    <w:p>
      <w:pPr>
        <w:spacing w:after="0" w:line="13"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with reference to $51.31, the closing price of a share of Intel common stock on the last trading day before December 25, 2021.</w:t>
      </w:r>
    </w:p>
    <w:p>
      <w:pPr>
        <w:spacing w:after="0" w:line="26" w:lineRule="exact"/>
        <w:rPr>
          <w:rFonts w:ascii="Times New Roman" w:cs="Times New Roman" w:eastAsia="Times New Roman" w:hAnsi="Times New Roman"/>
          <w:sz w:val="18"/>
          <w:szCs w:val="18"/>
          <w:color w:val="auto"/>
        </w:rPr>
      </w:pPr>
    </w:p>
    <w:p>
      <w:pPr>
        <w:ind w:left="1620" w:right="840" w:hanging="360"/>
        <w:spacing w:after="0" w:line="253"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restricted stock units granted to Erez Dagan under the Intel Plan on April 9, 2019. Half of the units time vested on February 1, 2022, and the remaining units will time-vest on February 1, 2024, subject to satisfying certain stock price performance hurdles prior to February 1, 2024. The number of restricted stock units that will ultimately vest are subject to satisfying certain stock price performance hurdles with a threshold of 50%, target of 100% and maximum of 200%. The stock price performance hurdle is based on achieving specified hurdles for any consecutive thirty (30) trading days, ending on or prior to February 1, 2024. The stock price performance hurdles are as follows: (i) if the threshold of $63.349 per share of common stock is achieved then 50% of the units will vest and become payable, (ii) if the target of $73.095 is achieved, then 100% of the units will vest and become payable and (iii) if the maximum of $97.460 is achieved, then 200% of the units will vest and become payable.</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39" w:hanging="360"/>
        <w:spacing w:after="0" w:line="266"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17,916 RSUs were granted with the following vesting schedule: October 30, 2021 — 9,853 RSUs; October 30, 2022 — 4,838 RSUs and October 30, 2023 — 3,225 RSUs.</w:t>
      </w:r>
    </w:p>
    <w:p>
      <w:pPr>
        <w:spacing w:after="0" w:line="40" w:lineRule="exact"/>
        <w:rPr>
          <w:rFonts w:ascii="Times New Roman" w:cs="Times New Roman" w:eastAsia="Times New Roman" w:hAnsi="Times New Roman"/>
          <w:sz w:val="18"/>
          <w:szCs w:val="18"/>
          <w:color w:val="auto"/>
        </w:rPr>
      </w:pPr>
    </w:p>
    <w:p>
      <w:pPr>
        <w:ind w:left="1620" w:right="779" w:hanging="360"/>
        <w:spacing w:after="0" w:line="266"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11,121 RSUs were granted with the following vesting schedule: October 30, 2022 — 4,782 RSUs; October 30, 2023 — 3,169 RSUs; and October 30, 2024 — 3,170 RSUs.</w:t>
      </w:r>
    </w:p>
    <w:p>
      <w:pPr>
        <w:spacing w:after="0" w:line="40"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107,495 RSUs were granted with the following vesting schedule: October 30, 2021 — 59,122 RSUs; October 30, 2022 — 29,023 RSUs; and October 30, 2023 — 19,350 RSUs.</w:t>
      </w:r>
    </w:p>
    <w:p>
      <w:pPr>
        <w:spacing w:after="0" w:line="241"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66,724 RSUs were granted with the following vesting schedule: October 30, 2022 — 28,691 RSUs; October 30, 2023 — 19,016 RSUs; and October 30, 2024 — 19,017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41"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41"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on</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c>
          <w:tcPr>
            <w:tcW w:w="6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2"/>
                <w:szCs w:val="12"/>
                <w:color w:val="auto"/>
              </w:rPr>
            </w:pPr>
          </w:p>
        </w:tc>
      </w:tr>
      <w:tr>
        <w:trPr>
          <w:trHeight w:val="22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23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​​2,666,660​​ ​​78,430,176​​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485,753​</w:t>
            </w:r>
          </w:p>
        </w:tc>
      </w:tr>
      <w:tr>
        <w:trPr>
          <w:trHeight w:val="25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102,643</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​​5,107,999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7,244.00​​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216,967​​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r>
      <w:tr>
        <w:trPr>
          <w:trHeight w:val="23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6,974.00​​ ​</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242,278​​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-1104900</wp:posOffset>
            </wp:positionV>
            <wp:extent cx="137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-1104900</wp:posOffset>
            </wp:positionV>
            <wp:extent cx="1282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-1104900</wp:posOffset>
            </wp:positionV>
            <wp:extent cx="120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-1104900</wp:posOffset>
            </wp:positionV>
            <wp:extent cx="1200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39" w:hanging="360"/>
        <w:spacing w:after="0" w:line="26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40"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is the Intel market value (average of high and low price of a share of Intel common stock on the Nasdaq) on the date of release multiplied by the number of shares that vested.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our CEO if his employment had terminated on December 25, 2021, as a result of each of the termination scenarios set forth in the table.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4"/>
                <w:szCs w:val="14"/>
                <w:b w:val="1"/>
                <w:bCs w:val="1"/>
                <w:color w:val="auto"/>
                <w:w w:val="94"/>
              </w:rPr>
              <w:t>Severance</w:t>
            </w:r>
            <w:r>
              <w:rPr>
                <w:rFonts w:ascii="Times New Roman" w:cs="Times New Roman" w:eastAsia="Times New Roman" w:hAnsi="Times New Roman"/>
                <w:sz w:val="17"/>
                <w:szCs w:val="17"/>
                <w:b w:val="1"/>
                <w:bCs w:val="1"/>
                <w:color w:val="auto"/>
                <w:w w:val="94"/>
                <w:vertAlign w:val="superscript"/>
              </w:rPr>
              <w:t>(1)</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 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55,395</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Deemed Dismissal</w:t>
            </w:r>
          </w:p>
        </w:tc>
        <w:tc>
          <w:tcPr>
            <w:tcW w:w="8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​158,705</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​214,100</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Termination as a result of</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​332,369</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​158,705</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continue"/>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​491,074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-591820</wp:posOffset>
            </wp:positionV>
            <wp:extent cx="1543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-591820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-591820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-591820</wp:posOffset>
            </wp:positionV>
            <wp:extent cx="514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-591820</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-591820</wp:posOffset>
            </wp:positionV>
            <wp:extent cx="51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ind w:left="1620" w:right="880" w:hanging="360"/>
        <w:spacing w:after="0" w:line="261"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this column reflect the supplement payment the Company will be required to pay in case the termination is initiated by the Company. Such supplement amounts, together with the amounts accumulated in the severance funds, reflect the entire severance amount Prof. Shashua would have been entitled to in case of termination on the relevant date.</w:t>
      </w:r>
    </w:p>
    <w:p>
      <w:pPr>
        <w:spacing w:after="0" w:line="31" w:lineRule="exact"/>
        <w:rPr>
          <w:rFonts w:ascii="Times New Roman" w:cs="Times New Roman" w:eastAsia="Times New Roman" w:hAnsi="Times New Roman"/>
          <w:sz w:val="18"/>
          <w:szCs w:val="18"/>
          <w:color w:val="auto"/>
        </w:rPr>
      </w:pPr>
    </w:p>
    <w:p>
      <w:pPr>
        <w:ind w:left="1620" w:right="900" w:hanging="360"/>
        <w:spacing w:after="0" w:line="254"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payable under these termination circumstances for a twelve-month period.</w:t>
      </w:r>
    </w:p>
    <w:p>
      <w:pPr>
        <w:spacing w:after="0" w:line="53" w:lineRule="exact"/>
        <w:rPr>
          <w:rFonts w:ascii="Times New Roman" w:cs="Times New Roman" w:eastAsia="Times New Roman" w:hAnsi="Times New Roman"/>
          <w:sz w:val="18"/>
          <w:szCs w:val="18"/>
          <w:color w:val="auto"/>
        </w:rPr>
      </w:pPr>
    </w:p>
    <w:p>
      <w:pPr>
        <w:ind w:left="1620" w:right="820" w:hanging="360"/>
        <w:spacing w:after="0" w:line="254"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but payable under these termination circumstances for only the two-month period.</w:t>
      </w:r>
    </w:p>
    <w:p>
      <w:pPr>
        <w:spacing w:after="0" w:line="111" w:lineRule="exact"/>
        <w:rPr>
          <w:sz w:val="20"/>
          <w:szCs w:val="20"/>
          <w:color w:val="auto"/>
        </w:rPr>
      </w:pPr>
    </w:p>
    <w:p>
      <w:pPr>
        <w:ind w:left="1260" w:right="820" w:firstLine="360"/>
        <w:spacing w:after="0" w:line="254" w:lineRule="auto"/>
        <w:rPr>
          <w:sz w:val="20"/>
          <w:szCs w:val="20"/>
          <w:color w:val="auto"/>
        </w:rPr>
      </w:pPr>
      <w:r>
        <w:rPr>
          <w:rFonts w:ascii="Times New Roman" w:cs="Times New Roman" w:eastAsia="Times New Roman" w:hAnsi="Times New Roman"/>
          <w:sz w:val="18"/>
          <w:szCs w:val="18"/>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and Messrs. Shalev-Shwartz, Hayon or Dagan had terminated on December 25, 2021, under circumstances that entitle them to severance under the Severance Pay Law, they would have received a payout for severance in the amount of $71,431, $470,549, $186,712 and $104,987, respectively, which amounts do not include those amounts that would be transferred to such NEO from the NEO’s severance and other funds.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780"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we expect to implement a director compensation program, which will be designed to attract and retain the most qualified individuals to serve on our board of directors. We expect our board of directors, through our compensation committee, to be responsible for reviewing and approving any changes to directors’ compensation arrangements. We expect that our outside directors will be compensated with RSUs in the Company on an annual basis, or a combination of cash and RSUs in the Company on an annual basis, in either case, consistent with market practice. Our directors will also be reimbursed for their reasonable out of pocket expenses incurred in connection with their roles as directors. In addition, we do not expect that directors will be entitled to receive compensation for services rendered to us in any other capacity. Directors who are employees of Mobileye and who receive a salary from us as our employees or receive a salary from one of our subsidiaries as their employees, will not be entitled to receive any additional compensation for their services in acting as directors, but would be entitled to reimbursement of their reasonable out of pocket expenses incurred in acting as directors.</w:t>
      </w:r>
    </w:p>
    <w:p>
      <w:pPr>
        <w:spacing w:after="0" w:line="36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above in the section entitled “Executive and Director Compensation,” this section describes transactions, or series of related transactions, during our last three fiscal years or as currently proposed, to which we were a party or will be a party, in which:</w:t>
      </w:r>
    </w:p>
    <w:p>
      <w:pPr>
        <w:spacing w:after="0" w:line="69" w:lineRule="exact"/>
        <w:rPr>
          <w:sz w:val="20"/>
          <w:szCs w:val="20"/>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Related Party Transactions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Prior to this offering, we have operated as part of Intel’s broader corporate organization rather than as a stand -alone public company. Intel has performed or supported various corporate services for us, and we have engaged in various transactions with Intel. The previous arrangements we had with Intel and/or other related persons are described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Conversion Arrangements for Purposes of Funding Acquisitions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w:t>
      </w:r>
    </w:p>
    <w:p>
      <w:pPr>
        <w:spacing w:after="0" w:line="16"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2020. Interest expense recognized by us totaled $0 million, $1 million, and $257 million for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entered into a series of bilateral lending/borrowing arrangements with Intel. The purposes of the facilities are to enable bilateral cash movements between the parties. The arrangements are denominated in U.S dollars.</w:t>
      </w:r>
    </w:p>
    <w:p>
      <w:pPr>
        <w:spacing w:after="0" w:line="10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2”) to make cash available to either party up to an aggregate principal amount of $ 750 million. Arrangement 2 has a mechanism for automatic renewal for additional periods of one year each. In March 2022, Arrangement 2 was amended to increase the aggregate principal amount available to draw from $750 million to $1.0 billion and the maturity date was extended to March 2023.</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2021, we and Intel entered into a bilateral lending/borrowing arrangement (“Arrangement 3” and, together with Arrangement 1 and Arrangement 2, the “Bilateral Loan Arrangements”) to make cash available to either party up to an aggregate principal amount of $100 million. Arrangement 3 has a mechanism for automatic renewal for additional periods of one year each, and in July 2022 the maturity date was automatically renewed to July 2023. In March 2022, Arrangement 3 was amended to increase the aggregate principal amount available to draw from $100 million to $500 million. The interest rate is based on an applicable margin of 0.0% with an option for Intel to elect to increase or decrease the applicable margin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or after the first day of the 2022 fiscal year. If Intel elects to increase the applicable margin, the spread adjustment would be reflective of the difference between three-month LIBOR and the term Secured Overnight Financing Rate (“SOFR”).</w:t>
      </w:r>
    </w:p>
    <w:p>
      <w:pPr>
        <w:spacing w:after="0" w:line="10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In March 2022, due to reference rate reform, Arrangement 1 and Arrangement 2 were amended to change the interest rate from LIBOR to SOFR based.</w:t>
      </w:r>
    </w:p>
    <w:p>
      <w:pPr>
        <w:spacing w:after="0" w:line="95"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is approximately $901 million and $1.3 billion as of July 2, 2022 and December 25, 2021, respectively. Interest income recognized by us totaled $4 million and $2 million for the six months ended July 2, 2022 and June 26, 2021, respectively.</w:t>
      </w:r>
    </w:p>
    <w:p>
      <w:pPr>
        <w:spacing w:after="0" w:line="10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On the date of this prospectus, there were no outstanding balances under Arrangement 1 and Arrangement 3 and such arrangements were terminated. We expect to settle the $900 million related party payable for the Moovit Purchase with cash to be received from Intel’s payment of the approximately $900 million related party receivable from Intel to Mobileye under Arrangement 2. The $900 million payment to Intel for the Moovit Purchase, and the payment to Mobileye of such related party receivable from Intel, are expected to occur substantially concurrently. The timing of the $900 million payment from us to Intel for the Moovit Purchase remains to be determined between us and Intel primarily based on certain tax considerations and is not tied to the timing of the Reorganization or this offering. See ‘‘Unaudited Pro Forma Condensed Combined Financial Information — The Reorganization and This Offering.’’ We expect that Arrangement 2 will be terminated upon the consummation of such payments.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Note</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Reorganization, on April 21, 2022, we distributed to Intel the Dividend Note, a promissory note pursuant to which Cyclops Holdings Corporation, which became one of our consolidated subsidiaries following the completion of the Reorganization, agreed to pay Intel an aggregate principal amount of $ 3.5 billion.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we have the right, at our option, on any business day, to prepay the loan, including principal and any accrued interest thereon, in whole or in part without premium or penalty. We intend to use a significant portion of the net proceeds that we receive from this offering to repay indebtedness under the Dividend Note. Intel has agreed to contribute to Mobileye Global Inc. any remaining portion of the Dividend Note in excess of such repayment in connection with this offering and the concurrent private placement, so that no amounts under the Dividend Note will remain owed by us to Intel after the completion of the transactions contemplated by this offering and the concurrent private placement. See “Use of Proceeds.”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on May 12, 2022, we declared and paid the Dividend in an aggregate amount of $336 million to Intel, net of $14 million of cash paid to tax authorities to settle related tax obligations.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62" w:lineRule="exact"/>
        <w:rPr>
          <w:sz w:val="20"/>
          <w:szCs w:val="20"/>
          <w:color w:val="auto"/>
        </w:rPr>
      </w:pPr>
    </w:p>
    <w:p>
      <w:pPr>
        <w:jc w:val="both"/>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spacing w:after="0" w:line="2"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color w:val="auto"/>
        </w:rPr>
        <w:t>$78 million and $75 million for 2021, 2020 and 2019, respectively. The reimbursement amount was $48 million for the six months ended July 2, 2022.</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Hedging Services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Development Services and Lease</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Travel Related Expenses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our company. For 2021, 2020 and 2019, travel related reimbursements were $1.1 million, $0.5 million and $1.2 million, respectively. For the six months ended each of July 2, 2022 and June 26, 2021, travel-related reimbursements totaled $0.3 million.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Cross-License Agreement</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are party to an agreement with Intel (which we refer to herein as the Cross -License Agreement, and a copy of which is filed as Exhibit 10.21 to the registration statement of which this prospectus forms a part)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in Connection with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Transfers of Assets</w:t>
      </w:r>
    </w:p>
    <w:p>
      <w:pPr>
        <w:spacing w:after="0" w:line="16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Reorganization, we acquired from Intel in a series of transfers in 2022 certain assets related to our business for an aggregate amount of approximately $7.8 million and recruited from Intel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$900 million that is payable to Intel.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Facilities Arrangements</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connection with this offering, we plan to enter into lease arrangements with Intel for certain facilities in Israel, including in Jerusalem (which includes a data center and workshop), Petah Tikva, and Haifa, for a monthly rent to be agreed between us and Intel and into use and access arrangements with Intel for certain facilities in the United States, Germany, and China for a monthly payment to be agreed between us and Intel.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Contribution and Subscription Agreement</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entered into the Contribution and Subscription Agreement with Intel, pursuant to which Intel is transferring to Mobileye Global Inc., collectively as a contribution 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existing capital in exchange for 749,999,900 shares of our Class B common stock: (i) 100% of the equity interests of Cyclops Holdings Corporation, such that Cyclops Holdings Corporation will become a direct, wholly owned subsidiary of Mobileye Global Inc.; and (ii) the Dividend Note with respect to any principal and accrued interest thereon in excess of the principal amount that we intend to repay from a significant portion of the net proceeds that we receive from this offering and the concurrent private placement (which such portion of net proceeds will first be transferred to Cyclops Holdings Corporation from Mobileye Global Inc. as a contribution on existing capital). A portion of such repayment would include net proceeds from any exercise of the underwriter’s option to purchase additional shares of our Class A common stock and such contributed portion of the Dividend Note would include any amounts that may need be contributed at the time the underwriters’ option to purchase additional shares of our Class A common stock expires so that no amounts under the Dividend Note would remain owed by us to Intel after the completion of the transactions contemplated by this offering and the concurrent private placement. The actual amount to be repaid will be based upon the amount of net proceeds from this offering that we have available after we retain the required $1.0 billion of cash, cash equivalents, or marketable securities that Intel agrees to ensure that we will have immediately after completion of this offering under the Master Transaction Agreement, and will further be based on the estimated balance of cash, cash equivalents and marketable securities as of the closing date of this offering. See “Use of Proceeds” and “Unaudited Pro Forma Condensed Combined Financial Information.”</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entered into the following Intercompany Agreements with Intel that will provide a framework for our ongoing relationship with Intel.</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Master Transaction Agreement</w:t>
      </w:r>
    </w:p>
    <w:p>
      <w:pPr>
        <w:spacing w:after="0" w:line="14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Master Transaction Agreement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32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Offering. </w:t>
      </w:r>
      <w:r>
        <w:rPr>
          <w:rFonts w:ascii="Times New Roman" w:cs="Times New Roman" w:eastAsia="Times New Roman" w:hAnsi="Times New Roman"/>
          <w:sz w:val="18"/>
          <w:szCs w:val="18"/>
          <w:color w:val="auto"/>
        </w:rPr>
        <w:t>We will use our reasonable commercial efforts to satisfy certain conditions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this offering, which conditions include, among others, that (i) this registration statement shall have been declared effective by the SEC, and there shall be no stop order in effect with respect thereto, (ii) actions and filings with regard to applicable securities and blue sky laws of any state (and any comparable laws under any foreign jurisdictions) shall have been taken and, where applicable, have become effective or been accepted, (iii) our Class A common stock to be issued in this offering shall have been accepted for listing on Nasdaq, which it has, subject only to official notice of issuance, (iv) we shall have entered into the underwriting agreement for this offering and all conditions to the obligations of Mobileye and the underwriters shall have been satisfied or waived by the party that is entitled to the benefit thereof, (v) Intel shall be satisfied, in its sole discretion, that it will have an ownership percentage of at least 80.1% immediately following the consummation of this offering, and we will have no class of our capital stock other than the Class A and Class B common stock outstanding, immediately following this offering, and (vi) no order, injunction or decree issued by any court or agency of competent jurisdiction or other legal restraint or prohibition preventing the consummation of this offering or any of the other transactions contemplated by the Master Transaction Agreement or any Intercompany Agreement shall be in effect. Intel may, in its sole and absolute discretion, choose to proceed with or abandon this offering. All costs and expenses of Mobileye and Intel relating to this offering will be paid by us.</w:t>
      </w:r>
    </w:p>
    <w:p>
      <w:pPr>
        <w:spacing w:after="0" w:line="343" w:lineRule="exact"/>
        <w:rPr>
          <w:sz w:val="20"/>
          <w:szCs w:val="20"/>
          <w:color w:val="auto"/>
        </w:rPr>
      </w:pPr>
    </w:p>
    <w:p>
      <w:pPr>
        <w:ind w:left="1260" w:right="8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Registration Rights. </w:t>
      </w:r>
      <w:r>
        <w:rPr>
          <w:rFonts w:ascii="Times New Roman" w:cs="Times New Roman" w:eastAsia="Times New Roman" w:hAnsi="Times New Roman"/>
          <w:sz w:val="18"/>
          <w:szCs w:val="18"/>
          <w:color w:val="auto"/>
        </w:rPr>
        <w:t>We will provide Intel, after the date that is 180 days after the closing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or such earlier date as provided in the Master Transaction Agreement, with certain registration</w:t>
      </w: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rights to register our common stock, because the shares of our common stock held by Intel after this offering will be deemed “restricted securities” as defined in Rule 144 under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this offering, or subsequently acquired, for public sale under the Securities Act on a registration statement on Form S-1 or any similar long form registration statement (a“Long-Form Registration”) or on a registration statement on Form S-3 or any similar short form registration statement at such time Mobileye qualifies to use such short from 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 -3.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33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Future Distributions. </w:t>
      </w:r>
      <w:r>
        <w:rPr>
          <w:rFonts w:ascii="Times New Roman" w:cs="Times New Roman" w:eastAsia="Times New Roman" w:hAnsi="Times New Roman"/>
          <w:sz w:val="18"/>
          <w:szCs w:val="18"/>
          <w:color w:val="auto"/>
        </w:rPr>
        <w:t>We will cooperate with Intel, at its request, to accomplish a distribution by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20" w:lineRule="exact"/>
        <w:rPr>
          <w:sz w:val="20"/>
          <w:szCs w:val="20"/>
          <w:color w:val="auto"/>
        </w:rPr>
      </w:pPr>
    </w:p>
    <w:p>
      <w:pPr>
        <w:ind w:left="1260" w:right="459" w:firstLine="360"/>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Most Favored Status. </w:t>
      </w:r>
      <w:r>
        <w:rPr>
          <w:rFonts w:ascii="Times New Roman" w:cs="Times New Roman" w:eastAsia="Times New Roman" w:hAnsi="Times New Roman"/>
          <w:sz w:val="18"/>
          <w:szCs w:val="18"/>
          <w:color w:val="auto"/>
        </w:rPr>
        <w:t>So long as Intel beneficially owns at least 20% of our common stock,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w:t>
      </w:r>
    </w:p>
    <w:p>
      <w:pPr>
        <w:spacing w:after="0" w:line="1" w:lineRule="exact"/>
        <w:rPr>
          <w:sz w:val="20"/>
          <w:szCs w:val="20"/>
          <w:color w:val="auto"/>
        </w:rPr>
      </w:pPr>
    </w:p>
    <w:p>
      <w:pPr>
        <w:ind w:left="1260" w:right="559"/>
        <w:spacing w:after="0" w:line="242" w:lineRule="auto"/>
        <w:rPr>
          <w:sz w:val="20"/>
          <w:szCs w:val="20"/>
          <w:color w:val="auto"/>
        </w:rPr>
      </w:pPr>
      <w:r>
        <w:rPr>
          <w:rFonts w:ascii="Times New Roman" w:cs="Times New Roman" w:eastAsia="Times New Roman" w:hAnsi="Times New Roman"/>
          <w:sz w:val="18"/>
          <w:szCs w:val="18"/>
          <w:color w:val="auto"/>
        </w:rPr>
        <w:t>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1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Anti -Dilution Option. </w:t>
      </w:r>
      <w:r>
        <w:rPr>
          <w:rFonts w:ascii="Times New Roman" w:cs="Times New Roman" w:eastAsia="Times New Roman" w:hAnsi="Times New Roman"/>
          <w:sz w:val="18"/>
          <w:szCs w:val="18"/>
          <w:color w:val="auto"/>
        </w:rPr>
        <w:t>We have granted Intel a continuing right to purchase from us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Class B common stock as is necessary for Intel to maintain an aggregate ownership interest of our common stock representing at least 80.1% of our common stock outstanding. This option may be exercised by Intel in connection with any issuance by us of common stock other than pursuant to this offering (including the exercise of the underwriters’ option to purchase additional shares in this offering)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to a stock option or executive compensation plan that causes Intel’s percentage ownership of common stock to fall below 80.1%, upon exercise of the option, Intel will pay a price per share of Class A common stock equal to the closing price of our common stock as quoted on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w:t>
      </w:r>
    </w:p>
    <w:p>
      <w:pPr>
        <w:spacing w:after="0" w:line="326"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We and Intel will have cross-indemnities that generally place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this prospectus or the registration statement of which it is a part, except for misstatements or omissions of material fact relating to information that Intel provided to us specifically for inclusion in this prospectus or the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this offering,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this prospectus or the registration statement of which it forms a part, to the extent that such information pertains to Intel or Intel’s business. Intel will also indemnify us against liabilities arising from information Intel provides to us specifically for inclusion in our annual or quarterly reports following the completion of this offering,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3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Release. </w:t>
      </w:r>
      <w:r>
        <w:rPr>
          <w:rFonts w:ascii="Times New Roman" w:cs="Times New Roman" w:eastAsia="Times New Roman" w:hAnsi="Times New Roman"/>
          <w:sz w:val="18"/>
          <w:szCs w:val="18"/>
          <w:color w:val="auto"/>
        </w:rPr>
        <w:t>The Master Transaction Agreement contains a general release for liabilities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occurring on or before the time of this offering. Under this provision, we will release Intel and its subsidiaries, successors and assigns, and Intel will release us and our subsidiaries, successors and assigns, from any liabilities arising from past events between us on the one hand, and Intel on the other hand, occurring on or before the time of this offering, including in connection with the activities to implement this offering. The general release does not apply to liabilities allocated between the parties under the Master Transaction Agreement or other Intercompany Agreements or to specified ongoing contractual arrangements.</w:t>
      </w:r>
    </w:p>
    <w:p>
      <w:pPr>
        <w:spacing w:after="0" w:line="3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Accounting Matters. </w:t>
      </w:r>
      <w:r>
        <w:rPr>
          <w:rFonts w:ascii="Times New Roman" w:cs="Times New Roman" w:eastAsia="Times New Roman" w:hAnsi="Times New Roman"/>
          <w:sz w:val="18"/>
          <w:szCs w:val="18"/>
          <w:color w:val="auto"/>
        </w:rPr>
        <w:t>For so long as Intel provides us with accounting and financial services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Agreement that we have entered into with Intel,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17"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Legal Policies. </w:t>
      </w:r>
      <w:r>
        <w:rPr>
          <w:rFonts w:ascii="Times New Roman" w:cs="Times New Roman" w:eastAsia="Times New Roman" w:hAnsi="Times New Roman"/>
          <w:sz w:val="18"/>
          <w:szCs w:val="18"/>
          <w:color w:val="auto"/>
        </w:rPr>
        <w:t>Until the later of Intel ceasing to be a “controlling person” of us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previously communicated to us, and will not adopt legal or regulatory policies or directives inconsistent with the policies identified by Intel as critical to legal and regulatory compliance.</w:t>
      </w:r>
    </w:p>
    <w:p>
      <w:pPr>
        <w:spacing w:after="0" w:line="79"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Non-Solicitation: </w:t>
      </w:r>
      <w:r>
        <w:rPr>
          <w:rFonts w:ascii="Times New Roman" w:cs="Times New Roman" w:eastAsia="Times New Roman" w:hAnsi="Times New Roman"/>
          <w:sz w:val="18"/>
          <w:szCs w:val="18"/>
          <w:color w:val="auto"/>
        </w:rPr>
        <w:t>For a period of two years following the closing of this offering, we and Intel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pacing w:after="0" w:line="10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Remaining Intel Awards: </w:t>
      </w:r>
      <w:r>
        <w:rPr>
          <w:rFonts w:ascii="Times New Roman" w:cs="Times New Roman" w:eastAsia="Times New Roman" w:hAnsi="Times New Roman"/>
          <w:sz w:val="18"/>
          <w:szCs w:val="18"/>
          <w:color w:val="auto"/>
        </w:rPr>
        <w:t>All outstanding options to purchase shares of Intel and all other Intel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held by Mobileye Group employees at the time of the initial public offering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Minimum Cash Requirement: </w:t>
      </w:r>
      <w:r>
        <w:rPr>
          <w:rFonts w:ascii="Times New Roman" w:cs="Times New Roman" w:eastAsia="Times New Roman" w:hAnsi="Times New Roman"/>
          <w:sz w:val="18"/>
          <w:szCs w:val="18"/>
          <w:color w:val="auto"/>
        </w:rPr>
        <w:t>Immediately after completion of this offering and on a pro forma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all expenses of this offering have been paid (and after giving effect to any repayment of any indebtedness by us to Intel and any other transactions contemplated to occur substantially concurrently with this offering), Intel agrees to ensure that we will have $1.0 billion cash, cash equivalents, or marketable securities.</w:t>
      </w:r>
    </w:p>
    <w:p>
      <w:pPr>
        <w:spacing w:after="0" w:line="322"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Notifiable Transactions: </w:t>
      </w:r>
      <w:r>
        <w:rPr>
          <w:rFonts w:ascii="Times New Roman" w:cs="Times New Roman" w:eastAsia="Times New Roman" w:hAnsi="Times New Roman"/>
          <w:sz w:val="18"/>
          <w:szCs w:val="18"/>
          <w:color w:val="auto"/>
        </w:rPr>
        <w:t>Intel will use commercially reasonable efforts to provide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6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Under the Administrative Services Agreement, Intel will provide us with administrative, financial, legal, tax, and other services. Intel will provide such services to us with substantially the same degree of skill and care as such services have been provided to us during the twelve months prior to the date of this offering. We will pay fees to Intel for the services rendered based on pricing per service agreed between us and Intel.</w:t>
      </w:r>
    </w:p>
    <w:p>
      <w:pPr>
        <w:spacing w:after="0" w:line="3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initial term of the Administrative Services Agreement will expire two years from the completion of this offering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32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Employee Matters Agreement</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Employee Matters Agreement will allocate assets, liabilities and responsibilities relating to employees, employment matters, compensation and benefit plans and other related matters. The Employee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Technology and Services Agreement will provide a framework for the collaboration on technology projects and services between us and Intel (“Technology Projects”), and will set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will not apply to projects for the development and manufacture of a lidar sensor system for automobiles, for which the LiDAR Product Collaboration Agreement will apply. Pursuant to the Technology and Services Agreement, we and Intel will agree to statements of work with additional terms for Technology Projects.</w:t>
      </w:r>
    </w:p>
    <w:p>
      <w:pPr>
        <w:spacing w:after="0" w:line="12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falls within a defined field related to Intel’s business (including technology related to certain semiconductor, radar, lidar,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Intel will own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in certain radar technology created by our personnel prior to the completion of this offering, primarily related to their work on certain radar technology. Intel will assign back to us certain intellectual property rights to a certain subset of radar technology created by our employees after the completion of this offering. Intel will grant us worldwide, perpetual, irrevocable, royalty-free licenses under certain intellectual property rights to certain radar technology for the purpose of our development and manufacturing of certain types of external environment-sensing radar sensor products for ADAS and AV in automobiles.</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Technology and Services Agreement includes confidentiality restrictions with respect to Technology Projects and related technology and a limited Intel non-compete with respect to certain radar technology for a period of up to five years from the effective date of the Technology and Services Agreement. Except with respect to claims of infringement of intellectual property rights, breaches of a license or confidentiality obligations, or any liability which cannot be limited under applicable law, any liability of the parties to one another under the Technology and Services Agreement will be capped to the aggregate amounts paid or payable by us to Intel under the agreement for any development services. The Technology and Services Agreement will have a term of two years, and will automatically renew for one-year renewal periods, unless the agreement is terminated for a party’s material breach, a party’s bankruptcy or insolvency, or advance notice of nonrenewal is given.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LiDAR Product Collaboration Agreement</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LiDAR Product Collaboration Agreement provides the terms that will apply to our collaboration with Intel for the development and manufacture of a lidar sensor system for ADAS and AV in automobiles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(“LiDAR Projects”). The LiDAR Product Collaboration Agreement further provides that, under a profit-sharing model, Intel will manufacture certain components (silicon photonics integrated circuits and grating and mirrors) for us to market and sell as part of a FMCW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 The parties will also negotiate the possibility of developing and manufacturing future generations of the components for similar lidar sensor systems.</w:t>
      </w:r>
    </w:p>
    <w:p>
      <w:pPr>
        <w:spacing w:after="0" w:line="12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Pursuant to the LiDAR Product Collaboration Agreement, Intel has granted us a worldwide, royalty-free license under certain trade secret rights and copyrights for certain identified lidar technology for internal development of an external environment-sensing FMCW lidar sensor system for ADAS and AV solely for a LiDAR Project and subject to certain project restrictions. We will own the intellectual property rights to certain new system technology for FMCW lidar sensor systems created solely by our personnel under the LiDAR Product Collaboration Agreement that is developed after the completion of this offering, and will grant to Intel a worldwide, royalty-free license under certain trade secret rights and copyrights for the system technology to use, copy and modify the system technology solely for a LiDAR Project. Intel will own all other new technology created during the term of the LiDAR Product Collaboration Agreement which falls into a defined category of lidar and other technology, and we will assign to Intel our intellectual property rights in this technology and certain lidar technology which our personnel created before the completion of this offering (primarily technology based on Intel’s own technology). Intellectual property rights in other technology developed under LiDAR Projects will be solely owned if the technology was solely created by a party, and for any jointly created intellectual property rights the parties will jointly own copyright and trade secrets, and allocate and license patent rights between them.</w:t>
      </w:r>
    </w:p>
    <w:p>
      <w:pPr>
        <w:spacing w:after="0" w:line="12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LiDAR Product Collaboration Agreement includes confidentiality restrictions with respect to LiDAR Projects and related technology and a limited Intel non-compete with respect to certain lidar technology for a period of up to five years from the effective date of the agreement. Except with respect to claims of infringement of intellectual property rights, breaches of a license or confidentiality obligations, or any liability which cannot be limited under applicable law, any liability of the parties to one another under the LiDAR Product Collaboration Agreement will be capped to the aggregate amounts paid or payable by us to Intel under the agreement for any development services. The LiDAR Product Collaboration Agreement will have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14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have been previously included in the Consolidated Group and in certain other Combined Groups. Pursuant to the Tax Sharing Agreement,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pro forma tax returns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34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We have been included in the Consolidated Group for the most recent annual period. It is expected that we will be included in the Consolidated Group following this offering.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3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As of the date of this prospectus, Intel does not intend or plan to undertake a spin-off of our stock to Intel stockholders. Nevertheless, we and Intel have agreed to set forth our respective rights, responsibilities and obligations with respect to any possible spin-off in the Tax Sharing Agreement. If Intel were to decide to pursue a possible spin -off,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 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(i) any taxes resulting from the failure of a spin-off to qualify as a tax-free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persons (the “Related Person Policy”) to be effective prior to the completion of this offering.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At our request, the underwriters have reserved up to 2,050,000 shares of Class A common stock, or 5% of the shares offered by this prospectus, for sale at the initial public offering price to our directors and to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6" w:lineRule="auto"/>
        <w:rPr>
          <w:sz w:val="20"/>
          <w:szCs w:val="20"/>
          <w:color w:val="auto"/>
        </w:rPr>
      </w:pPr>
      <w:r>
        <w:rPr>
          <w:rFonts w:ascii="Times New Roman" w:cs="Times New Roman" w:eastAsia="Times New Roman" w:hAnsi="Times New Roman"/>
          <w:sz w:val="18"/>
          <w:szCs w:val="18"/>
          <w:color w:val="auto"/>
        </w:rPr>
        <w:t>directors, executive officers, and certain employees of Intel. Shares purchased through the directed share program will not be subject to a lock-up restriction, except in the case of shares purchased by any of our directors.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is administering our directed share program.</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Indication of Interest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Professor Shashua, our Chief Executive Officer, President, and a member of our board of directors, has indicated an interest in purchasing up to $10 million of the shares of our Class A common stock offered in this offering at the initial public offering price, and any such shares would be subject to a lock-up agreement with the underwriters. See “Underwriting” for a description of the lock-up agreements applicable to our shares. Because this indication of interest is not a binding agreement or commitment to purchase, Professor Shashua could determine to purchase more, less, or no shares in this offering, and the underwriters could determine to sell more, less, or no shares to Professor Shashua. As a result, the underwriters may allocate such shares to other investors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immediately prior to and following the completion of this offering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outstanding before this offering and the corresponding percentage of beneficial ownership are based on zero shares of our Class A common stock and 100 shares of our Class B common stock (which gives pro forma effect to the reclassification of the 100 shares of our common stock outstanding to 100 shares of our Class B common stock immediately prior to the completion of this offering) outstanding as of October 1, 2022. The number of shares of common stock outstanding after this offering and the concurrent private placement and the corresponding percentage of beneficial ownership are based on the number of shares of common stock issued and outstanding as of October 1, 2022 after giving effect to the offering and the concurrent private placement, assuming no exercise of the underwriters’ option to purchase additional shares.</w:t>
      </w:r>
    </w:p>
    <w:p>
      <w:pPr>
        <w:spacing w:after="0" w:line="340"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In addition, the following table does not reflect any shares of Class A common stock that may be purchased (i) by Professor Shashua pursuant to his indication of interest, (ii) by any of our directors pursuant to our directed share program described under “Underwriting — Directed Share Program” or (iii) otherwise in this offering.</w:t>
      </w:r>
    </w:p>
    <w:p>
      <w:pPr>
        <w:spacing w:after="0" w:line="9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October 1,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pacing w:after="0" w:line="342"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10"/>
          </w:tcPr>
          <w:p>
            <w:pPr>
              <w:spacing w:after="0"/>
              <w:rPr>
                <w:sz w:val="20"/>
                <w:szCs w:val="20"/>
                <w:color w:val="auto"/>
              </w:rPr>
            </w:pPr>
            <w:r>
              <w:rPr>
                <w:rFonts w:ascii="Times New Roman" w:cs="Times New Roman" w:eastAsia="Times New Roman" w:hAnsi="Times New Roman"/>
                <w:sz w:val="13"/>
                <w:szCs w:val="13"/>
                <w:b w:val="1"/>
                <w:bCs w:val="1"/>
                <w:color w:val="auto"/>
                <w:w w:val="96"/>
              </w:rPr>
              <w:t>Shares of Common Stock Beneficially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9"/>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w w:val="92"/>
              </w:rPr>
              <w:t>Shares of Common Stock Beneficially</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14"/>
          </w:tcPr>
          <w:p>
            <w:pPr>
              <w:jc w:val="right"/>
              <w:ind w:right="128"/>
              <w:spacing w:after="0" w:line="122" w:lineRule="exact"/>
              <w:rPr>
                <w:sz w:val="20"/>
                <w:szCs w:val="20"/>
                <w:color w:val="auto"/>
              </w:rPr>
            </w:pPr>
            <w:r>
              <w:rPr>
                <w:rFonts w:ascii="Times New Roman" w:cs="Times New Roman" w:eastAsia="Times New Roman" w:hAnsi="Times New Roman"/>
                <w:sz w:val="13"/>
                <w:szCs w:val="13"/>
                <w:b w:val="1"/>
                <w:bCs w:val="1"/>
                <w:color w:val="auto"/>
                <w:w w:val="95"/>
              </w:rPr>
              <w:t>Owned Before this Offering and the Concurrent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11"/>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Owned After this Offering and the Concurrent</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6"/>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w w:val="98"/>
              </w:rPr>
              <w:t>Private Placement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Private Placement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85"/>
              </w:rPr>
              <w:t>Class 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280" w:type="dxa"/>
            <w:vAlign w:val="bottom"/>
          </w:tcPr>
          <w:p>
            <w:pPr>
              <w:spacing w:after="0"/>
              <w:rPr>
                <w:sz w:val="11"/>
                <w:szCs w:val="11"/>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b w:val="1"/>
                <w:bCs w:val="1"/>
                <w:color w:val="auto"/>
                <w:w w:val="90"/>
              </w:rPr>
              <w:t>% of Total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right="28"/>
              <w:spacing w:after="0" w:line="129" w:lineRule="exact"/>
              <w:rPr>
                <w:sz w:val="20"/>
                <w:szCs w:val="20"/>
                <w:color w:val="auto"/>
              </w:rPr>
            </w:pPr>
            <w:r>
              <w:rPr>
                <w:rFonts w:ascii="Times New Roman" w:cs="Times New Roman" w:eastAsia="Times New Roman" w:hAnsi="Times New Roman"/>
                <w:sz w:val="13"/>
                <w:szCs w:val="13"/>
                <w:b w:val="1"/>
                <w:bCs w:val="1"/>
                <w:color w:val="auto"/>
                <w:w w:val="93"/>
              </w:rPr>
              <w:t>% of 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3"/>
                <w:szCs w:val="13"/>
                <w:b w:val="1"/>
                <w:bCs w:val="1"/>
                <w:color w:val="auto"/>
              </w:rPr>
              <w:t>Voting</w:t>
            </w:r>
          </w:p>
        </w:tc>
        <w:tc>
          <w:tcPr>
            <w:tcW w:w="1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gridSpan w:val="2"/>
          </w:tcPr>
          <w:p>
            <w:pPr>
              <w:jc w:val="center"/>
              <w:ind w:right="8"/>
              <w:spacing w:after="0" w:line="131"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restart"/>
          </w:tcPr>
          <w:p>
            <w:pPr>
              <w:jc w:val="right"/>
              <w:ind w:right="128"/>
              <w:spacing w:after="0" w:line="113" w:lineRule="exact"/>
              <w:rPr>
                <w:sz w:val="20"/>
                <w:szCs w:val="20"/>
                <w:color w:val="auto"/>
              </w:rPr>
            </w:pPr>
            <w:r>
              <w:rPr>
                <w:rFonts w:ascii="Times New Roman" w:cs="Times New Roman" w:eastAsia="Times New Roman" w:hAnsi="Times New Roman"/>
                <w:sz w:val="13"/>
                <w:szCs w:val="13"/>
                <w:b w:val="1"/>
                <w:bCs w:val="1"/>
                <w:color w:val="auto"/>
              </w:rPr>
              <w:t>Power</w:t>
            </w: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restart"/>
          </w:tcPr>
          <w:p>
            <w:pPr>
              <w:jc w:val="center"/>
              <w:ind w:right="28"/>
              <w:spacing w:after="0" w:line="113" w:lineRule="exact"/>
              <w:rPr>
                <w:sz w:val="20"/>
                <w:szCs w:val="20"/>
                <w:color w:val="auto"/>
              </w:rPr>
            </w:pPr>
            <w:r>
              <w:rPr>
                <w:rFonts w:ascii="Times New Roman" w:cs="Times New Roman" w:eastAsia="Times New Roman" w:hAnsi="Times New Roman"/>
                <w:sz w:val="13"/>
                <w:szCs w:val="13"/>
                <w:b w:val="1"/>
                <w:bCs w:val="1"/>
                <w:color w:val="auto"/>
                <w:w w:val="90"/>
              </w:rPr>
              <w:t>Power</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4100" w:type="dxa"/>
            <w:vAlign w:val="bottom"/>
            <w:gridSpan w:val="2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of Class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of Class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Pre-Offering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of Class </w:t>
            </w:r>
            <w:r>
              <w:rPr>
                <w:rFonts w:ascii="Times New Roman" w:cs="Times New Roman" w:eastAsia="Times New Roman" w:hAnsi="Times New Roman"/>
                <w:sz w:val="21"/>
                <w:szCs w:val="21"/>
                <w:b w:val="1"/>
                <w:bCs w:val="1"/>
                <w:color w:val="auto"/>
                <w:vertAlign w:val="subscript"/>
              </w:rPr>
              <w:t>​​</w:t>
            </w:r>
          </w:p>
        </w:tc>
        <w:tc>
          <w:tcPr>
            <w:tcW w:w="2140" w:type="dxa"/>
            <w:vAlign w:val="bottom"/>
            <w:gridSpan w:val="8"/>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of Class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Post-Offering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line="20" w:lineRule="exact"/>
              <w:rPr>
                <w:sz w:val="1"/>
                <w:szCs w:val="1"/>
                <w:color w:val="auto"/>
              </w:rPr>
            </w:pPr>
          </w:p>
        </w:tc>
      </w:tr>
      <w:tr>
        <w:trPr>
          <w:trHeight w:val="18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8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6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Borders>
              <w:right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Intel Corporation</w:t>
            </w:r>
            <w:r>
              <w:rPr>
                <w:rFonts w:ascii="Times New Roman" w:cs="Times New Roman" w:eastAsia="Times New Roman" w:hAnsi="Times New Roman"/>
                <w:sz w:val="17"/>
                <w:szCs w:val="17"/>
                <w:color w:val="auto"/>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750,000,000​​​</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99.4%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Named Executive Officers,</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Directors and Director</w:t>
            </w:r>
          </w:p>
        </w:tc>
        <w:tc>
          <w:tcPr>
            <w:tcW w:w="1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tcBorders>
              <w:lef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Nominees</w:t>
            </w:r>
            <w:r>
              <w:rPr>
                <w:rFonts w:ascii="Times New Roman" w:cs="Times New Roman" w:eastAsia="Times New Roman" w:hAnsi="Times New Roman"/>
                <w:sz w:val="17"/>
                <w:szCs w:val="17"/>
                <w:b w:val="1"/>
                <w:bCs w:val="1"/>
                <w:i w:val="1"/>
                <w:iCs w:val="1"/>
                <w:color w:val="auto"/>
                <w:vertAlign w:val="superscript"/>
              </w:rPr>
              <w:t>(2)</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8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Borders>
              <w:right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6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Amnon Shashua</w:t>
            </w:r>
            <w:r>
              <w:rPr>
                <w:rFonts w:ascii="Times New Roman" w:cs="Times New Roman" w:eastAsia="Times New Roman" w:hAnsi="Times New Roman"/>
                <w:sz w:val="17"/>
                <w:szCs w:val="17"/>
                <w:color w:val="auto"/>
                <w:vertAlign w:val="superscript"/>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P. Gelsinger</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Anat Heller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Erez Dagan</w:t>
            </w:r>
            <w:r>
              <w:rPr>
                <w:rFonts w:ascii="Times New Roman" w:cs="Times New Roman" w:eastAsia="Times New Roman" w:hAnsi="Times New Roman"/>
                <w:sz w:val="17"/>
                <w:szCs w:val="17"/>
                <w:color w:val="auto"/>
                <w:vertAlign w:val="superscript"/>
              </w:rPr>
              <w:t>(4)</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Gavriel Hayon</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Shai Shalev-Shwartz</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Eyal Desheh</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Jon M. Huntsman Jr.</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Claire McCaskill</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Christine Pambianchi</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-1807845</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-1807845</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-1807845</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-1807845</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-1807845</wp:posOffset>
            </wp:positionV>
            <wp:extent cx="342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-1807845</wp:posOffset>
            </wp:positionV>
            <wp:extent cx="342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-1807845</wp:posOffset>
            </wp:positionV>
            <wp:extent cx="342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-1807845</wp:posOffset>
            </wp:positionV>
            <wp:extent cx="342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-1807845</wp:posOffset>
            </wp:positionV>
            <wp:extent cx="342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-1807845</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Name of Beneficial Owner</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Frank D. Yeary</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Saf Yeboah-Amankwah</w:t>
      </w:r>
    </w:p>
    <w:p>
      <w:pPr>
        <w:spacing w:after="0" w:line="42" w:lineRule="exact"/>
        <w:rPr>
          <w:sz w:val="20"/>
          <w:szCs w:val="20"/>
          <w:color w:val="auto"/>
        </w:rPr>
      </w:pPr>
    </w:p>
    <w:p>
      <w:pPr>
        <w:ind w:left="1400" w:hanging="143"/>
        <w:spacing w:after="0" w:line="241" w:lineRule="auto"/>
        <w:rPr>
          <w:sz w:val="20"/>
          <w:szCs w:val="20"/>
          <w:color w:val="auto"/>
        </w:rPr>
      </w:pPr>
      <w:r>
        <w:rPr>
          <w:rFonts w:ascii="Times New Roman" w:cs="Times New Roman" w:eastAsia="Times New Roman" w:hAnsi="Times New Roman"/>
          <w:sz w:val="14"/>
          <w:szCs w:val="14"/>
          <w:color w:val="auto"/>
        </w:rPr>
        <w:t>All executive officers, directors, and director nominees as a group (12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135255</wp:posOffset>
            </wp:positionV>
            <wp:extent cx="12344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gridSpan w:val="7"/>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Shares of Common Stock Beneficially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0" w:type="dxa"/>
            <w:vAlign w:val="bottom"/>
            <w:gridSpan w:val="8"/>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1"/>
              </w:rPr>
              <w:t>Shares of Common Stock Beneficially</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7"/>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2"/>
              </w:rPr>
              <w:t>Owned Before this Offering and the Concurrent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0" w:type="dxa"/>
            <w:vAlign w:val="bottom"/>
            <w:gridSpan w:val="8"/>
          </w:tcPr>
          <w:p>
            <w:pPr>
              <w:jc w:val="center"/>
              <w:ind w:right="177"/>
              <w:spacing w:after="0" w:line="128" w:lineRule="exact"/>
              <w:rPr>
                <w:sz w:val="20"/>
                <w:szCs w:val="20"/>
                <w:color w:val="auto"/>
              </w:rPr>
            </w:pPr>
            <w:r>
              <w:rPr>
                <w:rFonts w:ascii="Times New Roman" w:cs="Times New Roman" w:eastAsia="Times New Roman" w:hAnsi="Times New Roman"/>
                <w:sz w:val="13"/>
                <w:szCs w:val="13"/>
                <w:b w:val="1"/>
                <w:bCs w:val="1"/>
                <w:color w:val="auto"/>
                <w:w w:val="92"/>
              </w:rPr>
              <w:t>Owned After this Offering and the Concurrent</w:t>
            </w:r>
          </w:p>
        </w:tc>
        <w:tc>
          <w:tcPr>
            <w:tcW w:w="0" w:type="dxa"/>
            <w:vAlign w:val="bottom"/>
          </w:tcPr>
          <w:p>
            <w:pPr>
              <w:spacing w:after="0"/>
              <w:rPr>
                <w:sz w:val="1"/>
                <w:szCs w:val="1"/>
                <w:color w:val="auto"/>
              </w:rPr>
            </w:pPr>
          </w:p>
        </w:tc>
      </w:tr>
      <w:tr>
        <w:trPr>
          <w:trHeight w:val="175"/>
        </w:trPr>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spacing w:after="0"/>
              <w:rPr>
                <w:sz w:val="15"/>
                <w:szCs w:val="15"/>
                <w:color w:val="auto"/>
              </w:rPr>
            </w:pPr>
          </w:p>
        </w:tc>
        <w:tc>
          <w:tcPr>
            <w:tcW w:w="1300" w:type="dxa"/>
            <w:vAlign w:val="bottom"/>
            <w:gridSpan w:val="4"/>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Private Placement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Private Placement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0"/>
              </w:rPr>
              <w:t>% of Total</w:t>
            </w: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0"/>
              </w:rPr>
              <w:t>% of 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vMerge w:val="continue"/>
          </w:tcPr>
          <w:p>
            <w:pPr>
              <w:spacing w:after="0"/>
              <w:rPr>
                <w:sz w:val="11"/>
                <w:szCs w:val="11"/>
                <w:color w:val="auto"/>
              </w:rPr>
            </w:pPr>
          </w:p>
        </w:tc>
        <w:tc>
          <w:tcPr>
            <w:tcW w:w="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24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vMerge w:val="continue"/>
          </w:tcPr>
          <w:p>
            <w:pPr>
              <w:spacing w:after="0"/>
              <w:rPr>
                <w:sz w:val="11"/>
                <w:szCs w:val="11"/>
                <w:color w:val="auto"/>
              </w:rPr>
            </w:pPr>
          </w:p>
        </w:tc>
        <w:tc>
          <w:tcPr>
            <w:tcW w:w="1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ind w:right="77"/>
              <w:spacing w:after="0" w:line="138"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0"/>
              </w:rPr>
              <w:t>Power</w:t>
            </w: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5"/>
              </w:rPr>
              <w:t>Power</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auto"/>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u w:val="single" w:color="auto"/>
          <w:color w:val="auto"/>
        </w:rPr>
        <w:t>Shares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u w:val="single" w:color="auto"/>
          <w:color w:val="auto"/>
        </w:rPr>
        <w:t>% of Class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u w:val="single" w:color="auto"/>
          <w:color w:val="auto"/>
        </w:rPr>
        <w:t>Shares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u w:val="single" w:color="auto"/>
          <w:color w:val="auto"/>
        </w:rPr>
        <w:t>% of Class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Pre-Offering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u w:val="single" w:color="auto"/>
          <w:color w:val="auto"/>
        </w:rPr>
        <w:t>% of Class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u w:val="single" w:color="auto"/>
          <w:color w:val="auto"/>
        </w:rPr>
        <w:t>Shares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20"/>
          <w:szCs w:val="20"/>
          <w:b w:val="1"/>
          <w:bCs w:val="1"/>
          <w:u w:val="single" w:color="auto"/>
          <w:color w:val="auto"/>
          <w:vertAlign w:val="subscript"/>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u w:val="single" w:color="auto"/>
          <w:color w:val="auto"/>
        </w:rPr>
        <w:t>% of Class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Post-Offering </w:t>
      </w:r>
      <w:r>
        <w:rPr>
          <w:rFonts w:ascii="Times New Roman" w:cs="Times New Roman" w:eastAsia="Times New Roman" w:hAnsi="Times New Roman"/>
          <w:sz w:val="20"/>
          <w:szCs w:val="20"/>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-5715</wp:posOffset>
            </wp:positionV>
            <wp:extent cx="5212080" cy="1289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r>
      <w:tr>
        <w:trPr>
          <w:trHeight w:val="189"/>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r>
      <w:tr>
        <w:trPr>
          <w:trHeight w:val="486"/>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-309880</wp:posOffset>
            </wp:positionV>
            <wp:extent cx="5212080" cy="3086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3220" w:space="60"/>
            <w:col w:w="6599"/>
          </w:cols>
          <w:pgMar w:left="580" w:top="97" w:right="1440" w:bottom="1440" w:gutter="0" w:footer="0" w:header="0"/>
          <w:type w:val="continuous"/>
        </w:sectPr>
      </w:pPr>
    </w:p>
    <w:p>
      <w:pPr>
        <w:spacing w:after="0" w:line="156" w:lineRule="exact"/>
        <w:rPr>
          <w:sz w:val="20"/>
          <w:szCs w:val="20"/>
          <w:color w:val="auto"/>
        </w:rPr>
      </w:pPr>
    </w:p>
    <w:p>
      <w:pPr>
        <w:ind w:left="1620" w:hanging="360"/>
        <w:spacing w:after="0"/>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77" w:lineRule="exact"/>
        <w:rPr>
          <w:sz w:val="20"/>
          <w:szCs w:val="20"/>
          <w:color w:val="auto"/>
        </w:rPr>
      </w:pPr>
    </w:p>
    <w:p>
      <w:pPr>
        <w:ind w:left="1620" w:right="519" w:hanging="360"/>
        <w:spacing w:after="0" w:line="258"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750,000,000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48"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Global Inc., Har Hotzvim, 13 Hartom Street P.O. Box 45157 Jerusalem 9777513, Israel.</w:t>
      </w:r>
    </w:p>
    <w:p>
      <w:pPr>
        <w:spacing w:after="0" w:line="13" w:lineRule="exact"/>
        <w:rPr>
          <w:rFonts w:ascii="Times New Roman" w:cs="Times New Roman" w:eastAsia="Times New Roman" w:hAnsi="Times New Roman"/>
          <w:sz w:val="18"/>
          <w:szCs w:val="18"/>
          <w:color w:val="auto"/>
        </w:rPr>
      </w:pPr>
    </w:p>
    <w:p>
      <w:pPr>
        <w:ind w:left="1620" w:right="439" w:hanging="360"/>
        <w:spacing w:after="0" w:line="253"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Professor Shashua, our Chief Executive Officer, President, and a member of our board of directors, has indicated an interest in purchasing up to $10 million of the shares of our Class A common stock offered in this offering at the initial public offering price. Because this indication of interest is not a binding agreement or commitment to purchase, Professor Shashua could determine to purchase more, less, or no shares in this offering, and the underwriters could determine to sell more, less, or no shares to Professor Shashua. As a result, the underwriters may allocate such shares to other investors in this offering. Assuming Professor Shashua is allocated and purchases his full indication of interests at the initial public offering price of $21.00, Professor Shashua would beneficially own less than one percent of the shares of Class A common stock and less than one percent of the voting power of our common stock after this offering, regardless of the extent to which the underwriters exercise their option to purchase additional shares of our Class A common stock, and the other percentages set forth in this table would adjust accordingly.</w:t>
      </w:r>
    </w:p>
    <w:p>
      <w:pPr>
        <w:spacing w:after="0" w:line="259" w:lineRule="exact"/>
        <w:rPr>
          <w:rFonts w:ascii="Times New Roman" w:cs="Times New Roman" w:eastAsia="Times New Roman" w:hAnsi="Times New Roman"/>
          <w:sz w:val="18"/>
          <w:szCs w:val="18"/>
          <w:color w:val="auto"/>
        </w:rPr>
      </w:pPr>
    </w:p>
    <w:p>
      <w:pPr>
        <w:jc w:val="both"/>
        <w:ind w:left="1620" w:right="499" w:hanging="360"/>
        <w:spacing w:after="0" w:line="266"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5,530,000,000 shares of capital stock, par value $0.01 per share, of which:</w:t>
      </w:r>
    </w:p>
    <w:p>
      <w:pPr>
        <w:spacing w:after="0" w:line="40" w:lineRule="exact"/>
        <w:rPr>
          <w:sz w:val="20"/>
          <w:szCs w:val="20"/>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shares are designated as Class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shares are designated as preferred stock.</w:t>
      </w:r>
    </w:p>
    <w:p>
      <w:pPr>
        <w:spacing w:after="0" w:line="14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After the completion of this offering, we will be a “controlled company” within the meaning of the corporate governance standards of Nasdaq. See “Management — Controlled Company Exemption.” Unless our board of directors determines otherwise, we will issue all shares of our capital stock in uncertificated form.</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w:t>
      </w:r>
    </w:p>
    <w:p>
      <w:pPr>
        <w:spacing w:after="0" w:line="16"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to 5,500,000,000 shares of common stock, including 4,000,000,000 shares of our Class A common stock and 1,500,000,000 shares of our Class B common stock.</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Holders of our Class B common stock are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87" w:lineRule="exact"/>
        <w:rPr>
          <w:sz w:val="20"/>
          <w:szCs w:val="20"/>
          <w:color w:val="auto"/>
        </w:rPr>
      </w:pPr>
    </w:p>
    <w:p>
      <w:pPr>
        <w:ind w:left="1800" w:right="839" w:hanging="180"/>
        <w:spacing w:after="0" w:line="266"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articles of incorporation that became effective as of the date of this prospectus provides that stockholders are not entitled to cumulative voting for the election of directors. As a result, the holders of a majority of our voting shares can elect all of the directors then standing for election.</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Immediately following the completion of this offering, investors purchasing shares of our Class A common stock in this offering will hold approximately 0.6% of the voting power of our outstanding common stock (or approximately 0.7% if the underwriters exercise their option to purchase additional shares of our Class A common stock in full). Intel, which will beneficially own all of the outstanding shares</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of our Class B common stock, will beneficially own approximately 99.4% of the voting power our common stock (or approximately 99.3%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10"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share of our Class B common stock is convertible into one share of Class A common stock at the option of the holder, provided that if our Class B common stock is distributed to security holders of Intel in a transaction (including any distribution in exchange for shares of Intel’s or its successor- in- 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 assessable. The rights, preferences, and privileges of the holders of our common stock are subject to, and may be adversely affected by, the rights of the holders of shares of any series of preferred stock that we may issue in the future.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Approval Rights of Holders of Class B Common Stock</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addition to any other vote required by law or by our amended and restated certificate of incorporation, until the first date on which Intel ceases to beneficially own 20% or more of the outstanding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of our common stock, the prior affirmative vote or written consent of Intel as the holder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is required in order to authorize us to:</w:t>
      </w:r>
    </w:p>
    <w:p>
      <w:pPr>
        <w:spacing w:after="0" w:line="85" w:lineRule="exact"/>
        <w:rPr>
          <w:sz w:val="20"/>
          <w:szCs w:val="20"/>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takeover defense measure;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any other entity;</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our subsidiaries to consolidate or merge with or into any other entity, with certain exceptions;</w:t>
      </w:r>
    </w:p>
    <w:p>
      <w:pPr>
        <w:spacing w:after="0" w:line="4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stock or assets of another entity for consideration in excess of $250,000,000 other than transactions in which we and one or more of our wholly owned subsidiaries are the only parties;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stock or other equity securities except to our subsidiaries, pursuant to this offering, or pursuant to our employee benefit plans limited to a share reserve of 5% of the outstanding number of shares of our common stock on the immediately preceding December 31;</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individual or series of related capital or other expenditures in excess of $250,000,000;</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permit to exist any indebtedness or guarantee any indebtedness in excess of $250,000,000;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to or purchase any debt securities of any person in excess of $250,000,000;</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to dissolve, liquidate, or wind-up our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on our stock; and</w:t>
      </w:r>
    </w:p>
    <w:p>
      <w:pPr>
        <w:spacing w:after="0" w:line="10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terminate or adopt any provision inconsistent with our amended and restated certificate of incorporation or amended and restated bylaws.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 to 30,000,000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69" w:lineRule="exact"/>
        <w:rPr>
          <w:sz w:val="20"/>
          <w:szCs w:val="20"/>
          <w:color w:val="auto"/>
        </w:rPr>
      </w:pPr>
    </w:p>
    <w:p>
      <w:pPr>
        <w:ind w:left="1800" w:right="53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spacing w:after="0" w:line="266" w:lineRule="auto"/>
        <w:rPr>
          <w:sz w:val="20"/>
          <w:szCs w:val="20"/>
          <w:color w:val="auto"/>
        </w:rPr>
      </w:pPr>
      <w:r>
        <w:rPr>
          <w:rFonts w:ascii="Times New Roman" w:cs="Times New Roman" w:eastAsia="Times New Roman" w:hAnsi="Times New Roman"/>
          <w:sz w:val="18"/>
          <w:szCs w:val="18"/>
          <w:color w:val="auto"/>
        </w:rPr>
        <w:t>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sz w:val="20"/>
          <w:szCs w:val="20"/>
          <w:color w:val="auto"/>
        </w:rPr>
      </w:pPr>
    </w:p>
    <w:p>
      <w:pPr>
        <w:ind w:left="1800" w:right="419" w:hanging="180"/>
        <w:spacing w:after="0" w:line="270"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6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1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explicitly opted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below provisions are included in our amended and restated certificate of incorporation and our amended and restated bylaws that could deter hostile takeovers or delay or prevent changes in control of our management team.</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46"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As described above in “— Common Stock — Voting Rights,” our amended and restated certificate of incorporation provides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Board of director vacancies</w:t>
      </w:r>
    </w:p>
    <w:p>
      <w:pPr>
        <w:spacing w:after="0" w:line="16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 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58" w:lineRule="auto"/>
        <w:rPr>
          <w:sz w:val="20"/>
          <w:szCs w:val="20"/>
          <w:color w:val="auto"/>
        </w:rPr>
      </w:pPr>
      <w:r>
        <w:rPr>
          <w:rFonts w:ascii="Times New Roman" w:cs="Times New Roman" w:eastAsia="Times New Roman" w:hAnsi="Times New Roman"/>
          <w:sz w:val="18"/>
          <w:szCs w:val="18"/>
          <w:color w:val="auto"/>
        </w:rPr>
        <w:t>and then gaining control of our board of directors by filling the resulting vacancies with its own nominees. This makes it more difficult to change the composition of our board of directors but promotes continuity of management.</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Classified board of directors and removal of directors</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also provides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 of the stockholders</w:t>
      </w:r>
    </w:p>
    <w:p>
      <w:pPr>
        <w:spacing w:after="0" w:line="14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further provide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pacing w:after="0" w:line="16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amended and restated bylaws may be altered, amended, or repealed by (i) our board of directors (without the need for consent by our stockholders) and (ii) our stockholders (without the need for consent by our board of directors).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4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the fullest extent permitted by law, provides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w:t>
      </w:r>
    </w:p>
    <w:p>
      <w:pPr>
        <w:spacing w:after="0" w:line="3" w:lineRule="exact"/>
        <w:rPr>
          <w:sz w:val="20"/>
          <w:szCs w:val="20"/>
          <w:color w:val="auto"/>
        </w:rPr>
      </w:pPr>
    </w:p>
    <w:p>
      <w:pPr>
        <w:ind w:left="1260" w:right="599"/>
        <w:spacing w:after="0" w:line="243" w:lineRule="auto"/>
        <w:tabs>
          <w:tab w:leader="none" w:pos="152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arising out of or relating to any provision of the DGCL or our amended and restated</w:t>
      </w: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4" w:lineRule="auto"/>
        <w:rPr>
          <w:sz w:val="20"/>
          <w:szCs w:val="20"/>
          <w:color w:val="auto"/>
        </w:rPr>
      </w:pPr>
      <w:r>
        <w:rPr>
          <w:rFonts w:ascii="Times New Roman" w:cs="Times New Roman" w:eastAsia="Times New Roman" w:hAnsi="Times New Roman"/>
          <w:sz w:val="18"/>
          <w:szCs w:val="18"/>
          <w:color w:val="auto"/>
        </w:rPr>
        <w:t>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certificate of incorporation provides that the federal district courts of the U.S. will, to the fullest extent permitted by law, be the sole and exclusive forum for resolving any complaint asserting a cause of action arising under the Securities Act. Our amended and restated certificate of incorporation provides that neither the exclusive forum provision nor our federal forum provision applies to suits brought to enforce any duty or liability created by the Exchange Act.</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2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 —  Risks Related to this Offering and Our Class A Common Stock — 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32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32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Our amended and restated bylaws provide that we must generally indemnify, and advance expenses to, our directors and officers appointed by our board of directors to the fullest extent authorized by the DGCL. We are also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11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1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employees, or agents for which indemnification is sought.</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10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8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Amended and Restated Certificate of Incorporation Relating to Related Person Transactions and Corporate Opportunities</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32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73" w:lineRule="exact"/>
        <w:rPr>
          <w:sz w:val="20"/>
          <w:szCs w:val="20"/>
          <w:color w:val="auto"/>
        </w:rPr>
      </w:pPr>
    </w:p>
    <w:p>
      <w:pPr>
        <w:ind w:left="1800" w:right="45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fully satisfied and fulfilled any duties to us and our stockholders with respect to such contract, agreement, arrangement, or transaction;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liable to us or our stockholders for any breach of fiduciary duty by reason of the entering into, performance or consummation of any such contract, agreement, arrangement, or transaction;</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acted in good faith and in a manner it reasonably believed to be in and not opposed to the best interests of our company;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not to have breached any duties of loyalty to us or our stockholders and not to have received an improper personal gain from such contract, agreement, arrangement, or transaction.</w:t>
      </w:r>
    </w:p>
    <w:p>
      <w:pPr>
        <w:spacing w:after="0" w:line="9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until the later of (i) the first date on which Intel ceases to beneficially own 20% or more of the outstanding shares of our common stock 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renounce any interest or expectancy in any such activities and will not be deemed to have an interest or expectancy in any such activities merely because we 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1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until the later of (i) the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89" w:lineRule="exact"/>
        <w:rPr>
          <w:sz w:val="20"/>
          <w:szCs w:val="20"/>
          <w:color w:val="auto"/>
        </w:rPr>
      </w:pPr>
    </w:p>
    <w:p>
      <w:pPr>
        <w:jc w:val="both"/>
        <w:ind w:left="1800" w:right="739" w:hanging="180"/>
        <w:spacing w:after="0" w:line="261"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Class A common stock has been approved for listing on Nasdaq under the symbol “MBLY”.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w:t>
      </w:r>
    </w:p>
    <w:p>
      <w:pPr>
        <w:spacing w:after="0" w:line="27" w:lineRule="exact"/>
        <w:rPr>
          <w:sz w:val="20"/>
          <w:szCs w:val="20"/>
          <w:color w:val="auto"/>
        </w:rPr>
      </w:pPr>
    </w:p>
    <w:p>
      <w:pPr>
        <w:ind w:left="1260" w:right="819"/>
        <w:spacing w:after="0" w:line="260" w:lineRule="auto"/>
        <w:rPr>
          <w:sz w:val="20"/>
          <w:szCs w:val="20"/>
          <w:color w:val="auto"/>
        </w:rPr>
      </w:pPr>
      <w:r>
        <w:rPr>
          <w:rFonts w:ascii="Times New Roman" w:cs="Times New Roman" w:eastAsia="Times New Roman" w:hAnsi="Times New Roman"/>
          <w:sz w:val="18"/>
          <w:szCs w:val="18"/>
          <w:color w:val="auto"/>
        </w:rPr>
        <w:t>be Computershare Trust Company, N.A. The transfer agent and registrar’s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Prior to this offering and the concurrent private placement,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All of the 41,000,000 shares of our Class A common stock sold in this offering (47,150,000 shares if the underwriters exercise their option to purchase additional shares of our Class A common stock in full) will be freely tradable without restriction or further registration under the Securities Act unless such shares are purchased by “affiliates” as that term is defined in Rule 144. Upon the completion of this offering and the concurrent private placement, all of our outstanding Class B common stock will be beneficially owned by Intel. The 4,761,905 shares to be sold in the concurrent private placement, based on the initial public offering price of $21.00 per share,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32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Cornerstone Investors have, severally and not jointly, indicated an interest in purchasing up to an aggregate of $330 million of the shares of our Class A common stock offered in this offering at the initial public offering price and on the same terms and conditions as the other purchasers in this offering. The underwriters will receive the same underwriting discount on any shares of our Class A common stock purchased by the Cornerstone Investors as they will from any other shares of Class A common stock sold to the public in this offering, and any such shares would not be subject to a lock-up. In addition, Professor Shashua, our Chief Executive Officer, President, and a member of our board of directors, has indicated an interest in purchasing up to $10 million of the shares of our Class A common stock offered in this offering at the initial public offering price, and any such shares would be subject to a lock-up agreement with the underwriters. See “Underwriting” for a description of the lock-up agreements applicable to our shares.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“Underwriting” for a description of the lock-up agreements applicable to our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of the Securities Act, persons who became the beneficial owner of shares of our common stock prior to the completion of this offering may not sell their shares until the earlier of</w:t>
      </w:r>
    </w:p>
    <w:p>
      <w:pPr>
        <w:ind w:left="1260" w:right="459"/>
        <w:spacing w:after="0" w:line="246" w:lineRule="auto"/>
        <w:tabs>
          <w:tab w:leader="none" w:pos="152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13"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73" w:lineRule="exact"/>
        <w:rPr>
          <w:sz w:val="20"/>
          <w:szCs w:val="20"/>
          <w:color w:val="auto"/>
        </w:rPr>
      </w:pPr>
    </w:p>
    <w:p>
      <w:pPr>
        <w:ind w:left="1800" w:right="439" w:hanging="180"/>
        <w:spacing w:after="0" w:line="261"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our Class A common stock then outstanding, which will equal approximately 457,619 shares immediately after this offering and the concurrent private placement, based on the initial public offering price of $21.00 per share and assuming no exercise of the underwriters’ option to purchase additional shares; or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Nasdaq during the four calendar weeks preceding the filing of a notice on Form 144 with respect to the sale.</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addition, sales under Rule 144 by affiliates or persons who have been affiliates within the previous 90 days are also subject to manner of sale provisions and notice requirements. Upon completion of the lock-up period, and without giving effect to any purchase of shares of Class A common stock by Professor Shashua pursuant to his indication of interest or by any of our directors pursuant to our directed share program described under “Underwriting — Directed Share Program,” approximately 754,761,905 shares of our outstanding restricted securities will be eligible for sale under Rule 144 subject to limitations on sales by affiliates.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40,095,595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have entered into an agreement that provides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32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Class A common stock that is not any of the following:</w:t>
      </w:r>
    </w:p>
    <w:p>
      <w:pPr>
        <w:spacing w:after="0" w:line="40" w:lineRule="exact"/>
        <w:rPr>
          <w:sz w:val="20"/>
          <w:szCs w:val="20"/>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9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6" w:lineRule="exact"/>
        <w:rPr>
          <w:sz w:val="20"/>
          <w:szCs w:val="20"/>
          <w:color w:val="auto"/>
        </w:rPr>
      </w:pPr>
    </w:p>
    <w:p>
      <w:pPr>
        <w:ind w:left="1260" w:right="5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recognized upon the sale or other disposition of our Class A common stock unless:</w:t>
      </w:r>
    </w:p>
    <w:p>
      <w:pPr>
        <w:spacing w:after="0" w:line="40" w:lineRule="exact"/>
        <w:rPr>
          <w:sz w:val="20"/>
          <w:szCs w:val="20"/>
          <w:color w:val="auto"/>
        </w:rPr>
      </w:pPr>
    </w:p>
    <w:p>
      <w:pPr>
        <w:ind w:left="1800" w:right="51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satisfied; or</w:t>
      </w:r>
    </w:p>
    <w:p>
      <w:pPr>
        <w:spacing w:after="0" w:line="4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and the underwriters named below entered into an underwriting agreement on the date of this prospectus with respect to the shares being offered. Subject to certain conditions, each underwriter agreed to purchase the number of shares of our Class A common stock indicated in the following table. Goldman Sachs &amp; Co. LLC and Morgan Stanley &amp; Co. LLC are acting as the representatives of the underwriters.</w:t>
      </w:r>
    </w:p>
    <w:p>
      <w:pPr>
        <w:sectPr>
          <w:pgSz w:w="11900" w:h="16838" w:orient="portrait"/>
          <w:cols w:equalWidth="0" w:num="1">
            <w:col w:w="9879"/>
          </w:cols>
          <w:pgMar w:left="580" w:top="97" w:right="1440" w:bottom="1440" w:gutter="0" w:footer="0" w:header="0"/>
        </w:sectPr>
      </w:pPr>
    </w:p>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Nomura Securities International, Inc.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WR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PJT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Blaylock Van, LLC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Independence Point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Guzman &amp; Company</w:t>
      </w:r>
    </w:p>
    <w:p>
      <w:pPr>
        <w:spacing w:after="0" w:line="10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 ​​</w:t>
      </w:r>
      <w:r>
        <w:rPr>
          <w:sz w:val="20"/>
          <w:szCs w:val="20"/>
          <w:color w:val="auto"/>
        </w:rPr>
        <w:tab/>
      </w: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11,860,000​</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11,860,000​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3,120,000​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3,120,000​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3,120,000​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1,680,000​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1,680,000​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1,680,000​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285,001​</w:t>
            </w:r>
          </w:p>
        </w:tc>
      </w:tr>
      <w:tr>
        <w:trPr>
          <w:trHeight w:val="261"/>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14,999​</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56"/>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9"/>
                <w:szCs w:val="29"/>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4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​41,000,000</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35"/>
          <w:szCs w:val="35"/>
          <w:color w:val="auto"/>
          <w:vertAlign w:val="subscript"/>
        </w:rPr>
        <w:t>​</w:t>
      </w:r>
    </w:p>
    <w:p>
      <w:pPr>
        <w:spacing w:after="0" w:line="198" w:lineRule="exact"/>
        <w:rPr>
          <w:sz w:val="20"/>
          <w:szCs w:val="20"/>
          <w:color w:val="auto"/>
        </w:rPr>
      </w:pPr>
    </w:p>
    <w:p>
      <w:pPr>
        <w:sectPr>
          <w:pgSz w:w="11900" w:h="16838" w:orient="portrait"/>
          <w:cols w:equalWidth="0" w:num="2">
            <w:col w:w="7360" w:space="720"/>
            <w:col w:w="1799"/>
          </w:cols>
          <w:pgMar w:left="580" w:top="97" w:right="1440" w:bottom="1440" w:gutter="0" w:footer="0" w:header="0"/>
          <w:type w:val="continuous"/>
        </w:sect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underwriters have committed to take and pay for all of the shares being offered, if any are taken, other than the shares covered by the option described below unless and until this option is exercised.</w:t>
      </w:r>
    </w:p>
    <w:p>
      <w:pPr>
        <w:spacing w:after="0" w:line="81"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underwriters have an option to purchase up to an additional 6,150,000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6,150,000 additional shares.</w:t>
      </w:r>
    </w:p>
    <w:tbl>
      <w:tblPr>
        <w:tblLayout w:type="fixed"/>
        <w:tblInd w:w="1620" w:type="dxa"/>
        <w:tblCellMar>
          <w:top w:w="0" w:type="dxa"/>
          <w:left w:w="0" w:type="dxa"/>
          <w:bottom w:w="0" w:type="dxa"/>
          <w:right w:w="0" w:type="dxa"/>
        </w:tblCellMar>
      </w:tblPr>
      <w:tr>
        <w:trPr>
          <w:trHeight w:val="365"/>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No Exercise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Full Exercise </w:t>
            </w:r>
            <w:r>
              <w:rPr>
                <w:rFonts w:ascii="Times New Roman" w:cs="Times New Roman" w:eastAsia="Times New Roman" w:hAnsi="Times New Roman"/>
                <w:sz w:val="28"/>
                <w:szCs w:val="28"/>
                <w:b w:val="1"/>
                <w:bCs w:val="1"/>
                <w:color w:val="auto"/>
                <w:vertAlign w:val="subscript"/>
              </w:rPr>
              <w:t>​</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32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340" w:type="dxa"/>
            <w:vAlign w:val="bottom"/>
            <w:gridSpan w:val="3"/>
            <w:shd w:val="clear" w:color="auto" w:fill="CCEEFF"/>
          </w:tcPr>
          <w:p>
            <w:pPr>
              <w:ind w:left="400"/>
              <w:spacing w:after="0" w:line="264" w:lineRule="exact"/>
              <w:rPr>
                <w:sz w:val="20"/>
                <w:szCs w:val="20"/>
                <w:color w:val="auto"/>
              </w:rPr>
            </w:pPr>
            <w:r>
              <w:rPr>
                <w:rFonts w:ascii="Times New Roman" w:cs="Times New Roman" w:eastAsia="Times New Roman" w:hAnsi="Times New Roman"/>
                <w:sz w:val="16"/>
                <w:szCs w:val="16"/>
                <w:color w:val="auto"/>
              </w:rPr>
              <w:t>0.861</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35,301,000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40,596,150</w:t>
            </w:r>
            <w:r>
              <w:rPr>
                <w:rFonts w:ascii="Times New Roman" w:cs="Times New Roman" w:eastAsia="Times New Roman" w:hAnsi="Times New Roman"/>
                <w:sz w:val="28"/>
                <w:szCs w:val="28"/>
                <w:color w:val="auto"/>
                <w:vertAlign w:val="subscript"/>
              </w:rPr>
              <w:t>​</w:t>
            </w: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1662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underwriters will not receive any underwriting compensation in connection with the concurrent private placement.</w:t>
      </w:r>
    </w:p>
    <w:p>
      <w:pPr>
        <w:spacing w:after="0" w:line="81"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$0.5166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all of our directors, executive officers, the purchaser of the shares sold in the concurrent private placement, and holders of our common stock and securities exercisable for or convertible into shares of our common stock outstanding immediately prior to the completion of this offering have agreed with the underwriters that, through and including the 180th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 activity described in clauses (1), (2) or (3) above. See “Shares Eligible for Future Sale” for a discussion of certain transfer restrictions.</w:t>
      </w:r>
    </w:p>
    <w:p>
      <w:pPr>
        <w:spacing w:after="0" w:line="32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additional limitations, including those relating to public filings required to be or voluntarily made in connection with a transfer, the restrictions contained in the lock-up agreements do not apply to:</w:t>
      </w:r>
    </w:p>
    <w:p>
      <w:pPr>
        <w:spacing w:after="0" w:line="102" w:lineRule="exact"/>
        <w:rPr>
          <w:sz w:val="20"/>
          <w:szCs w:val="20"/>
          <w:color w:val="auto"/>
        </w:rPr>
      </w:pPr>
    </w:p>
    <w:p>
      <w:pPr>
        <w:ind w:left="2080" w:right="1059" w:hanging="460"/>
        <w:spacing w:after="0" w:line="282"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one or more bona fide gifts or charitable contributions, or for bona fide estate planning purposes;</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testamentary document or intestate succession;</w:t>
      </w:r>
    </w:p>
    <w:p>
      <w:pPr>
        <w:spacing w:after="0" w:line="144" w:lineRule="exact"/>
        <w:rPr>
          <w:rFonts w:ascii="Times New Roman" w:cs="Times New Roman" w:eastAsia="Times New Roman" w:hAnsi="Times New Roman"/>
          <w:sz w:val="18"/>
          <w:szCs w:val="18"/>
          <w:color w:val="auto"/>
        </w:rPr>
      </w:pPr>
    </w:p>
    <w:p>
      <w:pPr>
        <w:ind w:left="2080" w:right="45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members of immediate family or to any trust for the direct or indirect benefit of the holder or an immediate family member or, by a holder that is a trust, to a trustor or beneficiary of the trust or the estate of a beneficiary of such trust;</w:t>
      </w:r>
    </w:p>
    <w:p>
      <w:pPr>
        <w:spacing w:after="0" w:line="108" w:lineRule="exact"/>
        <w:rPr>
          <w:rFonts w:ascii="Times New Roman" w:cs="Times New Roman" w:eastAsia="Times New Roman" w:hAnsi="Times New Roman"/>
          <w:sz w:val="18"/>
          <w:szCs w:val="18"/>
          <w:color w:val="auto"/>
        </w:rPr>
      </w:pPr>
    </w:p>
    <w:p>
      <w:pPr>
        <w:ind w:left="2080" w:right="47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94" w:lineRule="exact"/>
        <w:rPr>
          <w:rFonts w:ascii="Times New Roman" w:cs="Times New Roman" w:eastAsia="Times New Roman" w:hAnsi="Times New Roman"/>
          <w:sz w:val="18"/>
          <w:szCs w:val="18"/>
          <w:color w:val="auto"/>
        </w:rPr>
      </w:pPr>
    </w:p>
    <w:p>
      <w:pPr>
        <w:ind w:left="2080" w:right="519" w:hanging="460"/>
        <w:spacing w:after="0" w:line="282"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(i) through (iv) above;</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corporation, partnership, limited liability company or other business entity, to</w:t>
      </w:r>
    </w:p>
    <w:p>
      <w:pPr>
        <w:spacing w:after="0" w:line="27" w:lineRule="exact"/>
        <w:rPr>
          <w:rFonts w:ascii="Times New Roman" w:cs="Times New Roman" w:eastAsia="Times New Roman" w:hAnsi="Times New Roman"/>
          <w:sz w:val="18"/>
          <w:szCs w:val="18"/>
          <w:color w:val="auto"/>
        </w:rPr>
      </w:pPr>
    </w:p>
    <w:p>
      <w:pPr>
        <w:ind w:left="2080" w:right="519" w:hanging="10"/>
        <w:spacing w:after="0" w:line="253" w:lineRule="auto"/>
        <w:tabs>
          <w:tab w:leader="none" w:pos="238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affiliated entities,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80" w:right="559" w:hanging="460"/>
        <w:spacing w:after="0" w:line="282"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divorce settlement, divorce decree or separation agreement;</w:t>
      </w:r>
    </w:p>
    <w:p>
      <w:pPr>
        <w:spacing w:after="0" w:line="80" w:lineRule="exact"/>
        <w:rPr>
          <w:rFonts w:ascii="Times New Roman" w:cs="Times New Roman" w:eastAsia="Times New Roman" w:hAnsi="Times New Roman"/>
          <w:sz w:val="18"/>
          <w:szCs w:val="18"/>
          <w:color w:val="auto"/>
        </w:rPr>
      </w:pPr>
    </w:p>
    <w:p>
      <w:pPr>
        <w:ind w:left="2080" w:right="1219" w:hanging="460"/>
        <w:spacing w:after="0" w:line="282"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from one of our employees or service providers upon death, disability or termination of employment, in each case, of such employee or service provider;</w:t>
      </w:r>
    </w:p>
    <w:p>
      <w:pPr>
        <w:spacing w:after="0" w:line="67" w:lineRule="exact"/>
        <w:rPr>
          <w:rFonts w:ascii="Times New Roman" w:cs="Times New Roman" w:eastAsia="Times New Roman" w:hAnsi="Times New Roman"/>
          <w:sz w:val="18"/>
          <w:szCs w:val="18"/>
          <w:color w:val="auto"/>
        </w:rPr>
      </w:pPr>
    </w:p>
    <w:p>
      <w:pPr>
        <w:ind w:left="2080" w:right="679" w:hanging="460"/>
        <w:spacing w:after="0" w:line="266"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acquired (A) from the underwriters in this offering (except, in the case of officers or directors for any issuer-directed shares) or (B) in open market transactions after the closing of this offering;</w:t>
      </w:r>
    </w:p>
    <w:p>
      <w:pPr>
        <w:spacing w:after="0" w:line="81" w:lineRule="exact"/>
        <w:rPr>
          <w:rFonts w:ascii="Times New Roman" w:cs="Times New Roman" w:eastAsia="Times New Roman" w:hAnsi="Times New Roman"/>
          <w:sz w:val="18"/>
          <w:szCs w:val="18"/>
          <w:color w:val="auto"/>
        </w:rPr>
      </w:pPr>
    </w:p>
    <w:p>
      <w:pPr>
        <w:ind w:left="2080" w:right="439" w:hanging="460"/>
        <w:spacing w:after="0" w:line="254"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described in this prospectus, provided that any securities received upon such vesting, settlement, exercise or conversion shall be subject to the restrictions hereof;</w:t>
      </w:r>
    </w:p>
    <w:p>
      <w:pPr>
        <w:spacing w:after="0" w:line="110" w:lineRule="exact"/>
        <w:rPr>
          <w:rFonts w:ascii="Times New Roman" w:cs="Times New Roman" w:eastAsia="Times New Roman" w:hAnsi="Times New Roman"/>
          <w:sz w:val="18"/>
          <w:szCs w:val="18"/>
          <w:color w:val="auto"/>
        </w:rPr>
      </w:pPr>
    </w:p>
    <w:p>
      <w:pPr>
        <w:jc w:val="both"/>
        <w:ind w:left="2080" w:right="479" w:hanging="460"/>
        <w:spacing w:after="0" w:line="266"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 or</w:t>
      </w:r>
    </w:p>
    <w:p>
      <w:pPr>
        <w:spacing w:after="0" w:line="81" w:lineRule="exact"/>
        <w:rPr>
          <w:rFonts w:ascii="Times New Roman" w:cs="Times New Roman" w:eastAsia="Times New Roman" w:hAnsi="Times New Roman"/>
          <w:sz w:val="18"/>
          <w:szCs w:val="18"/>
          <w:color w:val="auto"/>
        </w:rPr>
      </w:pPr>
    </w:p>
    <w:p>
      <w:pPr>
        <w:ind w:left="2080" w:right="599" w:hanging="460"/>
        <w:spacing w:after="0" w:line="266"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on us set forth above are subject to certain exceptions, including with respect to:</w:t>
      </w:r>
    </w:p>
    <w:p>
      <w:pPr>
        <w:spacing w:after="0" w:line="131" w:lineRule="exact"/>
        <w:rPr>
          <w:sz w:val="20"/>
          <w:szCs w:val="20"/>
          <w:color w:val="auto"/>
        </w:rPr>
      </w:pPr>
    </w:p>
    <w:p>
      <w:pPr>
        <w:ind w:left="2080" w:right="579" w:hanging="460"/>
        <w:spacing w:after="0" w:line="282"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of Class A common stock to the underwriters pursuant to the underwriting agreement;</w:t>
      </w:r>
    </w:p>
    <w:p>
      <w:pPr>
        <w:spacing w:after="0" w:line="67" w:lineRule="exact"/>
        <w:rPr>
          <w:rFonts w:ascii="Times New Roman" w:cs="Times New Roman" w:eastAsia="Times New Roman" w:hAnsi="Times New Roman"/>
          <w:sz w:val="18"/>
          <w:szCs w:val="18"/>
          <w:color w:val="auto"/>
        </w:rPr>
      </w:pPr>
    </w:p>
    <w:p>
      <w:pPr>
        <w:ind w:left="2080" w:right="459" w:hanging="460"/>
        <w:spacing w:after="0" w:line="259"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321" w:lineRule="exact"/>
        <w:rPr>
          <w:rFonts w:ascii="Times New Roman" w:cs="Times New Roman" w:eastAsia="Times New Roman" w:hAnsi="Times New Roman"/>
          <w:sz w:val="18"/>
          <w:szCs w:val="18"/>
          <w:color w:val="auto"/>
        </w:rPr>
      </w:pPr>
    </w:p>
    <w:p>
      <w:pPr>
        <w:ind w:left="2080" w:right="459" w:hanging="460"/>
        <w:spacing w:after="0" w:line="254"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3" w:lineRule="exact"/>
        <w:rPr>
          <w:rFonts w:ascii="Times New Roman" w:cs="Times New Roman" w:eastAsia="Times New Roman" w:hAnsi="Times New Roman"/>
          <w:sz w:val="18"/>
          <w:szCs w:val="18"/>
          <w:color w:val="auto"/>
        </w:rPr>
      </w:pPr>
    </w:p>
    <w:p>
      <w:pPr>
        <w:ind w:left="2080" w:right="559" w:hanging="10"/>
        <w:spacing w:after="0" w:line="253" w:lineRule="auto"/>
        <w:tabs>
          <w:tab w:leader="none" w:pos="237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94" w:lineRule="exact"/>
        <w:rPr>
          <w:rFonts w:ascii="Times New Roman" w:cs="Times New Roman" w:eastAsia="Times New Roman" w:hAnsi="Times New Roman"/>
          <w:sz w:val="18"/>
          <w:szCs w:val="18"/>
          <w:color w:val="auto"/>
        </w:rPr>
      </w:pPr>
    </w:p>
    <w:p>
      <w:pPr>
        <w:ind w:left="2080" w:right="479" w:hanging="460"/>
        <w:spacing w:after="0" w:line="282"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our equity incentive plans described in this prospectus.</w:t>
      </w:r>
    </w:p>
    <w:p>
      <w:pPr>
        <w:spacing w:after="0" w:line="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Goldman Sachs &amp; Co. LLC and Morgan Stanley &amp; Co. LLC may, in their discretion, release any of the securities subject to these lockup agreements at any time, subject to applicable notice requirements.</w:t>
      </w:r>
    </w:p>
    <w:p>
      <w:pPr>
        <w:spacing w:after="0" w:line="95"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was negotiated among us and the representatives. Among the factors considered in determining the initial public offering price of our Class A common stock,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class A common stock has been approved for listing on Nasdaq under the symbol “MBLY”.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this offering, the underwriters may purchase and sell shares of our Class A common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the open market. The underwriters may also offer and sell the shares of Class A common stock</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through one or more of their respective affiliates or other registered broker-dealers or selling agents. These</w:t>
      </w:r>
    </w:p>
    <w:p>
      <w:pPr>
        <w:ind w:left="1260"/>
        <w:spacing w:after="0" w:line="234" w:lineRule="auto"/>
        <w:rPr>
          <w:sz w:val="20"/>
          <w:szCs w:val="20"/>
          <w:color w:val="auto"/>
        </w:rPr>
      </w:pPr>
      <w:r>
        <w:rPr>
          <w:rFonts w:ascii="Times New Roman" w:cs="Times New Roman" w:eastAsia="Times New Roman" w:hAnsi="Times New Roman"/>
          <w:sz w:val="18"/>
          <w:szCs w:val="18"/>
          <w:color w:val="auto"/>
        </w:rPr>
        <w:t>transactions may include short sales, stabilizing transactions, and purchases to cover positions created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 sales. Short sales involve the sale by the underwriters of a greater number of shares than they are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required to purchase in this offering, and a short position represents the amount of such sales that have not</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been covered by subsequent purchases. A “covered short position” is a short position that is not greater than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number of additional shares for which the underwriters’ option described above may be exercised.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may cover any covered short position by either exercising their option to purchase additional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shares or purchasing shares in the open market. In determining the source of shares to cover the covered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 position, the underwriters will consider, among other things, the price of shares available for purchase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open market as compared to the price at which they may purchase additional shares pursuant to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option described above. “Naked” short sales are any short sales that create a short position greater than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additional shares for which the option described above may be exercised. The underwriters must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cover any such naked short position by purchasing shares in the open market. A naked short position is</w:t>
      </w:r>
    </w:p>
    <w:p>
      <w:pPr>
        <w:ind w:left="1260"/>
        <w:spacing w:after="0" w:line="234" w:lineRule="auto"/>
        <w:rPr>
          <w:sz w:val="20"/>
          <w:szCs w:val="20"/>
          <w:color w:val="auto"/>
        </w:rPr>
      </w:pPr>
      <w:r>
        <w:rPr>
          <w:rFonts w:ascii="Times New Roman" w:cs="Times New Roman" w:eastAsia="Times New Roman" w:hAnsi="Times New Roman"/>
          <w:sz w:val="18"/>
          <w:szCs w:val="18"/>
          <w:color w:val="auto"/>
        </w:rPr>
        <w:t>more likely to be created if the underwriters are concerned that there may be downward pressure on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 of our Class A common stock in the open market after pricing that could adversely affect investors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purchase in this offering. Stabilizing transactions consist of various bids for or purchases of our</w:t>
      </w:r>
    </w:p>
    <w:p>
      <w:pPr>
        <w:ind w:left="1260"/>
        <w:spacing w:after="0"/>
        <w:rPr>
          <w:sz w:val="20"/>
          <w:szCs w:val="20"/>
          <w:color w:val="auto"/>
        </w:rPr>
      </w:pPr>
      <w:r>
        <w:rPr>
          <w:rFonts w:ascii="Times New Roman" w:cs="Times New Roman" w:eastAsia="Times New Roman" w:hAnsi="Times New Roman"/>
          <w:sz w:val="18"/>
          <w:szCs w:val="18"/>
          <w:color w:val="auto"/>
        </w:rPr>
        <w:t>Class A common stock made by the underwriters in the open market prior to the completion of this offering.</w:t>
      </w:r>
    </w:p>
    <w:p>
      <w:pPr>
        <w:spacing w:after="0" w:line="124"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23"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1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$16.6 million.</w:t>
      </w:r>
    </w:p>
    <w:p>
      <w:pPr>
        <w:spacing w:after="0" w:line="8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also agreed to reimburse the underwriters for expenses in an amount not to exceed $35,000 relating to any applicable state securities filings and to clearance of this offering with the Financial Industry Regulatory Authority. We have also agreed to indemnify the several underwriters against certain liabilities, including liabilities under the Securities Act. In addition, the underwriters have agreed to reimburse us for certain expenses in connection with this offering.</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instruments and may at any time hold, or recommend to clients that they should acquire, long and/or short positions in such assets, securities, and instruments.</w:t>
      </w:r>
    </w:p>
    <w:p>
      <w:pPr>
        <w:spacing w:after="0" w:line="81"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At our request, the underwriters have reserved up to 2,050,000 shares of Class A common stock, or 5% of the shares offered by this prospectus, for sale at the initial public offering price to our directors and to the directors, executive officers, and certain employees of Intel. Shares purchased through the directed share program will not be subject to a lock-up restriction, except in the case of shares purchased by any of our directors.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is administering our directed share program.</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Indications of Interest</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Cornerstone Investors have, severally and not jointly, indicated an interest in purchasing up to an aggregate of $330 million of the shares of our Class A common stock offered in this offering at the initial public offering price and on the same terms and conditions as the other purchasers in this offering. The underwriters will receive the same underwriting discount on any shares of our Class A common stock purchased by the Cornerstone Investors as they will from any other shares of Class A common stock sold to the public in this offering, and any such shares would not be subject to a lock-up. In addition, Professor Shashua, our Chief Executive Officer, President, and a member of our board of directors, has indicated an interest in purchasing up to $10 million of the shares of our Class A common stock offered in this offering at the initial public offering price, and any such shares would be subject to a lock-up agreement with the underwriters as described above in this section.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62"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14" w:lineRule="exact"/>
        <w:rPr>
          <w:sz w:val="20"/>
          <w:szCs w:val="20"/>
          <w:color w:val="auto"/>
        </w:rPr>
      </w:pPr>
    </w:p>
    <w:p>
      <w:pPr>
        <w:ind w:left="2340" w:hanging="360"/>
        <w:spacing w:after="0"/>
        <w:tabs>
          <w:tab w:leader="none" w:pos="2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44"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879"/>
        <w:spacing w:after="0" w:line="250" w:lineRule="auto"/>
        <w:rPr>
          <w:sz w:val="20"/>
          <w:szCs w:val="20"/>
          <w:color w:val="auto"/>
        </w:rPr>
      </w:pPr>
      <w:r>
        <w:rPr>
          <w:rFonts w:ascii="Times New Roman" w:cs="Times New Roman" w:eastAsia="Times New Roman" w:hAnsi="Times New Roman"/>
          <w:sz w:val="18"/>
          <w:szCs w:val="18"/>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21"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acknowledgments, and agreements.</w:t>
      </w:r>
    </w:p>
    <w:p>
      <w:pPr>
        <w:spacing w:after="0" w:line="8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2" w:lineRule="exact"/>
        <w:rPr>
          <w:sz w:val="20"/>
          <w:szCs w:val="20"/>
          <w:color w:val="auto"/>
        </w:rPr>
      </w:pPr>
    </w:p>
    <w:p>
      <w:pPr>
        <w:ind w:left="1620" w:right="1179" w:firstLine="360"/>
        <w:spacing w:after="0" w:line="282"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8" w:lineRule="exact"/>
        <w:rPr>
          <w:rFonts w:ascii="Times New Roman" w:cs="Times New Roman" w:eastAsia="Times New Roman" w:hAnsi="Times New Roman"/>
          <w:sz w:val="18"/>
          <w:szCs w:val="18"/>
          <w:color w:val="auto"/>
        </w:rPr>
      </w:pPr>
    </w:p>
    <w:p>
      <w:pPr>
        <w:ind w:left="1620" w:right="699" w:firstLine="360"/>
        <w:spacing w:after="0" w:line="282"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48"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3" w:lineRule="exact"/>
        <w:rPr>
          <w:sz w:val="20"/>
          <w:szCs w:val="20"/>
          <w:color w:val="auto"/>
        </w:rPr>
      </w:pPr>
    </w:p>
    <w:p>
      <w:pPr>
        <w:ind w:left="1260" w:right="479"/>
        <w:spacing w:after="0" w:line="252" w:lineRule="auto"/>
        <w:tabs>
          <w:tab w:leader="none" w:pos="15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who are investors listed in the Addendum). Qualified investors are required to submit written confirmation that they fall within the scope of the Addendum, are aware of the meaning of same and agree to it.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1"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32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7" w:lineRule="auto"/>
        <w:rPr>
          <w:sz w:val="20"/>
          <w:szCs w:val="20"/>
          <w:color w:val="auto"/>
        </w:rPr>
      </w:pPr>
      <w:r>
        <w:rPr>
          <w:rFonts w:ascii="Times New Roman" w:cs="Times New Roman" w:eastAsia="Times New Roman" w:hAnsi="Times New Roman"/>
          <w:sz w:val="18"/>
          <w:szCs w:val="18"/>
          <w:color w:val="auto"/>
        </w:rPr>
        <w:t>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1" w:lineRule="exact"/>
        <w:rPr>
          <w:sz w:val="20"/>
          <w:szCs w:val="20"/>
          <w:color w:val="auto"/>
        </w:rPr>
      </w:pPr>
    </w:p>
    <w:p>
      <w:pPr>
        <w:ind w:left="1520" w:hanging="260"/>
        <w:spacing w:after="0"/>
        <w:tabs>
          <w:tab w:leader="none" w:pos="1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w:t>
      </w:r>
    </w:p>
    <w:p>
      <w:pPr>
        <w:spacing w:after="0" w:line="9" w:lineRule="exact"/>
        <w:rPr>
          <w:rFonts w:ascii="Times New Roman" w:cs="Times New Roman" w:eastAsia="Times New Roman" w:hAnsi="Times New Roman"/>
          <w:sz w:val="18"/>
          <w:szCs w:val="18"/>
          <w:color w:val="auto"/>
        </w:rPr>
      </w:pPr>
    </w:p>
    <w:p>
      <w:pPr>
        <w:ind w:left="1260" w:right="499"/>
        <w:spacing w:after="0" w:line="260" w:lineRule="auto"/>
        <w:tabs>
          <w:tab w:leader="none" w:pos="15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 (6) as specified in Regulation 32 of the Securities and Futures (Offers of Investments) (Shares and Debentures) Regulations 2005 of Singapore (“Regulation 32”).</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3" w:lineRule="exact"/>
        <w:rPr>
          <w:sz w:val="20"/>
          <w:szCs w:val="20"/>
          <w:color w:val="auto"/>
        </w:rPr>
      </w:pPr>
    </w:p>
    <w:p>
      <w:pPr>
        <w:ind w:left="1260" w:right="459"/>
        <w:spacing w:after="0" w:line="252" w:lineRule="auto"/>
        <w:tabs>
          <w:tab w:leader="none" w:pos="15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Schemes (“CISA”). The investor protection afforded to acquirers of interests in collective investment schemes under the CISA does not extend to acquirers of our Class A common stock.</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25"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Any offer in Australia of our Class A common stock may only be made to persons, or “Exempt Investors”, who are “sophisticated investors” ​(within the meaning of section 708(8) of the Corporations</w:t>
      </w: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1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VALIDITY OF COMMON STOCK</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309" w:lineRule="exact"/>
        <w:rPr>
          <w:sz w:val="20"/>
          <w:szCs w:val="20"/>
          <w:color w:val="auto"/>
        </w:rPr>
      </w:pPr>
    </w:p>
    <w:p>
      <w:pPr>
        <w:ind w:left="1800" w:right="419" w:hanging="180"/>
        <w:spacing w:after="0" w:line="255"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8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2020 through December 2021, a PwC member firm provided services pursuant to a contingent fee arrangement.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 a result of this offering, we are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31" w:lineRule="exact"/>
        <w:rPr>
          <w:sz w:val="20"/>
          <w:szCs w:val="20"/>
          <w:color w:val="auto"/>
        </w:rPr>
      </w:pPr>
    </w:p>
    <w:p>
      <w:pPr>
        <w:jc w:val="both"/>
        <w:ind w:left="1260"/>
        <w:spacing w:after="0"/>
        <w:tabs>
          <w:tab w:leader="none" w:pos="886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Balance Sheets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Changes in Equity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Combined Financial Statements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Combined Balance Sheets</w:t>
      </w:r>
    </w:p>
    <w:p>
      <w:pPr>
        <w:spacing w:after="0" w:line="63"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u w:val="single" w:color="auto"/>
          <w:color w:val="0000EE"/>
        </w:rPr>
        <w:t>Unaudited Condensed Combined Statements of Operations and Comprehensive Income (Loss) Unaudited Condensed 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right="2320"/>
        <w:spacing w:after="0" w:line="344" w:lineRule="auto"/>
        <w:rPr>
          <w:sz w:val="20"/>
          <w:szCs w:val="20"/>
          <w:color w:val="auto"/>
        </w:rPr>
      </w:pPr>
      <w:r>
        <w:rPr>
          <w:rFonts w:ascii="Times New Roman" w:cs="Times New Roman" w:eastAsia="Times New Roman" w:hAnsi="Times New Roman"/>
          <w:sz w:val="18"/>
          <w:szCs w:val="18"/>
          <w:u w:val="single" w:color="auto"/>
          <w:color w:val="0000EE"/>
        </w:rPr>
        <w:t>Unaudited Condensed Combined Statements of Cash Flows 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F-9</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40"/>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F-38</w:t>
      </w:r>
      <w:r>
        <w:rPr>
          <w:rFonts w:ascii="Times New Roman" w:cs="Times New Roman" w:eastAsia="Times New Roman" w:hAnsi="Times New Roman"/>
          <w:sz w:val="18"/>
          <w:szCs w:val="18"/>
          <w:color w:val="auto"/>
        </w:rPr>
        <w:t>​</w:t>
      </w:r>
    </w:p>
    <w:p>
      <w:pPr>
        <w:spacing w:after="0" w:line="316" w:lineRule="exact"/>
        <w:rPr>
          <w:sz w:val="20"/>
          <w:szCs w:val="20"/>
          <w:color w:val="auto"/>
        </w:rPr>
      </w:pPr>
    </w:p>
    <w:p>
      <w:pPr>
        <w:sectPr>
          <w:pgSz w:w="11900" w:h="16838" w:orient="portrait"/>
          <w:cols w:equalWidth="0" w:num="2">
            <w:col w:w="8380" w:space="500"/>
            <w:col w:w="9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of Intel and the Shareholder of Mobileye Group</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5"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02"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Attribution of Intangible Assets to the Combined Financial Statements</w:t>
      </w:r>
    </w:p>
    <w:p>
      <w:pPr>
        <w:spacing w:after="0" w:line="160"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1"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among others</w:t>
      </w:r>
    </w:p>
    <w:p>
      <w:pPr>
        <w:ind w:left="1480" w:hanging="220"/>
        <w:spacing w:after="0"/>
        <w:tabs>
          <w:tab w:leader="none" w:pos="1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estimating the fair value of intangible assets and their useful lives;</w:t>
      </w:r>
    </w:p>
    <w:p>
      <w:pPr>
        <w:spacing w:after="0" w:line="9" w:lineRule="exact"/>
        <w:rPr>
          <w:rFonts w:ascii="Times New Roman" w:cs="Times New Roman" w:eastAsia="Times New Roman" w:hAnsi="Times New Roman"/>
          <w:sz w:val="18"/>
          <w:szCs w:val="18"/>
          <w:color w:val="auto"/>
        </w:rPr>
      </w:pPr>
    </w:p>
    <w:p>
      <w:pPr>
        <w:ind w:left="1260" w:right="519"/>
        <w:spacing w:after="0" w:line="251" w:lineRule="auto"/>
        <w:tabs>
          <w:tab w:leader="none" w:pos="15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Tel-Aviv, Israel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1,332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1,692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-1662430</wp:posOffset>
            </wp:positionV>
            <wp:extent cx="137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acquisition consideration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3,071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3,580</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​10,895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​10,895</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16,462</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58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820" w:type="dxa"/>
            <w:vAlign w:val="bottom"/>
            <w:gridSpan w:val="2"/>
          </w:tcPr>
          <w:p>
            <w:pPr>
              <w:jc w:val="right"/>
              <w:ind w:right="50"/>
              <w:spacing w:after="0" w:line="247" w:lineRule="exact"/>
              <w:rPr>
                <w:sz w:val="20"/>
                <w:szCs w:val="20"/>
                <w:color w:val="auto"/>
              </w:rPr>
            </w:pPr>
            <w:r>
              <w:rPr>
                <w:rFonts w:ascii="Times New Roman" w:cs="Times New Roman" w:eastAsia="Times New Roman" w:hAnsi="Times New Roman"/>
                <w:sz w:val="28"/>
                <w:szCs w:val="28"/>
                <w:color w:val="auto"/>
                <w:vertAlign w:val="superscript"/>
              </w:rPr>
              <w:t>49</w:t>
            </w:r>
            <w:r>
              <w:rPr>
                <w:rFonts w:ascii="Times New Roman" w:cs="Times New Roman" w:eastAsia="Times New Roman" w:hAnsi="Times New Roman"/>
                <w:sz w:val="15"/>
                <w:szCs w:val="15"/>
                <w:color w:val="auto"/>
              </w:rPr>
              <w:t xml:space="preserve">  ​​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5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​15,884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​15,842</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​15,842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16,462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 (LOSS)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​(213)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with a related party,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​(325)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-1439545</wp:posOffset>
            </wp:positionV>
            <wp:extent cx="1289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8088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-2468245</wp:posOffset>
            </wp:positionV>
            <wp:extent cx="12890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8088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-2965450</wp:posOffset>
            </wp:positionV>
            <wp:extent cx="1371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-2965450</wp:posOffset>
            </wp:positionV>
            <wp:extent cx="137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89"/>
              </w:rPr>
              <w:t>Parent Net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4"/>
                <w:szCs w:val="14"/>
                <w:color w:val="auto"/>
              </w:rPr>
            </w:pPr>
          </w:p>
        </w:tc>
        <w:tc>
          <w:tcPr>
            <w:tcW w:w="6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24"/>
                <w:szCs w:val="24"/>
                <w:b w:val="1"/>
                <w:bCs w:val="1"/>
                <w:color w:val="auto"/>
                <w:vertAlign w:val="subscript"/>
              </w:rPr>
              <w:t>​</w:t>
            </w: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2018</w:t>
            </w:r>
          </w:p>
        </w:tc>
        <w:tc>
          <w:tcPr>
            <w:tcW w:w="4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b w:val="1"/>
                <w:bCs w:val="1"/>
                <w:color w:val="auto"/>
              </w:rPr>
              <w:t>​ ​ ​</w:t>
            </w:r>
            <w:r>
              <w:rPr>
                <w:rFonts w:ascii="Times New Roman" w:cs="Times New Roman" w:eastAsia="Times New Roman" w:hAnsi="Times New Roman"/>
                <w:sz w:val="31"/>
                <w:szCs w:val="31"/>
                <w:b w:val="1"/>
                <w:bCs w:val="1"/>
                <w:color w:val="auto"/>
                <w:vertAlign w:val="superscript"/>
              </w:rPr>
              <w:t>$</w:t>
            </w:r>
          </w:p>
        </w:tc>
        <w:tc>
          <w:tcPr>
            <w:tcW w:w="6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(507)</w:t>
            </w:r>
            <w:r>
              <w:rPr>
                <w:rFonts w:ascii="Times New Roman" w:cs="Times New Roman" w:eastAsia="Times New Roman" w:hAnsi="Times New Roman"/>
                <w:sz w:val="31"/>
                <w:szCs w:val="31"/>
                <w:b w:val="1"/>
                <w:bCs w:val="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1"/>
                <w:szCs w:val="31"/>
                <w:b w:val="1"/>
                <w:bCs w:val="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 </w:t>
            </w:r>
            <w:r>
              <w:rPr>
                <w:rFonts w:ascii="Times New Roman" w:cs="Times New Roman" w:eastAsia="Times New Roman" w:hAnsi="Times New Roman"/>
                <w:sz w:val="31"/>
                <w:szCs w:val="3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84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2019</w:t>
            </w:r>
          </w:p>
        </w:tc>
        <w:tc>
          <w:tcPr>
            <w:tcW w:w="1100" w:type="dxa"/>
            <w:vAlign w:val="bottom"/>
            <w:gridSpan w:val="5"/>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 </w:t>
            </w:r>
            <w:r>
              <w:rPr>
                <w:rFonts w:ascii="Times New Roman" w:cs="Times New Roman" w:eastAsia="Times New Roman" w:hAnsi="Times New Roman"/>
                <w:sz w:val="30"/>
                <w:szCs w:val="30"/>
                <w:color w:val="auto"/>
                <w:vertAlign w:val="subscript"/>
              </w:rPr>
              <w:t>​​ ​</w:t>
            </w:r>
          </w:p>
        </w:tc>
        <w:tc>
          <w:tcPr>
            <w:tcW w:w="90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w:t>
            </w:r>
            <w:r>
              <w:rPr>
                <w:rFonts w:ascii="Times New Roman" w:cs="Times New Roman" w:eastAsia="Times New Roman" w:hAnsi="Times New Roman"/>
                <w:sz w:val="30"/>
                <w:szCs w:val="30"/>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1,570</w:t>
            </w:r>
            <w:r>
              <w:rPr>
                <w:rFonts w:ascii="Times New Roman" w:cs="Times New Roman" w:eastAsia="Times New Roman" w:hAnsi="Times New Roman"/>
                <w:sz w:val="17"/>
                <w:szCs w:val="17"/>
                <w:color w:val="auto"/>
              </w:rPr>
              <w:t xml:space="preserve"> ​​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1,570</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10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 </w:t>
            </w:r>
            <w:r>
              <w:rPr>
                <w:rFonts w:ascii="Times New Roman" w:cs="Times New Roman" w:eastAsia="Times New Roman" w:hAnsi="Times New Roman"/>
                <w:sz w:val="30"/>
                <w:szCs w:val="30"/>
                <w:color w:val="auto"/>
                <w:vertAlign w:val="subscript"/>
              </w:rPr>
              <w:t>​​ ​</w:t>
            </w:r>
          </w:p>
        </w:tc>
        <w:tc>
          <w:tcPr>
            <w:tcW w:w="900" w:type="dxa"/>
            <w:vAlign w:val="bottom"/>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8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5</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4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117</w:t>
            </w:r>
            <w:r>
              <w:rPr>
                <w:rFonts w:ascii="Times New Roman" w:cs="Times New Roman" w:eastAsia="Times New Roman" w:hAnsi="Times New Roman"/>
                <w:sz w:val="17"/>
                <w:szCs w:val="17"/>
                <w:color w:val="auto"/>
              </w:rPr>
              <w:t xml:space="preserve"> ​​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117</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1100" w:type="dxa"/>
            <w:vAlign w:val="bottom"/>
            <w:gridSpan w:val="5"/>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15,884 </w:t>
            </w:r>
            <w:r>
              <w:rPr>
                <w:rFonts w:ascii="Times New Roman" w:cs="Times New Roman" w:eastAsia="Times New Roman" w:hAnsi="Times New Roman"/>
                <w:sz w:val="28"/>
                <w:szCs w:val="28"/>
                <w:b w:val="1"/>
                <w:bCs w:val="1"/>
                <w:color w:val="auto"/>
                <w:vertAlign w:val="subscript"/>
              </w:rPr>
              <w:t>​​ ​</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$ 5</w:t>
            </w:r>
          </w:p>
        </w:tc>
        <w:tc>
          <w:tcPr>
            <w:tcW w:w="84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4834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4834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-2099945</wp:posOffset>
            </wp:positionV>
            <wp:extent cx="137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-2099945</wp:posOffset>
            </wp:positionV>
            <wp:extent cx="1371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Adjustments to reconcile net loss to net cash provided by operating</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​509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​327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payables and accrued expenses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accrued expenses and long-term benefits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​599</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loan due from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​(185)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Moovit, net of cash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​(965)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deferred consideration payment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(to) Parent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(75)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withholding tax related to employee stock plans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​732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 (59)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-316230</wp:posOffset>
            </wp:positionV>
            <wp:extent cx="1289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wp:posOffset>
            </wp:positionV>
            <wp:extent cx="48088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-1327785</wp:posOffset>
            </wp:positionV>
            <wp:extent cx="1289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-1327785</wp:posOffset>
            </wp:positionV>
            <wp:extent cx="48088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-2339340</wp:posOffset>
            </wp:positionV>
            <wp:extent cx="12890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8088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-5905500</wp:posOffset>
            </wp:positionV>
            <wp:extent cx="1371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-5905500</wp:posOffset>
            </wp:positionV>
            <wp:extent cx="1371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​532</w:t>
            </w:r>
          </w:p>
        </w:tc>
        <w:tc>
          <w:tcPr>
            <w:tcW w:w="0" w:type="dxa"/>
            <w:vAlign w:val="bottom"/>
          </w:tcPr>
          <w:p>
            <w:pPr>
              <w:spacing w:after="0"/>
              <w:rPr>
                <w:sz w:val="1"/>
                <w:szCs w:val="1"/>
                <w:color w:val="auto"/>
              </w:rPr>
            </w:pPr>
          </w:p>
        </w:tc>
      </w:tr>
      <w:tr>
        <w:trPr>
          <w:trHeight w:val="25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w:t>
            </w:r>
          </w:p>
        </w:tc>
        <w:tc>
          <w:tcPr>
            <w:tcW w:w="38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93</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year</w:t>
            </w:r>
          </w:p>
        </w:tc>
        <w:tc>
          <w:tcPr>
            <w:tcW w:w="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Balance of cash, cash equivalents and restricted cash, at end of year</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$ 625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3086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-205105</wp:posOffset>
            </wp:positionV>
            <wp:extent cx="3943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160" w:space="200"/>
            <w:col w:w="2519"/>
          </w:cols>
          <w:pgMar w:left="580" w:top="97" w:right="1440"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COMBINED STATEMENTS OF CASH FLOWS — Continued</w:t>
      </w:r>
    </w:p>
    <w:p>
      <w:pPr>
        <w:sectPr>
          <w:pgSz w:w="11900" w:h="16838" w:orient="portrait"/>
          <w:cols w:equalWidth="0" w:num="1">
            <w:col w:w="9879"/>
          </w:cols>
          <w:pgMar w:left="580" w:top="97" w:right="1440" w:bottom="1440" w:gutter="0" w:footer="0" w:header="0"/>
        </w:sectPr>
      </w:pP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4" w:lineRule="exact"/>
        <w:rPr>
          <w:sz w:val="20"/>
          <w:szCs w:val="20"/>
          <w:color w:val="auto"/>
        </w:rPr>
      </w:pPr>
    </w:p>
    <w:p>
      <w:pPr>
        <w:ind w:left="126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Supplementary non-cash investing and financing activities </w:t>
      </w:r>
      <w:r>
        <w:rPr>
          <w:rFonts w:ascii="Times New Roman" w:cs="Times New Roman" w:eastAsia="Times New Roman" w:hAnsi="Times New Roman"/>
          <w:sz w:val="18"/>
          <w:szCs w:val="18"/>
          <w:color w:val="auto"/>
        </w:rPr>
        <w:t>Acquisition of property and equipment included in accounts</w:t>
      </w:r>
    </w:p>
    <w:p>
      <w:pPr>
        <w:ind w:left="1440"/>
        <w:spacing w:after="0"/>
        <w:rPr>
          <w:sz w:val="20"/>
          <w:szCs w:val="20"/>
          <w:color w:val="auto"/>
        </w:rPr>
      </w:pPr>
      <w:r>
        <w:rPr>
          <w:rFonts w:ascii="Times New Roman" w:cs="Times New Roman" w:eastAsia="Times New Roman" w:hAnsi="Times New Roman"/>
          <w:sz w:val="18"/>
          <w:szCs w:val="18"/>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Conversion to equity of loan due to Parent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share-based compensation recharge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446"/>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​$ 27</w:t>
            </w:r>
          </w:p>
        </w:tc>
        <w:tc>
          <w:tcPr>
            <w:tcW w:w="2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​679</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​15,303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59</w:t>
            </w:r>
          </w:p>
        </w:tc>
        <w:tc>
          <w:tcPr>
            <w:tcW w:w="2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​162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​$ 44</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-1653540</wp:posOffset>
            </wp:positionV>
            <wp:extent cx="137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-1653540</wp:posOffset>
            </wp:positionV>
            <wp:extent cx="1371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0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Corporation,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These combined financial statements have been prepared in accordance with United States generally accepted accounting principles (“U.S. GAAP”).</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20"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Net loss per share data has not been presented in the combined financial statements because Mobileye Group did not operate as a separate legal entity with its own capital structure during the periods presented.</w:t>
      </w:r>
    </w:p>
    <w:p>
      <w:pPr>
        <w:spacing w:after="0" w:line="81"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The Company operates on a 52 -week or 53-week fiscal year that ends on the last Saturday in December. Fiscal years 2021, 2020, and 2019 were 52-week fiscal years.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relate to recognition and useful lives of intangible assets, impairment assessment of intangible assets and goodwill, and income taxes.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Cash equivalents are short-term unrestricted highly liquid investments that are readily convertible to cash and with original maturities of three months or less at acquisition.</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for each year presented:</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long-term assets)</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-710565</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-710565</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98" w:lineRule="exact"/>
        <w:rPr>
          <w:sz w:val="20"/>
          <w:szCs w:val="20"/>
          <w:color w:val="auto"/>
        </w:rPr>
      </w:pPr>
    </w:p>
    <w:p>
      <w:pPr>
        <w:ind w:left="1620" w:right="6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The fair value hierarchy gives the highest priority to Level 1 inputs.</w:t>
      </w:r>
    </w:p>
    <w:p>
      <w:pPr>
        <w:spacing w:after="0" w:line="86" w:lineRule="exact"/>
        <w:rPr>
          <w:sz w:val="20"/>
          <w:szCs w:val="20"/>
          <w:color w:val="auto"/>
        </w:rPr>
      </w:pPr>
    </w:p>
    <w:p>
      <w:pPr>
        <w:ind w:left="1620" w:right="6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are corroborated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market data or active market data for similar, but not identical assets or liabilities.</w:t>
      </w:r>
    </w:p>
    <w:p>
      <w:pPr>
        <w:spacing w:after="0" w:line="86" w:lineRule="exact"/>
        <w:rPr>
          <w:sz w:val="20"/>
          <w:szCs w:val="20"/>
          <w:color w:val="auto"/>
        </w:rPr>
      </w:pPr>
    </w:p>
    <w:p>
      <w:pPr>
        <w:ind w:left="1620" w:right="6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07"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0"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trade accounts receivable and accounts payable approximate fair value because of their generally short maturities.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customer base and an assessment of selling price in relation to product cost. Once written-down, a new lower cost basis for that inventory is established.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on a straight-line basis over their estimated useful lives.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estimated useful lives per asset type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4"/>
          </w:tcPr>
          <w:p>
            <w:pPr>
              <w:ind w:left="20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Years</w:t>
            </w:r>
            <w:r>
              <w:rPr>
                <w:rFonts w:ascii="Times New Roman" w:cs="Times New Roman" w:eastAsia="Times New Roman" w:hAnsi="Times New Roman"/>
                <w:sz w:val="28"/>
                <w:szCs w:val="28"/>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2640" w:type="dxa"/>
            <w:vAlign w:val="bottom"/>
            <w:gridSpan w:val="3"/>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 – 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5173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8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79" w:lineRule="exact"/>
        <w:rPr>
          <w:sz w:val="20"/>
          <w:szCs w:val="20"/>
          <w:color w:val="auto"/>
        </w:rPr>
      </w:pPr>
    </w:p>
    <w:p>
      <w:pPr>
        <w:ind w:left="1800" w:right="7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property and equipment; pre-existing liabilities or legal claims; deferred revenue; and contingent consideration, each as may be applicable;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9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combined statements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year ended December 25, 2021 was approximately $13 million.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6" w:lineRule="auto"/>
        <w:rPr>
          <w:sz w:val="20"/>
          <w:szCs w:val="20"/>
          <w:color w:val="auto"/>
        </w:rPr>
      </w:pPr>
      <w:r>
        <w:rPr>
          <w:rFonts w:ascii="Times New Roman" w:cs="Times New Roman" w:eastAsia="Times New Roman" w:hAnsi="Times New Roman"/>
          <w:sz w:val="18"/>
          <w:szCs w:val="18"/>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9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 for warranties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0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financial position, results of operations or cash flows. Legal fees are expensed as incurred.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accounts for leases in accordance with ASC 842, Leases, which requires lessees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recognize leases on the combined balance sheets and disclose key information about leasing arrangements.</w:t>
      </w:r>
    </w:p>
    <w:p>
      <w:pPr>
        <w:spacing w:after="0" w:line="13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111" w:lineRule="exact"/>
        <w:rPr>
          <w:sz w:val="20"/>
          <w:szCs w:val="20"/>
          <w:color w:val="auto"/>
        </w:rPr>
      </w:pPr>
    </w:p>
    <w:p>
      <w:pPr>
        <w:ind w:left="1260" w:right="779" w:firstLine="360"/>
        <w:spacing w:after="0" w:line="27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8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See Note 12 related to customers that accounted for more than 10% of the Company’s total revenue and accounts receivable balance for each of the years presented in these combined financial statements.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and accounts receivable balance for each of the years presented in these combined financial statements.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2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Company purchases all its System on Chip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During the year ended December 25, 2021, the Company’s supplier was not able to meet demand of the Company for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causing a significant reduction in the inventory level of the Company, and the Company expects that it may continue to experience a shortfall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during 2022. As the Company has entered fiscal 2022 with significantly lower inventories of its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resulting from the limited supply during the year ended December 25, 2021, it may be unable to offset future supply constraints through the use of inventory on hand. Since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the ADAS and AV products,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spacing w:after="0" w:line="297" w:lineRule="auto"/>
        <w:rPr>
          <w:sz w:val="20"/>
          <w:szCs w:val="20"/>
          <w:color w:val="auto"/>
        </w:rPr>
      </w:pPr>
      <w:r>
        <w:rPr>
          <w:rFonts w:ascii="Times New Roman" w:cs="Times New Roman" w:eastAsia="Times New Roman" w:hAnsi="Times New Roman"/>
          <w:sz w:val="18"/>
          <w:szCs w:val="18"/>
          <w:color w:val="auto"/>
        </w:rPr>
        <w:t>was no material impact on the Company’s combined balance sheet and the combined statements of operations and comprehensive income (loss) upon adoption.</w:t>
      </w:r>
    </w:p>
    <w:p>
      <w:pPr>
        <w:spacing w:after="0" w:line="80"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(“ASU”) No.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to simplify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years beginning on or after December 15, 2019. The Company adopted this guidance in the first quarter of 2020 with no material impact on these combined financial statements.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162"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356"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2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all years presented in these combined financial statements.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​249</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​362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$187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-1542415</wp:posOffset>
            </wp:positionV>
            <wp:extent cx="137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1339"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expenses totaled $17 million, $13 million, and $ 11 million for the years ended December 25, 2021, December 26, 2020, and December 28, 2019, respectively.</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property and equipment and long-lived assets were located in Israel as of December 25, 2021 and December 26, 2020.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Royalty bearing agreements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$ 7 million, $5 million, and $6 million, respectively. These expenses were classified as a component of cost of revenue.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EMPLOYEE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Israel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48"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Part of the Company’s liability for severance pay is covered by the provisions of Section 14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Israeli Severance Pay Law (“Section 14”). Under Section 14, employees are entitled to monthly deposits, at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employee benefits</w:t>
      </w:r>
    </w:p>
    <w:p>
      <w:pPr>
        <w:spacing w:after="0" w:line="148" w:lineRule="exact"/>
        <w:rPr>
          <w:sz w:val="20"/>
          <w:szCs w:val="20"/>
          <w:color w:val="auto"/>
        </w:r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334"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328" w:lineRule="exact"/>
        <w:rPr>
          <w:sz w:val="20"/>
          <w:szCs w:val="20"/>
          <w:color w:val="auto"/>
        </w:rPr>
      </w:pPr>
    </w:p>
    <w:p>
      <w:pPr>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Non-Israeli Defined Contribution Plans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62" w:lineRule="exact"/>
        <w:rPr>
          <w:sz w:val="20"/>
          <w:szCs w:val="20"/>
          <w:color w:val="auto"/>
        </w:rPr>
      </w:pPr>
    </w:p>
    <w:p>
      <w:pPr>
        <w:ind w:left="1260" w:right="539" w:firstLine="360"/>
        <w:spacing w:after="0" w:line="297"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lease agreements for its main offices and vehicles.</w:t>
      </w:r>
    </w:p>
    <w:p>
      <w:pPr>
        <w:spacing w:after="0" w:line="8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05"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The balances for the operating leases are presented on the combined balance sheets in other long-term assets, other current liabilities and long-term liabilities were as follows:</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60" w:type="dxa"/>
            <w:vAlign w:val="bottom"/>
            <w:gridSpan w:val="2"/>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3"/>
                <w:szCs w:val="13"/>
                <w:color w:val="auto"/>
              </w:rPr>
            </w:pP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371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-147320</wp:posOffset>
            </wp:positionV>
            <wp:extent cx="1371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371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 portion of lease liabilities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803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​12</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​12</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​18</w:t>
            </w:r>
          </w:p>
        </w:tc>
        <w:tc>
          <w:tcPr>
            <w:tcW w:w="160" w:type="dxa"/>
            <w:vAlign w:val="bottom"/>
          </w:tcPr>
          <w:p>
            <w:pPr>
              <w:spacing w:after="0"/>
              <w:rPr>
                <w:sz w:val="20"/>
                <w:szCs w:val="20"/>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2859"/>
          </w:cols>
          <w:pgMar w:left="580" w:top="97" w:right="1440" w:bottom="1440" w:gutter="0" w:footer="0" w:header="0"/>
          <w:type w:val="continuous"/>
        </w:sectPr>
      </w:pPr>
    </w:p>
    <w:p>
      <w:pPr>
        <w:spacing w:after="0" w:line="38"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As of December 25, 2021 and December 26, 2020, the weighted average remaining lease term was 2.44 years and 2.99 years, respectively, and the weighted average discount rate was 1.77% and 1.58%, respectively.</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Maturities of future minimum lease payments as of December 25, 2021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gridSpan w:val="1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r>
              <w:rPr>
                <w:rFonts w:ascii="Times New Roman" w:cs="Times New Roman" w:eastAsia="Times New Roman" w:hAnsi="Times New Roman"/>
                <w:sz w:val="28"/>
                <w:szCs w:val="28"/>
                <w:b w:val="1"/>
                <w:bCs w:val="1"/>
                <w:color w:val="auto"/>
                <w:vertAlign w:val="subscript"/>
              </w:rPr>
              <w:t>​</w:t>
            </w: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w:t>
            </w:r>
          </w:p>
        </w:tc>
        <w:tc>
          <w:tcPr>
            <w:tcW w:w="1160" w:type="dxa"/>
            <w:vAlign w:val="bottom"/>
            <w:gridSpan w:val="6"/>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b w:val="1"/>
                <w:bCs w:val="1"/>
                <w:color w:val="auto"/>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-368300</wp:posOffset>
            </wp:positionV>
            <wp:extent cx="1371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-368300</wp:posOffset>
            </wp:positionV>
            <wp:extent cx="13716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-368300</wp:posOffset>
            </wp:positionV>
            <wp:extent cx="13716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-368300</wp:posOffset>
            </wp:positionV>
            <wp:extent cx="13716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-368300</wp:posOffset>
            </wp:positionV>
            <wp:extent cx="13716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-368300</wp:posOffset>
            </wp:positionV>
            <wp:extent cx="13716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obtained the right to use land in Jerusalem from the Israeli government for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construction of a new research and development and innovation center that will also host the Company’s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headquarters. This land lease was fully prepaid and no leases liabilities were recorded. This operating lease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 of use asset is carried at cost and depreciated using the straight-line method. This operating lease right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use asset, net of depreciation, was $11 million and $11 million as of December, 25, 2021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26, 2020, respectively, and is included in other long-term assets on the combined balance sheets.</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EQUITY AWARDS</w:t>
      </w:r>
    </w:p>
    <w:p>
      <w:pPr>
        <w:spacing w:after="0" w:line="148"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96"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December 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were as follows:</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7"/>
                <w:vertAlign w:val="subscript"/>
              </w:rPr>
              <w:t>​</w:t>
            </w:r>
            <w:r>
              <w:rPr>
                <w:rFonts w:ascii="Times New Roman" w:cs="Times New Roman" w:eastAsia="Times New Roman" w:hAnsi="Times New Roman"/>
                <w:sz w:val="14"/>
                <w:szCs w:val="14"/>
                <w:b w:val="1"/>
                <w:bCs w:val="1"/>
                <w:color w:val="auto"/>
                <w:w w:val="97"/>
              </w:rPr>
              <w:t xml:space="preserve"> contractual life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2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​$13.0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23.9 – 26.9</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​26.9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31.9 – 34.0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58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​3,463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29.3</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-213995</wp:posOffset>
            </wp:positionV>
            <wp:extent cx="30861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-213995</wp:posOffset>
            </wp:positionV>
            <wp:extent cx="30861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28295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8"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option activity for the years ended December 25, 2021, December 26, 2020, and December 28, 2019 for options granted to Company’s employees for Intel’s common stock was as follows: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Aggregated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2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6"/>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29, 2018</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6,642</w:t>
            </w:r>
          </w:p>
        </w:tc>
        <w:tc>
          <w:tcPr>
            <w:tcW w:w="10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​$28.5 ​​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​55.2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28, 2019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​6,594</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29.1</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​23.4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as of December 26, 2020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​6,391</w:t>
            </w:r>
          </w:p>
        </w:tc>
        <w:tc>
          <w:tcPr>
            <w:tcW w:w="10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w:t>
            </w:r>
          </w:p>
        </w:tc>
        <w:tc>
          <w:tcPr>
            <w:tcW w:w="2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​3,578</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w:t>
            </w: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2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6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​3,463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-642620</wp:posOffset>
            </wp:positionV>
            <wp:extent cx="1111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-642620</wp:posOffset>
            </wp:positionV>
            <wp:extent cx="48691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-1722120</wp:posOffset>
            </wp:positionV>
            <wp:extent cx="11112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8691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24" w:lineRule="exact"/>
        <w:rPr>
          <w:sz w:val="20"/>
          <w:szCs w:val="20"/>
          <w:color w:val="auto"/>
        </w:rPr>
      </w:pPr>
    </w:p>
    <w:p>
      <w:pPr>
        <w:ind w:left="1620" w:right="539" w:hanging="360"/>
        <w:spacing w:after="0" w:line="258" w:lineRule="auto"/>
        <w:tabs>
          <w:tab w:leader="none" w:pos="1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an Intel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61"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December 25, 2021 was 115 thousand options with an average weighted exercise price of $26.8.</w:t>
      </w: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years ended December 25, 2021, December 26, 2020, and December 28, 2019 for RSUs granted to Company’s employees for Intel’s common stock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RSUs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25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620" w:type="dxa"/>
        <w:tblCellMar>
          <w:top w:w="0" w:type="dxa"/>
          <w:left w:w="0" w:type="dxa"/>
          <w:bottom w:w="0" w:type="dxa"/>
          <w:right w:w="0" w:type="dxa"/>
        </w:tblCellMar>
      </w:tblP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29, 2018</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3,174</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​$41.15</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​49.22</w:t>
            </w:r>
          </w:p>
        </w:tc>
      </w:tr>
      <w:tr>
        <w:trPr>
          <w:trHeight w:val="25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​41.28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​43.64</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28, 2019</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2,371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​$43.24</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3,628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​44.44</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​41.98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​47.36</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26, 2020</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4,339</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​$44.63</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​47.76</w:t>
            </w:r>
          </w:p>
        </w:tc>
      </w:tr>
      <w:tr>
        <w:trPr>
          <w:trHeight w:val="25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​44.05</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​46.38</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6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​5,278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$46.49</w:t>
            </w:r>
          </w:p>
        </w:tc>
      </w:tr>
      <w:tr>
        <w:trPr>
          <w:trHeight w:val="21"/>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31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-1216660</wp:posOffset>
            </wp:positionV>
            <wp:extent cx="4749165" cy="1625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31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68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749165" cy="1714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-1550670</wp:posOffset>
            </wp:positionV>
            <wp:extent cx="4749165" cy="1714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46" w:lineRule="exact"/>
        <w:rPr>
          <w:sz w:val="20"/>
          <w:szCs w:val="20"/>
          <w:color w:val="auto"/>
        </w:rPr>
      </w:pPr>
    </w:p>
    <w:p>
      <w:pPr>
        <w:ind w:left="1260" w:right="280" w:firstLine="360"/>
        <w:spacing w:after="0" w:line="297" w:lineRule="auto"/>
        <w:rPr>
          <w:sz w:val="20"/>
          <w:szCs w:val="20"/>
          <w:color w:val="auto"/>
        </w:rPr>
      </w:pPr>
      <w:r>
        <w:rPr>
          <w:rFonts w:ascii="Times New Roman" w:cs="Times New Roman" w:eastAsia="Times New Roman" w:hAnsi="Times New Roman"/>
          <w:sz w:val="18"/>
          <w:szCs w:val="18"/>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43" w:lineRule="exact"/>
        <w:rPr>
          <w:sz w:val="20"/>
          <w:szCs w:val="20"/>
          <w:color w:val="auto"/>
        </w:rPr>
      </w:pPr>
    </w:p>
    <w:p>
      <w:pPr>
        <w:sectPr>
          <w:pgSz w:w="11900" w:h="16838" w:orient="portrait"/>
          <w:cols w:equalWidth="0" w:num="2">
            <w:col w:w="8800" w:space="280"/>
            <w:col w:w="799"/>
          </w:cols>
          <w:pgMar w:left="580" w:top="97" w:right="1440"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56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-873760</wp:posOffset>
            </wp:positionV>
            <wp:extent cx="4749165" cy="1631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-548005</wp:posOffset>
            </wp:positionV>
            <wp:extent cx="4749165" cy="1625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68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-1036320</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-1036320</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ind w:left="1260" w:right="519" w:firstLine="360"/>
        <w:spacing w:after="0" w:line="285" w:lineRule="auto"/>
        <w:rPr>
          <w:sz w:val="20"/>
          <w:szCs w:val="20"/>
          <w:color w:val="auto"/>
        </w:rPr>
      </w:pPr>
      <w:r>
        <w:rPr>
          <w:rFonts w:ascii="Times New Roman" w:cs="Times New Roman" w:eastAsia="Times New Roman" w:hAnsi="Times New Roman"/>
          <w:sz w:val="18"/>
          <w:szCs w:val="18"/>
          <w:color w:val="auto"/>
        </w:rPr>
        <w:t>As of December 25, 2021, the unrecognized compensation costs related to stock options and RSUs granted under the 2006 Plan was $196 million, which will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Loss before income taxes included in the combined statements of operations and comprehensive income (loss)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before income taxes was comprised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3"/>
                <w:szCs w:val="23"/>
                <w:color w:val="auto"/>
              </w:rPr>
            </w:pPr>
          </w:p>
        </w:tc>
        <w:tc>
          <w:tcPr>
            <w:tcW w:w="6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​(267)</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right="1279"/>
        <w:spacing w:after="0" w:line="286" w:lineRule="auto"/>
        <w:rPr>
          <w:sz w:val="20"/>
          <w:szCs w:val="20"/>
          <w:color w:val="auto"/>
        </w:rPr>
      </w:pPr>
      <w:r>
        <w:rPr>
          <w:rFonts w:ascii="Times New Roman" w:cs="Times New Roman" w:eastAsia="Times New Roman" w:hAnsi="Times New Roman"/>
          <w:sz w:val="18"/>
          <w:szCs w:val="18"/>
          <w:b w:val="1"/>
          <w:bCs w:val="1"/>
          <w:color w:val="auto"/>
        </w:rPr>
        <w:t>Benefit (provision) on income included in the combined statements of operations and comprehensive income (loss)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 (provision) for income taxes for the years ended December 25, 2021, December 26, 2020,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28, 2019 was comprised of the following:</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60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​53</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​32</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$53</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$16</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-2493645</wp:posOffset>
            </wp:positionV>
            <wp:extent cx="137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-2493645</wp:posOffset>
            </wp:positionV>
            <wp:extent cx="1371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-1070610</wp:posOffset>
            </wp:positionV>
            <wp:extent cx="137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-1070610</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 reconciliation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benefit</w:t>
      </w:r>
    </w:p>
    <w:p>
      <w:pPr>
        <w:spacing w:after="0" w:line="27" w:lineRule="exact"/>
        <w:rPr>
          <w:sz w:val="20"/>
          <w:szCs w:val="20"/>
          <w:color w:val="auto"/>
        </w:rPr>
      </w:pPr>
    </w:p>
    <w:p>
      <w:pPr>
        <w:ind w:left="1260" w:right="679"/>
        <w:spacing w:after="0" w:line="276" w:lineRule="auto"/>
        <w:rPr>
          <w:sz w:val="20"/>
          <w:szCs w:val="20"/>
          <w:color w:val="auto"/>
        </w:rPr>
      </w:pPr>
      <w:r>
        <w:rPr>
          <w:rFonts w:ascii="Times New Roman" w:cs="Times New Roman" w:eastAsia="Times New Roman" w:hAnsi="Times New Roman"/>
          <w:sz w:val="18"/>
          <w:szCs w:val="18"/>
          <w:color w:val="auto"/>
        </w:rPr>
        <w:t>(provision) for income taxes as a percentage of loss before income taxes (effective tax rate) for each year was as follows:</w:t>
      </w:r>
    </w:p>
    <w:p>
      <w:pPr>
        <w:spacing w:after="0" w:line="13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current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deferred</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U.S. branch taxation of foreign operations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uncertain tax position, net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related adjustments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(31.6)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22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(0.9)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-1859280</wp:posOffset>
            </wp:positionV>
            <wp:extent cx="4749165" cy="1631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-1534160</wp:posOffset>
            </wp:positionV>
            <wp:extent cx="4749165" cy="1631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631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749165" cy="1631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1631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-2022475</wp:posOffset>
            </wp:positionV>
            <wp:extent cx="13716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-2022475</wp:posOffset>
            </wp:positionV>
            <wp:extent cx="137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we could not benefit from due to a valuation allowance position. This resulted in a residual tax expense associated with a deferred tax liability recorded for goodwill.</w:t>
      </w:r>
    </w:p>
    <w:p>
      <w:pPr>
        <w:spacing w:after="0" w:line="105"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1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deferred tax liabilities were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631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Provisions for employee benefits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80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​198</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4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​105</w:t>
            </w:r>
          </w:p>
        </w:tc>
        <w:tc>
          <w:tcPr>
            <w:tcW w:w="1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​391</w:t>
            </w:r>
          </w:p>
        </w:tc>
        <w:tc>
          <w:tcPr>
            <w:tcW w:w="14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​162</w:t>
            </w:r>
          </w:p>
        </w:tc>
        <w:tc>
          <w:tcPr>
            <w:tcW w:w="14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​(181)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​(152)</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​(333)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899"/>
          </w:cols>
          <w:pgMar w:left="580" w:top="97" w:right="1440" w:bottom="1440" w:gutter="0" w:footer="0" w:header="0"/>
          <w:type w:val="continuous"/>
        </w:sectPr>
      </w:pPr>
    </w:p>
    <w:p>
      <w:pPr>
        <w:spacing w:after="0" w:line="11"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 for deferred tax assets were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 net operating loss carryforwards of $275 million for the year ended December 25, 2021, which were generated in a separate tax return years before becoming eligible for consolidation with Intel (separate return losses) on July 17, 2021.</w:t>
      </w:r>
    </w:p>
    <w:p>
      <w:pPr>
        <w:spacing w:after="0" w:line="324"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95"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58" w:lineRule="auto"/>
        <w:rPr>
          <w:sz w:val="20"/>
          <w:szCs w:val="20"/>
          <w:color w:val="auto"/>
        </w:rPr>
      </w:pPr>
      <w:r>
        <w:rPr>
          <w:rFonts w:ascii="Times New Roman" w:cs="Times New Roman" w:eastAsia="Times New Roman" w:hAnsi="Times New Roman"/>
          <w:sz w:val="18"/>
          <w:szCs w:val="18"/>
          <w:color w:val="auto"/>
        </w:rPr>
        <w:t>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25, 2021 and December 26, 2020, the Company had accrued $1 million and</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17"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All the balance of unrecognized tax benefits, if recognized, would reduce the Company’s annual effective tax rate.</w:t>
      </w:r>
    </w:p>
    <w:p>
      <w:pPr>
        <w:spacing w:after="0" w:line="95"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14"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The Company files income tax returns in the U.S., Israel, and in other certain foreign jurisdictions. The Company is no longer subject to U.S. and Israeli tax examinations for years prior to 2018 and 2016, respectively.</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RELATED PARTY TRANSACTIONS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Conversion Arrangements for Purposes of Funding Acquisitions</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w:t>
      </w:r>
    </w:p>
    <w:p>
      <w:pPr>
        <w:spacing w:after="0" w:line="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(“Arrangement 2”) to make cash available to either party up to an aggregate principal amount of</w:t>
      </w:r>
    </w:p>
    <w:p>
      <w:pPr>
        <w:spacing w:after="0" w:line="7" w:lineRule="exact"/>
        <w:rPr>
          <w:sz w:val="20"/>
          <w:szCs w:val="20"/>
          <w:color w:val="auto"/>
        </w:rPr>
      </w:pPr>
    </w:p>
    <w:p>
      <w:pPr>
        <w:ind w:left="1260" w:right="759"/>
        <w:spacing w:after="0" w:line="245" w:lineRule="auto"/>
        <w:rPr>
          <w:sz w:val="20"/>
          <w:szCs w:val="20"/>
          <w:color w:val="auto"/>
        </w:rPr>
      </w:pPr>
      <w:r>
        <w:rPr>
          <w:rFonts w:ascii="Times New Roman" w:cs="Times New Roman" w:eastAsia="Times New Roman" w:hAnsi="Times New Roman"/>
          <w:sz w:val="18"/>
          <w:szCs w:val="18"/>
          <w:color w:val="auto"/>
        </w:rPr>
        <w:t>$750 million. Arrangement 2 has a maturity date of September 2022 and has a mechanism for automatic renewal for additional periods of one year each.</w:t>
      </w:r>
    </w:p>
    <w:p>
      <w:pPr>
        <w:spacing w:after="0" w:line="11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2021, Intel and the Company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and has a mechanism for automatic renewal for additional periods of one year each.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1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4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46"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BUSINESS COMBINATION</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32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Pro forma information has not been included for the Moovit Acquisition given the insignificant impact on the Company’s results of operation for the years ended December 26, 2020 and December 28, 2019.</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135"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 ​</w:t>
            </w:r>
          </w:p>
        </w:tc>
        <w:tc>
          <w:tcPr>
            <w:tcW w:w="660" w:type="dxa"/>
            <w:vAlign w:val="bottom"/>
            <w:tcBorders>
              <w:bottom w:val="single" w:sz="8" w:color="auto"/>
            </w:tcBorders>
            <w:gridSpan w:val="3"/>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Mobileye</w:t>
            </w:r>
          </w:p>
        </w:tc>
        <w:tc>
          <w:tcPr>
            <w:tcW w:w="2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2"/>
                <w:szCs w:val="22"/>
                <w:color w:val="auto"/>
              </w:rPr>
            </w:pPr>
          </w:p>
        </w:tc>
        <w:tc>
          <w:tcPr>
            <w:tcW w:w="8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​$493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​$10,784</w:t>
            </w:r>
          </w:p>
        </w:tc>
        <w:tc>
          <w:tcPr>
            <w:tcW w:w="340" w:type="dxa"/>
            <w:vAlign w:val="bottom"/>
            <w:tcBorders>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111</w:t>
            </w:r>
          </w:p>
        </w:tc>
        <w:tc>
          <w:tcPr>
            <w:tcW w:w="40" w:type="dxa"/>
            <w:vAlign w:val="bottom"/>
          </w:tcPr>
          <w:p>
            <w:pPr>
              <w:spacing w:after="0"/>
              <w:rPr>
                <w:sz w:val="23"/>
                <w:szCs w:val="23"/>
                <w:color w:val="auto"/>
              </w:rPr>
            </w:pP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7"/>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11 IDENTIFIED INTANGIBLE 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 2020</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8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40" w:type="dxa"/>
            <w:vAlign w:val="bottom"/>
          </w:tcPr>
          <w:p>
            <w:pPr>
              <w:spacing w:after="0"/>
              <w:rPr>
                <w:sz w:val="18"/>
                <w:szCs w:val="18"/>
                <w:color w:val="auto"/>
              </w:rPr>
            </w:pPr>
          </w:p>
        </w:tc>
        <w:tc>
          <w:tcPr>
            <w:tcW w:w="10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2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p>
        </w:tc>
        <w:tc>
          <w:tcPr>
            <w:tcW w:w="16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​​$3,991​​ ​</w:t>
            </w:r>
          </w:p>
        </w:tc>
        <w:tc>
          <w:tcPr>
            <w:tcW w:w="760" w:type="dxa"/>
            <w:vAlign w:val="bottom"/>
            <w:gridSpan w:val="6"/>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shd w:val="clear" w:color="auto" w:fill="CCEEFF"/>
          </w:tcPr>
          <w:p>
            <w:pPr>
              <w:spacing w:after="0"/>
              <w:rPr>
                <w:sz w:val="19"/>
                <w:szCs w:val="19"/>
                <w:color w:val="auto"/>
              </w:rPr>
            </w:pPr>
          </w:p>
        </w:tc>
        <w:tc>
          <w:tcPr>
            <w:tcW w:w="10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​​$3,091​​ ​</w:t>
            </w: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​$2,091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and</w:t>
            </w:r>
          </w:p>
        </w:tc>
        <w:tc>
          <w:tcPr>
            <w:tcW w:w="940" w:type="dxa"/>
            <w:vAlign w:val="bottom"/>
            <w:gridSpan w:val="6"/>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831​​ ​</w:t>
            </w:r>
          </w:p>
        </w:tc>
        <w:tc>
          <w:tcPr>
            <w:tcW w:w="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44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brands</w:t>
            </w:r>
          </w:p>
        </w:tc>
        <w:tc>
          <w:tcPr>
            <w:tcW w:w="940" w:type="dxa"/>
            <w:vAlign w:val="bottom"/>
            <w:gridSpan w:val="6"/>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500" w:type="dxa"/>
            <w:vAlign w:val="bottom"/>
            <w:gridSpan w:val="4"/>
            <w:vMerge w:val="continue"/>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vMerge w:val="continue"/>
            <w:shd w:val="clear" w:color="auto" w:fill="CCEEFF"/>
          </w:tcPr>
          <w:p>
            <w:pPr>
              <w:spacing w:after="0"/>
              <w:rPr>
                <w:sz w:val="20"/>
                <w:szCs w:val="20"/>
                <w:color w:val="auto"/>
              </w:rPr>
            </w:pPr>
          </w:p>
        </w:tc>
        <w:tc>
          <w:tcPr>
            <w:tcW w:w="320" w:type="dxa"/>
            <w:vAlign w:val="bottom"/>
            <w:tcBorders>
              <w:right w:val="single" w:sz="8" w:color="CCEEFF"/>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5"/>
            <w:vMerge w:val="continue"/>
            <w:shd w:val="clear" w:color="auto" w:fill="CCEEFF"/>
          </w:tcPr>
          <w:p>
            <w:pPr>
              <w:spacing w:after="0"/>
              <w:rPr>
                <w:sz w:val="20"/>
                <w:szCs w:val="20"/>
                <w:color w:val="auto"/>
              </w:rPr>
            </w:pPr>
          </w:p>
        </w:tc>
        <w:tc>
          <w:tcPr>
            <w:tcW w:w="560" w:type="dxa"/>
            <w:vAlign w:val="bottom"/>
            <w:gridSpan w:val="4"/>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3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760" w:type="dxa"/>
            <w:vAlign w:val="bottom"/>
            <w:gridSpan w:val="6"/>
          </w:tcPr>
          <w:p>
            <w:pPr>
              <w:jc w:val="right"/>
              <w:ind w:right="75"/>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80" w:type="dxa"/>
            <w:vAlign w:val="bottom"/>
          </w:tcPr>
          <w:p>
            <w:pPr>
              <w:spacing w:after="0"/>
              <w:rPr>
                <w:sz w:val="22"/>
                <w:szCs w:val="22"/>
                <w:color w:val="auto"/>
              </w:rPr>
            </w:pPr>
          </w:p>
        </w:tc>
        <w:tc>
          <w:tcPr>
            <w:tcW w:w="1000" w:type="dxa"/>
            <w:vAlign w:val="bottom"/>
            <w:gridSpan w:val="9"/>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160" w:type="dxa"/>
            <w:vAlign w:val="bottom"/>
          </w:tcPr>
          <w:p>
            <w:pPr>
              <w:spacing w:after="0"/>
              <w:rPr>
                <w:sz w:val="22"/>
                <w:szCs w:val="22"/>
                <w:color w:val="auto"/>
              </w:rPr>
            </w:pPr>
          </w:p>
        </w:tc>
        <w:tc>
          <w:tcPr>
            <w:tcW w:w="640" w:type="dxa"/>
            <w:vAlign w:val="bottom"/>
            <w:gridSpan w:val="4"/>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6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-2125345</wp:posOffset>
            </wp:positionV>
            <wp:extent cx="8572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474916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-2622550</wp:posOffset>
            </wp:positionV>
            <wp:extent cx="13716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-2622550</wp:posOffset>
            </wp:positionV>
            <wp:extent cx="13716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-2622550</wp:posOffset>
            </wp:positionV>
            <wp:extent cx="1371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-2622550</wp:posOffset>
            </wp:positionV>
            <wp:extent cx="13716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-1104900</wp:posOffset>
            </wp:positionV>
            <wp:extent cx="137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-1104900</wp:posOffset>
            </wp:positionV>
            <wp:extent cx="1371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-1104900</wp:posOffset>
            </wp:positionV>
            <wp:extent cx="1371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-1104900</wp:posOffset>
            </wp:positionV>
            <wp:extent cx="13716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-1104900</wp:posOffset>
            </wp:positionV>
            <wp:extent cx="12890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05"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3"/>
                <w:szCs w:val="13"/>
                <w:color w:val="auto"/>
              </w:rPr>
            </w:pPr>
          </w:p>
        </w:tc>
        <w:tc>
          <w:tcPr>
            <w:tcW w:w="82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60" w:type="dxa"/>
            <w:vAlign w:val="bottom"/>
          </w:tcPr>
          <w:p>
            <w:pPr>
              <w:spacing w:after="0"/>
              <w:rPr>
                <w:sz w:val="13"/>
                <w:szCs w:val="13"/>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-710565</wp:posOffset>
            </wp:positionV>
            <wp:extent cx="1371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-710565</wp:posOffset>
            </wp:positionV>
            <wp:extent cx="1371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-710565</wp:posOffset>
            </wp:positionV>
            <wp:extent cx="1371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tbl>
      <w:tblPr>
        <w:tblLayout w:type="fixed"/>
        <w:tblInd w:w="1260" w:type="dxa"/>
        <w:tblCellMar>
          <w:top w:w="0" w:type="dxa"/>
          <w:left w:w="0" w:type="dxa"/>
          <w:bottom w:w="0" w:type="dxa"/>
          <w:right w:w="0" w:type="dxa"/>
        </w:tblCellMar>
      </w:tblPr>
      <w:tr>
        <w:trPr>
          <w:trHeight w:val="378"/>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4480" w:type="dxa"/>
            <w:vAlign w:val="bottom"/>
            <w:gridSpan w:val="17"/>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37"/>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544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3,071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-368300</wp:posOffset>
            </wp:positionV>
            <wp:extent cx="13716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-368300</wp:posOffset>
            </wp:positionV>
            <wp:extent cx="1371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-368300</wp:posOffset>
            </wp:positionV>
            <wp:extent cx="1371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-368300</wp:posOffset>
            </wp:positionV>
            <wp:extent cx="1371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-368300</wp:posOffset>
            </wp:positionV>
            <wp:extent cx="137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-368300</wp:posOffset>
            </wp:positionV>
            <wp:extent cx="1371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1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0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segment results for each year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25, 2021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right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​$1,363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419</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​39​​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48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499</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(509)</w:t>
            </w:r>
          </w:p>
        </w:tc>
        <w:tc>
          <w:tcPr>
            <w:tcW w:w="5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(57)</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4"/>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gridSpan w:val="4"/>
          </w:tcPr>
          <w:p>
            <w:pPr>
              <w:ind w:left="6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97 </w:t>
            </w:r>
            <w:r>
              <w:rPr>
                <w:rFonts w:ascii="Times New Roman" w:cs="Times New Roman" w:eastAsia="Times New Roman" w:hAnsi="Times New Roman"/>
                <w:sz w:val="26"/>
                <w:szCs w:val="26"/>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gridSpan w:val="4"/>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26,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​221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368</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​417</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26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28</w:t>
            </w:r>
          </w:p>
        </w:tc>
        <w:tc>
          <w:tcPr>
            <w:tcW w:w="420" w:type="dxa"/>
            <w:vAlign w:val="bottom"/>
            <w:gridSpan w:val="2"/>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264</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(450)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82</w:t>
            </w:r>
          </w:p>
        </w:tc>
        <w:tc>
          <w:tcPr>
            <w:tcW w:w="420" w:type="dxa"/>
            <w:vAlign w:val="bottom"/>
            <w:gridSpan w:val="2"/>
          </w:tcPr>
          <w:p>
            <w:pPr>
              <w:jc w:val="right"/>
              <w:ind w:right="4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8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13</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-4919980</wp:posOffset>
            </wp:positionV>
            <wp:extent cx="13716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-4919980</wp:posOffset>
            </wp:positionV>
            <wp:extent cx="13716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-4919980</wp:posOffset>
            </wp:positionV>
            <wp:extent cx="13716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-2133600</wp:posOffset>
            </wp:positionV>
            <wp:extent cx="1371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-2133600</wp:posOffset>
            </wp:positionV>
            <wp:extent cx="1371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-2133600</wp:posOffset>
            </wp:positionV>
            <wp:extent cx="1371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28, 2019</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​$879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261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​456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​384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241</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 ​</w:t>
            </w:r>
          </w:p>
        </w:tc>
        <w:tc>
          <w:tcPr>
            <w:tcW w:w="780" w:type="dxa"/>
            <w:vAlign w:val="bottom"/>
            <w:gridSpan w:val="4"/>
          </w:tcPr>
          <w:p>
            <w:pPr>
              <w:ind w:left="1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(327)</w:t>
            </w:r>
          </w:p>
        </w:tc>
        <w:tc>
          <w:tcPr>
            <w:tcW w:w="9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 (86)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with a related party</w:t>
            </w:r>
          </w:p>
        </w:tc>
        <w:tc>
          <w:tcPr>
            <w:tcW w:w="1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​(235)</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xml:space="preserve"> ​(325)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76</w:t>
            </w:r>
          </w:p>
        </w:tc>
        <w:tc>
          <w:tcPr>
            <w:tcW w:w="940" w:type="dxa"/>
            <w:vAlign w:val="bottom"/>
            <w:tcBorders>
              <w:top w:val="single" w:sz="8" w:color="CCEEFF"/>
              <w:bottom w:val="single" w:sz="8" w:color="CCEEFF"/>
            </w:tcBorders>
            <w:gridSpan w:val="3"/>
            <w:vMerge w:val="restart"/>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w:t>
            </w:r>
          </w:p>
        </w:tc>
        <w:tc>
          <w:tcPr>
            <w:tcW w:w="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 11</w:t>
            </w:r>
          </w:p>
        </w:tc>
        <w:tc>
          <w:tcPr>
            <w:tcW w:w="38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-1911350</wp:posOffset>
            </wp:positionV>
            <wp:extent cx="13716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-1911350</wp:posOffset>
            </wp:positionV>
            <wp:extent cx="13716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-1911350</wp:posOffset>
            </wp:positionV>
            <wp:extent cx="13716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74</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​171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75</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-205105</wp:posOffset>
            </wp:positionV>
            <wp:extent cx="15430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6308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-1490980</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-1490980</wp:posOffset>
            </wp:positionV>
            <wp:extent cx="1371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1260" w:right="839" w:firstLine="360"/>
        <w:spacing w:after="0" w:line="231"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OEM customers through Tier 1 suppliers. Revenue generated by other product types was deemed to be not material.</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major customers</w:t>
            </w: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vMerge w:val="continue"/>
            <w:shd w:val="clear" w:color="auto" w:fill="CCEEFF"/>
          </w:tcPr>
          <w:p>
            <w:pPr>
              <w:spacing w:after="0"/>
              <w:rPr>
                <w:sz w:val="22"/>
                <w:szCs w:val="22"/>
                <w:color w:val="auto"/>
              </w:rPr>
            </w:pP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-1062355</wp:posOffset>
            </wp:positionV>
            <wp:extent cx="1371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-1062355</wp:posOffset>
            </wp:positionV>
            <wp:extent cx="353187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19"/>
                <w:szCs w:val="19"/>
                <w:color w:val="auto"/>
              </w:rPr>
            </w:pPr>
          </w:p>
        </w:tc>
        <w:tc>
          <w:tcPr>
            <w:tcW w:w="1180" w:type="dxa"/>
            <w:vAlign w:val="bottom"/>
            <w:gridSpan w:val="3"/>
          </w:tcPr>
          <w:p>
            <w:pPr>
              <w:jc w:val="center"/>
              <w:ind w:right="63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Borders>
              <w:top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accounts receivable balance</w:t>
            </w:r>
          </w:p>
        </w:tc>
        <w:tc>
          <w:tcPr>
            <w:tcW w:w="12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40" w:type="dxa"/>
            <w:vAlign w:val="bottom"/>
          </w:tcPr>
          <w:p>
            <w:pPr>
              <w:spacing w:after="0"/>
              <w:rPr>
                <w:sz w:val="14"/>
                <w:szCs w:val="14"/>
                <w:color w:val="auto"/>
              </w:rPr>
            </w:pPr>
          </w:p>
        </w:tc>
      </w:tr>
      <w:tr>
        <w:trPr>
          <w:trHeight w:val="21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319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-164465</wp:posOffset>
            </wp:positionV>
            <wp:extent cx="1371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256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Inventories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24003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2311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212080" cy="231140"/>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774​​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214​​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901​​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1,326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56</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5"/>
          </w:tcPr>
          <w:p>
            <w:pPr>
              <w:jc w:val="right"/>
              <w:ind w:right="59"/>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 2,043</w:t>
            </w:r>
            <w:r>
              <w:rPr>
                <w:rFonts w:ascii="Times New Roman" w:cs="Times New Roman" w:eastAsia="Times New Roman" w:hAnsi="Times New Roman"/>
                <w:sz w:val="30"/>
                <w:szCs w:val="30"/>
                <w:b w:val="1"/>
                <w:bCs w:val="1"/>
                <w:color w:val="auto"/>
                <w:vertAlign w:val="subscript"/>
              </w:rPr>
              <w:t>​​ ​</w:t>
            </w: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338​​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 2,789​​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3,071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​10,895​​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​10,895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97</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5"/>
          </w:tcPr>
          <w:p>
            <w:pPr>
              <w:jc w:val="right"/>
              <w:ind w:right="59"/>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r>
              <w:rPr>
                <w:rFonts w:ascii="Times New Roman" w:cs="Times New Roman" w:eastAsia="Times New Roman" w:hAnsi="Times New Roman"/>
                <w:sz w:val="28"/>
                <w:szCs w:val="28"/>
                <w:b w:val="1"/>
                <w:bCs w:val="1"/>
                <w:color w:val="auto"/>
                <w:vertAlign w:val="subscript"/>
              </w:rPr>
              <w:t>​​ ​</w:t>
            </w:r>
          </w:p>
        </w:tc>
        <w:tc>
          <w:tcPr>
            <w:tcW w:w="6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0"/>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973​​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 3,509​​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45</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32"/>
                <w:szCs w:val="32"/>
                <w:b w:val="1"/>
                <w:bCs w:val="1"/>
                <w:color w:val="auto"/>
                <w:vertAlign w:val="superscript"/>
              </w:rPr>
              <w:t>​ 4,730</w:t>
            </w:r>
            <w:r>
              <w:rPr>
                <w:rFonts w:ascii="Times New Roman" w:cs="Times New Roman" w:eastAsia="Times New Roman" w:hAnsi="Times New Roman"/>
                <w:sz w:val="17"/>
                <w:szCs w:val="17"/>
                <w:b w:val="1"/>
                <w:bCs w:val="1"/>
                <w:color w:val="auto"/>
              </w:rPr>
              <w:t>​​ ​</w:t>
            </w:r>
          </w:p>
        </w:tc>
        <w:tc>
          <w:tcPr>
            <w:tcW w:w="24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172​​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00" w:type="dxa"/>
            <w:vAlign w:val="bottom"/>
            <w:gridSpan w:val="2"/>
          </w:tcPr>
          <w:p>
            <w:pPr>
              <w:jc w:val="right"/>
              <w:ind w:right="59"/>
              <w:spacing w:after="0" w:line="256" w:lineRule="exact"/>
              <w:rPr>
                <w:sz w:val="20"/>
                <w:szCs w:val="20"/>
                <w:color w:val="auto"/>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6"/>
                <w:szCs w:val="16"/>
                <w:color w:val="auto"/>
              </w:rPr>
              <w:t>​​ ​</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54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32"/>
                <w:szCs w:val="32"/>
                <w:b w:val="1"/>
                <w:bCs w:val="1"/>
                <w:color w:val="auto"/>
                <w:vertAlign w:val="superscript"/>
              </w:rPr>
              <w:t>​ 4,963</w:t>
            </w:r>
            <w:r>
              <w:rPr>
                <w:rFonts w:ascii="Times New Roman" w:cs="Times New Roman" w:eastAsia="Times New Roman" w:hAnsi="Times New Roman"/>
                <w:sz w:val="17"/>
                <w:szCs w:val="17"/>
                <w:b w:val="1"/>
                <w:bCs w:val="1"/>
                <w:color w:val="auto"/>
              </w:rPr>
              <w:t>​​ ​</w:t>
            </w:r>
          </w:p>
        </w:tc>
        <w:tc>
          <w:tcPr>
            <w:tcW w:w="240" w:type="dxa"/>
            <w:vAlign w:val="bottom"/>
            <w:gridSpan w:val="2"/>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​11,223​​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​15,884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9"/>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jc w:val="right"/>
              <w:ind w:right="59"/>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​11,199</w:t>
            </w:r>
            <w:r>
              <w:rPr>
                <w:rFonts w:ascii="Times New Roman" w:cs="Times New Roman" w:eastAsia="Times New Roman" w:hAnsi="Times New Roman"/>
                <w:sz w:val="32"/>
                <w:szCs w:val="32"/>
                <w:color w:val="auto"/>
                <w:vertAlign w:val="subscript"/>
              </w:rPr>
              <w:t>​​ ​</w:t>
            </w:r>
          </w:p>
        </w:tc>
        <w:tc>
          <w:tcPr>
            <w:tcW w:w="60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16,162</w:t>
            </w:r>
            <w:r>
              <w:rPr>
                <w:rFonts w:ascii="Times New Roman" w:cs="Times New Roman" w:eastAsia="Times New Roman" w:hAnsi="Times New Roman"/>
                <w:sz w:val="30"/>
                <w:szCs w:val="30"/>
                <w:b w:val="1"/>
                <w:bCs w:val="1"/>
                <w:color w:val="auto"/>
                <w:vertAlign w:val="subscript"/>
              </w:rPr>
              <w:t>​​ ​</w:t>
            </w: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22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CONDENSED COMBINED STATEMENTS OF OPERATIONS AND COMPREHENSIVE INCOME (LOSS)</w:t>
      </w:r>
    </w:p>
    <w:p>
      <w:pPr>
        <w:spacing w:after="0" w:line="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r>
      <w:tr>
        <w:trPr>
          <w:trHeight w:val="171"/>
        </w:trPr>
        <w:tc>
          <w:tcPr>
            <w:tcW w:w="3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40" w:type="dxa"/>
            <w:vAlign w:val="bottom"/>
          </w:tcPr>
          <w:p>
            <w:pPr>
              <w:spacing w:after="0"/>
              <w:rPr>
                <w:sz w:val="14"/>
                <w:szCs w:val="14"/>
                <w:color w:val="auto"/>
              </w:rPr>
            </w:pPr>
          </w:p>
        </w:tc>
      </w:tr>
      <w:tr>
        <w:trPr>
          <w:trHeight w:val="214"/>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ind w:lef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24"/>
                <w:szCs w:val="24"/>
                <w:b w:val="1"/>
                <w:bCs w:val="1"/>
                <w:color w:val="auto"/>
                <w:vertAlign w:val="subscript"/>
              </w:rPr>
              <w:t>​ ​</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319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-164465</wp:posOffset>
            </wp:positionV>
            <wp:extent cx="13716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expenses with related party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​$854 ​​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​449</w:t>
            </w:r>
            <w:r>
              <w:rPr>
                <w:rFonts w:ascii="Times New Roman" w:cs="Times New Roman" w:eastAsia="Times New Roman" w:hAnsi="Times New Roman"/>
                <w:sz w:val="15"/>
                <w:szCs w:val="15"/>
                <w:color w:val="auto"/>
              </w:rPr>
              <w:t xml:space="preserve"> ​​ ​</w:t>
            </w:r>
          </w:p>
        </w:tc>
        <w:tc>
          <w:tcPr>
            <w:tcW w:w="3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​356</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​405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​348</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​359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​258</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64 ​​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65 </w:t>
            </w: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18</w:t>
            </w:r>
            <w:r>
              <w:rPr>
                <w:rFonts w:ascii="Times New Roman" w:cs="Times New Roman" w:eastAsia="Times New Roman" w:hAnsi="Times New Roman"/>
                <w:sz w:val="15"/>
                <w:szCs w:val="15"/>
                <w:color w:val="auto"/>
              </w:rPr>
              <w:t xml:space="preserve"> ​​ ​</w:t>
            </w:r>
          </w:p>
        </w:tc>
        <w:tc>
          <w:tcPr>
            <w:tcW w:w="3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18</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8"/>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​441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​341</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​(36)​​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4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5</w:t>
            </w:r>
            <w:r>
              <w:rPr>
                <w:rFonts w:ascii="Times New Roman" w:cs="Times New Roman" w:eastAsia="Times New Roman" w:hAnsi="Times New Roman"/>
                <w:sz w:val="15"/>
                <w:szCs w:val="15"/>
                <w:color w:val="auto"/>
              </w:rPr>
              <w:t xml:space="preserve"> ​​ ​</w:t>
            </w:r>
          </w:p>
        </w:tc>
        <w:tc>
          <w:tcPr>
            <w:tcW w:w="5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​(36)​​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5"/>
                <w:szCs w:val="15"/>
                <w:color w:val="auto"/>
              </w:rPr>
              <w:t>​​ ​</w:t>
            </w:r>
          </w:p>
        </w:tc>
        <w:tc>
          <w:tcPr>
            <w:tcW w:w="5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(5)</w:t>
            </w:r>
            <w:r>
              <w:rPr>
                <w:rFonts w:ascii="Times New Roman" w:cs="Times New Roman" w:eastAsia="Times New Roman" w:hAnsi="Times New Roman"/>
                <w:sz w:val="28"/>
                <w:szCs w:val="28"/>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(67)​​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​(29)</w:t>
            </w:r>
            <w:r>
              <w:rPr>
                <w:rFonts w:ascii="Times New Roman" w:cs="Times New Roman" w:eastAsia="Times New Roman" w:hAnsi="Times New Roman"/>
                <w:sz w:val="15"/>
                <w:szCs w:val="15"/>
                <w:color w:val="auto"/>
              </w:rPr>
              <w:t>​​ ​</w:t>
            </w:r>
          </w:p>
        </w:tc>
        <w:tc>
          <w:tcPr>
            <w:tcW w:w="20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 (96)</w:t>
            </w:r>
            <w:r>
              <w:rPr>
                <w:rFonts w:ascii="Times New Roman" w:cs="Times New Roman" w:eastAsia="Times New Roman" w:hAnsi="Times New Roman"/>
                <w:sz w:val="16"/>
                <w:szCs w:val="16"/>
                <w:b w:val="1"/>
                <w:bCs w:val="1"/>
                <w:color w:val="auto"/>
              </w:rPr>
              <w:t>​​ ​</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6 </w:t>
            </w:r>
            <w:r>
              <w:rPr>
                <w:rFonts w:ascii="Times New Roman" w:cs="Times New Roman" w:eastAsia="Times New Roman" w:hAnsi="Times New Roman"/>
                <w:sz w:val="30"/>
                <w:szCs w:val="30"/>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17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Parent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Equity</w:t>
            </w:r>
            <w:r>
              <w:rPr>
                <w:rFonts w:ascii="Times New Roman" w:cs="Times New Roman" w:eastAsia="Times New Roman" w:hAnsi="Times New Roman"/>
                <w:sz w:val="24"/>
                <w:szCs w:val="24"/>
                <w:b w:val="1"/>
                <w:bCs w:val="1"/>
                <w:color w:val="auto"/>
                <w:vertAlign w:val="subscript"/>
              </w:rPr>
              <w:t>​</w:t>
            </w:r>
          </w:p>
        </w:tc>
      </w:tr>
      <w:tr>
        <w:trPr>
          <w:trHeight w:val="24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319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-164465</wp:posOffset>
            </wp:positionV>
            <wp:extent cx="1371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-164465</wp:posOffset>
            </wp:positionV>
            <wp:extent cx="1371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 (loss),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Equity transaction in connection with the legal purchase of Moovit entities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distribution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sharing agreement with Parent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 ​ ​ ​</w:t>
      </w:r>
      <w:r>
        <w:rPr>
          <w:sz w:val="20"/>
          <w:szCs w:val="20"/>
          <w:color w:val="auto"/>
        </w:rPr>
        <w:tab/>
      </w: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​$15,884 ​​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​(3,500)​​ ​</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 ​</w:t>
        <w:tab/>
        <w:t>​</w:t>
      </w:r>
    </w:p>
    <w:p>
      <w:pPr>
        <w:spacing w:after="0" w:line="3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w:t>
        <w:tab/>
        <w:t>5</w:t>
      </w:r>
    </w:p>
    <w:p>
      <w:pPr>
        <w:spacing w:after="0" w:line="50" w:lineRule="exact"/>
        <w:rPr>
          <w:sz w:val="20"/>
          <w:szCs w:val="20"/>
          <w:color w:val="auto"/>
        </w:rPr>
      </w:pPr>
    </w:p>
    <w:p>
      <w:pPr>
        <w:ind w:left="100" w:hanging="96"/>
        <w:spacing w:after="0"/>
        <w:tabs>
          <w:tab w:leader="none" w:pos="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49"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243"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63"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58"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49"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 ​</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4">
            <w:col w:w="6300" w:space="220"/>
            <w:col w:w="1040" w:space="280"/>
            <w:col w:w="420" w:space="220"/>
            <w:col w:w="13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80" w:type="dxa"/>
            <w:vAlign w:val="bottom"/>
            <w:gridSpan w:val="2"/>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4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b w:val="1"/>
                <w:bCs w:val="1"/>
                <w:color w:val="auto"/>
              </w:rPr>
              <w:t xml:space="preserve"> ​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July 2, 2022</w:t>
            </w:r>
          </w:p>
        </w:tc>
        <w:tc>
          <w:tcPr>
            <w:tcW w:w="122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11,223 </w:t>
            </w:r>
            <w:r>
              <w:rPr>
                <w:rFonts w:ascii="Times New Roman" w:cs="Times New Roman" w:eastAsia="Times New Roman" w:hAnsi="Times New Roman"/>
                <w:sz w:val="28"/>
                <w:szCs w:val="28"/>
                <w:b w:val="1"/>
                <w:bCs w:val="1"/>
                <w:color w:val="auto"/>
                <w:vertAlign w:val="subscript"/>
              </w:rPr>
              <w:t>​​ ​</w:t>
            </w:r>
          </w:p>
        </w:tc>
        <w:tc>
          <w:tcPr>
            <w:tcW w:w="660" w:type="dxa"/>
            <w:vAlign w:val="bottom"/>
            <w:gridSpan w:val="4"/>
          </w:tcPr>
          <w:p>
            <w:pPr>
              <w:ind w:lef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$11,199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2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​$15,842 ​​ ​</w:t>
            </w: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8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740" w:type="dxa"/>
            <w:vAlign w:val="bottom"/>
            <w:gridSpan w:val="2"/>
          </w:tcPr>
          <w:p>
            <w:pPr>
              <w:jc w:val="right"/>
              <w:ind w:right="50"/>
              <w:spacing w:after="0" w:line="283" w:lineRule="exact"/>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32"/>
                <w:szCs w:val="32"/>
                <w:color w:val="auto"/>
                <w:vertAlign w:val="subscript"/>
              </w:rPr>
              <w:t>​​ ​</w:t>
            </w:r>
          </w:p>
        </w:tc>
        <w:tc>
          <w:tcPr>
            <w:tcW w:w="660" w:type="dxa"/>
            <w:vAlign w:val="bottom"/>
            <w:gridSpan w:val="4"/>
          </w:tcPr>
          <w:p>
            <w:pPr>
              <w:ind w:left="1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b w:val="1"/>
                <w:bCs w:val="1"/>
                <w:color w:val="auto"/>
              </w:rPr>
              <w:t xml:space="preserve"> ​ —</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32"/>
                <w:szCs w:val="32"/>
                <w:color w:val="auto"/>
                <w:vertAlign w:val="subscript"/>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26, 2021</w:t>
            </w:r>
          </w:p>
        </w:tc>
        <w:tc>
          <w:tcPr>
            <w:tcW w:w="86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15,845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14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$15,847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-222250</wp:posOffset>
            </wp:positionV>
            <wp:extent cx="514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7834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  Six Months ended</w:t>
            </w:r>
          </w:p>
        </w:tc>
        <w:tc>
          <w:tcPr>
            <w:tcW w:w="100" w:type="dxa"/>
            <w:vAlign w:val="bottom"/>
          </w:tcPr>
          <w:p>
            <w:pPr>
              <w:jc w:val="right"/>
              <w:ind w:right="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4"/>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620" w:type="dxa"/>
            <w:vAlign w:val="bottom"/>
            <w:tcBorders>
              <w:top w:val="single" w:sz="8" w:color="auto"/>
            </w:tcBorders>
            <w:gridSpan w:val="4"/>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0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w:t>
            </w:r>
          </w:p>
        </w:tc>
        <w:tc>
          <w:tcPr>
            <w:tcW w:w="62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4"/>
                <w:szCs w:val="14"/>
                <w:color w:val="auto"/>
              </w:rPr>
            </w:pPr>
          </w:p>
        </w:tc>
        <w:tc>
          <w:tcPr>
            <w:tcW w:w="100" w:type="dxa"/>
            <w:vAlign w:val="bottom"/>
          </w:tcPr>
          <w:p>
            <w:pPr>
              <w:jc w:val="right"/>
              <w:ind w:right="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 ​ ​</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(67​​) ​ ​$</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10​​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282​​ ​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245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 ​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(20)​​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on Dividend Note</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with related party</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 accounts receivable</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(39)​​</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payables and accrued expenses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Employee-related accrued expenses and long-term benefits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long-term assets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289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of loan to related party</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(336​​)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 of loan due from related party</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344​​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​(335)​​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vMerge w:val="continue"/>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transfers from Parent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Dividend paid</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(186​​)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offering costs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withholding tax related to employee stock plans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(415​​)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purchase of property and equipment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Non-cash share-based compensation recharge</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101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Note with related party</w:t>
            </w:r>
          </w:p>
        </w:tc>
        <w:tc>
          <w:tcPr>
            <w:tcW w:w="8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​3,500​​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Equity transaction</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 from related party</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-1379855</wp:posOffset>
            </wp:positionV>
            <wp:extent cx="51435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-2022475</wp:posOffset>
            </wp:positionV>
            <wp:extent cx="52120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-2922270</wp:posOffset>
            </wp:positionV>
            <wp:extent cx="514350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-3856990</wp:posOffset>
            </wp:positionV>
            <wp:extent cx="514350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-6642735</wp:posOffset>
            </wp:positionV>
            <wp:extent cx="137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LLC, Mobileye B.V. and its subsidiaries (“Mobileye”), GG Acquisition Ltd. and the Moovit App Global Ltd. and its subsidiaries (“Moovit”) and certain Intel employees mainly in research and development (the “Intel Aligned Groups”) (collectively, the “Company”, “we”, and “our”).</w:t>
      </w:r>
    </w:p>
    <w:p>
      <w:pPr>
        <w:spacing w:after="0" w:line="11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Company operates as a combination of wholly-owned businesses of Intel Corporation (“Intel” or the “Parent”).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Moovit, a leading urban mobility app and mobility- as-a-service (“MaaS”) solutions provider also operates as a component of Intel upon acquisition of the issued and outstanding equity interests of Moovit in May 2020 (the “Moovit Acquisition”). On May 31, 2022, we legally purchased from Intel 100% of the issued and outstanding equity interests of the Moovit entities, for further detail, see note 6.</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These condensed combined financial statements have been prepared in accordance with United States generally accepted accounting principles (“U.S. GAAP”) and applicable rules and regulations of the Securities and Exchange Commission (“SEC”) for interim financial reporting.</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GAAP have been condensed or omitted pursuant to such rules and regulations. These condensed combined financial statements have been prepared on the same basis as the Company’s annual audited combined financial statements and, in the opinion of management, reflect all adjustments, consisting only of normal recurring adjustments, which are necessary for the fair statement of the Company’s financial information.</w:t>
      </w:r>
    </w:p>
    <w:p>
      <w:pPr>
        <w:spacing w:after="0" w:line="3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six months ended July 2, 2022 shown in this report are not necessarily indicative of the results to be expected for the full year ending 2022. The condensed combined financial statements should be read in conjunction with the audited combined financial statements for the fiscal year ended December 25, 2021.</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condensed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condensed combined financial statements on a historical cost basis, as included in the consolidated financial statements of Intel.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condensed combined statements of operations and comprehensive income (loss). Intel Aligned Groups also participated in various Intel compensation and benefit plans. Portions of those plans’ costs were based on actual headcount and included in these condensed combined financial statements. These costs are not necessarily indicative of costs that would have been incurred had the Company operated on a stand-alone basis.</w:t>
      </w:r>
    </w:p>
    <w:p>
      <w:pPr>
        <w:spacing w:after="0" w:line="120"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condensed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condensed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condensed combined financial statements at the time the transactions were recorded, unless otherwise noted. The total net effect of the settlement of these transactions was reflected within parent net investment as a component of equity in the condensed combined balance sheets and within net transfers from Parent as a financing activity in the condensed combined statements of cash flows, unless otherwise noted.</w:t>
      </w:r>
    </w:p>
    <w:p>
      <w:pPr>
        <w:spacing w:after="0" w:line="337"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Net loss per share data has not been presented in the condensed combined financial statements because Mobileye Group did not operate as a separate legal entity with its own capital structure during the periods presented.</w:t>
      </w:r>
    </w:p>
    <w:p>
      <w:pPr>
        <w:spacing w:after="0" w:line="10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combined financial statements for the fiscal year ended December 25, 2021, other than described below regarding deferred offering costs and income tax. For further detail, see note 2 in the audited combined financial statements for the fiscal year ended December 25,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incurred that are directly related to the proposed IPO, are capitalized and recorded on the condensed combined balance sheet. These deferred costs will be reclassified to shareholders’ equity upon the consummation of the proposed public offering and recorded against the proceeds received. If the IPO is aborted, all the deferred offering costs will be expensed. The Company capitalized $14 million and zero of deferred offering costs within other long-term assets, in the condensed combined balance sheet as of July 2, 2022 and December 25, 2021, respectively. Transaction costs which are not directly related to the proposed public offering are expensed as incurred within general and administrative expenses. The Company recognized $3 million of these costs as an expense in the six months ended July 2, 2022.</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cash equivalents and restricted cash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60" w:type="dxa"/>
            <w:vAlign w:val="bottom"/>
            <w:gridSpan w:val="5"/>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10</w:t>
            </w:r>
            <w:r>
              <w:rPr>
                <w:rFonts w:ascii="Times New Roman" w:cs="Times New Roman" w:eastAsia="Times New Roman" w:hAnsi="Times New Roman"/>
                <w:sz w:val="15"/>
                <w:szCs w:val="15"/>
                <w:color w:val="auto"/>
              </w:rPr>
              <w:t xml:space="preserve"> ​​ ​</w:t>
            </w:r>
          </w:p>
        </w:tc>
        <w:tc>
          <w:tcPr>
            <w:tcW w:w="240" w:type="dxa"/>
            <w:vAlign w:val="bottom"/>
          </w:tcPr>
          <w:p>
            <w:pPr>
              <w:spacing w:after="0"/>
              <w:rPr>
                <w:sz w:val="21"/>
                <w:szCs w:val="21"/>
                <w:color w:val="auto"/>
              </w:rPr>
            </w:pPr>
          </w:p>
        </w:tc>
        <w:tc>
          <w:tcPr>
            <w:tcW w:w="600" w:type="dxa"/>
            <w:vAlign w:val="bottom"/>
            <w:gridSpan w:val="3"/>
          </w:tcPr>
          <w:p>
            <w:pPr>
              <w:jc w:val="center"/>
              <w:ind w:right="2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62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$784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2"/>
                <w:szCs w:val="22"/>
                <w:color w:val="auto"/>
              </w:rPr>
            </w:pPr>
          </w:p>
        </w:tc>
        <w:tc>
          <w:tcPr>
            <w:tcW w:w="600" w:type="dxa"/>
            <w:vAlign w:val="bottom"/>
            <w:gridSpan w:val="3"/>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-710565</wp:posOffset>
            </wp:positionV>
            <wp:extent cx="1371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$683 million and $209 million as of July 2, 2022, and December 25, 2021, respectively.</w:t>
      </w:r>
    </w:p>
    <w:p>
      <w:pPr>
        <w:spacing w:after="0" w:line="99"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(assets), Dividend Note with related party, related party payable, trade accounts receivable and accounts payable, approximate fair value because of their generally short maturities.</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2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condensed combined statements of operations and comprehensive income (loss). Research and development reimbursements of $25 million and $22 million were offset against research and development costs in the six months ended July 2, 2022 and June 26, 2021,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forecasted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combined financial statements are recorded under accumulated other comprehensive income (loss) and reclassified into earnings in the same period or periods during which the hedged transaction affects earnings.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notional amount and fair value of derivatives outstanding at Intel on behalf of Mobileye were:</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48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​$371 ​​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 receivable from (payable to) Intel</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(25)​​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-505460</wp:posOffset>
            </wp:positionV>
            <wp:extent cx="137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2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200" w:type="dxa"/>
            <w:vAlign w:val="bottom"/>
            <w:shd w:val="clear" w:color="auto" w:fill="CCEEFF"/>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00" w:type="dxa"/>
            <w:vAlign w:val="bottom"/>
          </w:tcPr>
          <w:p>
            <w:pPr>
              <w:spacing w:after="0"/>
              <w:rPr>
                <w:sz w:val="18"/>
                <w:szCs w:val="1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-453390</wp:posOffset>
            </wp:positionV>
            <wp:extent cx="4749165" cy="1714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-788035</wp:posOffset>
            </wp:positionV>
            <wp:extent cx="4749165" cy="1714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 million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for those jurisdictions is recorded separately.</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Certain legal entities of Mobileye file tax returns on a consolidated basis with our parent Intel Corporation. We have entered into a tax sharing agreement with Intel Corporation that establishes the amount of cash we will pay to our parent for our share of the tax liability owed on these consolidated filings. The income tax provision included in these combined financial statements has been calculated using the separate return method, as if the Company had filed its own tax returns. This method can limit our ability to benefit losses that may have been used by Intel in the consolidated tax returns. To the extent the tax sharing agreement and the separate return method differ, an adjustment to our net parent investment balance is recorded.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condensed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recognition and useful lives of intangible assets, impairment assessment of intangible assets and goodwill, and income taxes.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939" w:firstLine="360"/>
        <w:spacing w:after="0" w:line="274"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condensed combined balance sheets, statement of operations or cash flows. Legal fees are expensed as incurred.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10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05"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July 2, 2022 and December 25, 2021, the credit losses in respect of accounts receivable, which are determined with respect to specific debts that are doubtful of collection and netted against accounts receivable, were not material. The Company writes off accounts receivable when they are deemed uncollectible. For the six months ended July 2, 2022 and June 26, 2021, the charge-offs and recoveries in relation to the credit losses accounts were not material.</w:t>
      </w:r>
    </w:p>
    <w:p>
      <w:pPr>
        <w:spacing w:after="0" w:line="200" w:lineRule="exact"/>
        <w:rPr>
          <w:sz w:val="20"/>
          <w:szCs w:val="20"/>
          <w:color w:val="auto"/>
        </w:rPr>
      </w:pP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8 related to customers that accounted for more than 10% of the Company’s total revenue and accounts receivable for each of the periods presented in these condensed combined financial statements.</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has been experiencing during 2021 and through the first half of 2022.</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the Company’s business and could have a continued adverse effect on the Company’s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33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During the fiscal year ended December 25, 2021 and through the first half of 2022, the Company’s sole supplier was not able to meet demand of the Company for the EyeQ® SoC, causing a significant reduction in the Company’s inventory levels. The Company expects that it will continue to experience a shortfall of EyeQ® SoC during the second half of 2022 which has caused certain delays and may continue to cause further delays in our ability to fulfil customers’ orders. Since the EyeQ® SoC is the core of the ADAS and AV products, continued shortages in the supply of sufficient EyeQ®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156"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Government Assistance (Topic 832):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Business Entities About Government Assistance</w:t>
      </w:r>
      <w:r>
        <w:rPr>
          <w:rFonts w:ascii="Times New Roman" w:cs="Times New Roman" w:eastAsia="Times New Roman" w:hAnsi="Times New Roman"/>
          <w:sz w:val="18"/>
          <w:szCs w:val="18"/>
          <w:color w:val="auto"/>
        </w:rPr>
        <w:t>, which requires entities to provide disclosures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government assistance transactions for annual reporting periods. The disclosures include information around the nature of the assistance, the related accounting policies used to account for government assistance, the effect of government assistance on the entity’s condensed combined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 impact of adoption of this standard is immaterial.</w:t>
      </w:r>
    </w:p>
    <w:p>
      <w:pPr>
        <w:spacing w:after="0" w:line="341"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unaudited condensed combined financial statements. There was no material impact on these unaudited condensed combined financial statements. For further information, see note 6 regarding related party transactions.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​$24</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​69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25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5"/>
          </w:tcPr>
          <w:p>
            <w:pPr>
              <w:ind w:left="234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98</w:t>
            </w:r>
            <w:r>
              <w:rPr>
                <w:rFonts w:ascii="Times New Roman" w:cs="Times New Roman" w:eastAsia="Times New Roman" w:hAnsi="Times New Roman"/>
                <w:sz w:val="15"/>
                <w:szCs w:val="15"/>
                <w:color w:val="auto"/>
              </w:rPr>
              <w:t xml:space="preserve">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the periods presented in these condensed combined financial statements.</w:t>
      </w:r>
    </w:p>
    <w:p>
      <w:pPr>
        <w:sectPr>
          <w:pgSz w:w="11900" w:h="16838" w:orient="portrait"/>
          <w:cols w:equalWidth="0" w:num="1">
            <w:col w:w="9879"/>
          </w:cols>
          <w:pgMar w:left="580" w:top="97" w:right="1440" w:bottom="1440" w:gutter="0" w:footer="0" w:header="0"/>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3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25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Computers, electronic equipment, and software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Construction in process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property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​$ 96 ​​ ​</w:t>
            </w:r>
          </w:p>
        </w:tc>
        <w:tc>
          <w:tcPr>
            <w:tcW w:w="2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10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4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18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​278</w:t>
            </w:r>
            <w:r>
              <w:rPr>
                <w:rFonts w:ascii="Times New Roman" w:cs="Times New Roman" w:eastAsia="Times New Roman" w:hAnsi="Times New Roman"/>
                <w:sz w:val="15"/>
                <w:szCs w:val="15"/>
                <w:color w:val="auto"/>
              </w:rPr>
              <w:t xml:space="preserve"> ​​ ​</w:t>
            </w:r>
          </w:p>
        </w:tc>
        <w:tc>
          <w:tcPr>
            <w:tcW w:w="260" w:type="dxa"/>
            <w:vAlign w:val="bottom"/>
          </w:tcPr>
          <w:p>
            <w:pPr>
              <w:spacing w:after="0"/>
              <w:rPr>
                <w:sz w:val="21"/>
                <w:szCs w:val="21"/>
                <w:color w:val="auto"/>
              </w:rPr>
            </w:pP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​249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​406 ​​ ​</w:t>
            </w:r>
          </w:p>
        </w:tc>
        <w:tc>
          <w:tcPr>
            <w:tcW w:w="2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​362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​(68)</w:t>
            </w:r>
            <w:r>
              <w:rPr>
                <w:rFonts w:ascii="Times New Roman" w:cs="Times New Roman" w:eastAsia="Times New Roman" w:hAnsi="Times New Roman"/>
                <w:sz w:val="28"/>
                <w:szCs w:val="28"/>
                <w:color w:val="auto"/>
                <w:vertAlign w:val="subscript"/>
              </w:rPr>
              <w:t>​​ ​</w:t>
            </w:r>
          </w:p>
        </w:tc>
        <w:tc>
          <w:tcPr>
            <w:tcW w:w="260" w:type="dxa"/>
            <w:vAlign w:val="bottom"/>
          </w:tcPr>
          <w:p>
            <w:pPr>
              <w:spacing w:after="0"/>
              <w:rPr>
                <w:sz w:val="21"/>
                <w:szCs w:val="21"/>
                <w:color w:val="auto"/>
              </w:rPr>
            </w:pP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$338</w:t>
            </w:r>
            <w:r>
              <w:rPr>
                <w:rFonts w:ascii="Times New Roman" w:cs="Times New Roman" w:eastAsia="Times New Roman" w:hAnsi="Times New Roman"/>
                <w:sz w:val="15"/>
                <w:szCs w:val="15"/>
                <w:color w:val="auto"/>
              </w:rPr>
              <w:t xml:space="preserve"> ​​ ​</w:t>
            </w:r>
          </w:p>
        </w:tc>
        <w:tc>
          <w:tcPr>
            <w:tcW w:w="260" w:type="dxa"/>
            <w:vAlign w:val="bottom"/>
          </w:tcPr>
          <w:p>
            <w:pPr>
              <w:spacing w:after="0"/>
              <w:rPr>
                <w:sz w:val="22"/>
                <w:szCs w:val="22"/>
                <w:color w:val="auto"/>
              </w:rPr>
            </w:pPr>
          </w:p>
        </w:tc>
        <w:tc>
          <w:tcPr>
            <w:tcW w:w="6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-1542415</wp:posOffset>
            </wp:positionV>
            <wp:extent cx="1371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3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Depreciation expenses totaled $10 million and $7 million for the six months ended July 2, 2022 and June 26, 2021, respectively.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 Stock-based compensation plans</w:t>
      </w:r>
    </w:p>
    <w:p>
      <w:pPr>
        <w:spacing w:after="0" w:line="162" w:lineRule="exact"/>
        <w:rPr>
          <w:sz w:val="20"/>
          <w:szCs w:val="20"/>
          <w:color w:val="auto"/>
        </w:rPr>
      </w:pPr>
    </w:p>
    <w:p>
      <w:pPr>
        <w:ind w:left="1260" w:right="779" w:firstLine="360"/>
        <w:spacing w:after="0" w:line="274"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July 2, 2022 were as follows: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6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contractual life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40" w:type="dxa"/>
            <w:vAlign w:val="bottom"/>
            <w:gridSpan w:val="4"/>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21.6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22.4 – 26.9</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​26.8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34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​2,290</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gridSpan w:val="2"/>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-213995</wp:posOffset>
            </wp:positionV>
            <wp:extent cx="596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-213995</wp:posOffset>
            </wp:positionV>
            <wp:extent cx="30861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-213995</wp:posOffset>
            </wp:positionV>
            <wp:extent cx="30861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74586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05"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option activity for the six months ended July 2, 2022 for options granted to the Company’s employees for Intel’s common stock was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Aggregated</w:t>
            </w: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intrinsic</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options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price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value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680" w:type="dxa"/>
            <w:vAlign w:val="bottom"/>
            <w:gridSpan w:val="2"/>
          </w:tcPr>
          <w:p>
            <w:pPr>
              <w:jc w:val="center"/>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440" w:right="420" w:hanging="179"/>
        <w:spacing w:after="0" w:line="317" w:lineRule="auto"/>
        <w:rPr>
          <w:sz w:val="20"/>
          <w:szCs w:val="20"/>
          <w:color w:val="auto"/>
        </w:rPr>
      </w:pPr>
      <w:r>
        <w:rPr>
          <w:rFonts w:ascii="Times New Roman" w:cs="Times New Roman" w:eastAsia="Times New Roman" w:hAnsi="Times New Roman"/>
          <w:sz w:val="18"/>
          <w:szCs w:val="18"/>
          <w:color w:val="auto"/>
        </w:rPr>
        <w:t>Options outstanding as of December 25, 2021 Granted</w:t>
      </w:r>
    </w:p>
    <w:p>
      <w:pPr>
        <w:ind w:left="1440"/>
        <w:spacing w:after="0"/>
        <w:rPr>
          <w:sz w:val="20"/>
          <w:szCs w:val="20"/>
          <w:color w:val="auto"/>
        </w:rPr>
      </w:pPr>
      <w:r>
        <w:rPr>
          <w:rFonts w:ascii="Times New Roman" w:cs="Times New Roman" w:eastAsia="Times New Roman" w:hAnsi="Times New Roman"/>
          <w:sz w:val="18"/>
          <w:szCs w:val="18"/>
          <w:color w:val="auto"/>
        </w:rPr>
        <w:t>Exercised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Forfeited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outstanding as of July 2, 2022</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exercisable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​3,578</w:t>
            </w:r>
          </w:p>
        </w:tc>
        <w:tc>
          <w:tcPr>
            <w:tcW w:w="800" w:type="dxa"/>
            <w:vAlign w:val="bottom"/>
            <w:gridSpan w:val="4"/>
          </w:tcPr>
          <w:p>
            <w:pPr>
              <w:ind w:left="60"/>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29.2</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​1.5</w:t>
            </w:r>
          </w:p>
        </w:tc>
        <w:tc>
          <w:tcPr>
            <w:tcW w:w="1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9"/>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8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  ​​ ​ ​ ​ — ​​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(1,288)</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​$32.9</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7"/>
          </w:tcPr>
          <w:p>
            <w:pPr>
              <w:jc w:val="right"/>
              <w:ind w:right="1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2,290</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​$27.1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140" w:type="dxa"/>
            <w:vAlign w:val="bottom"/>
          </w:tcPr>
          <w:p>
            <w:pPr>
              <w:spacing w:after="0"/>
              <w:rPr>
                <w:sz w:val="23"/>
                <w:szCs w:val="23"/>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​2,227</w:t>
            </w:r>
          </w:p>
        </w:tc>
        <w:tc>
          <w:tcPr>
            <w:tcW w:w="80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​1.3</w:t>
            </w:r>
          </w:p>
        </w:tc>
        <w:tc>
          <w:tcPr>
            <w:tcW w:w="1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-710565</wp:posOffset>
            </wp:positionV>
            <wp:extent cx="5212080" cy="1625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-376555</wp:posOffset>
            </wp:positionV>
            <wp:extent cx="5212080" cy="1714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4019"/>
          </w:cols>
          <w:pgMar w:left="580" w:top="97" w:right="1440" w:bottom="1440" w:gutter="0" w:footer="0" w:header="0"/>
          <w:type w:val="continuous"/>
        </w:sectPr>
      </w:pPr>
    </w:p>
    <w:p>
      <w:pPr>
        <w:spacing w:after="0" w:line="52" w:lineRule="exact"/>
        <w:rPr>
          <w:sz w:val="20"/>
          <w:szCs w:val="20"/>
          <w:color w:val="auto"/>
        </w:rPr>
      </w:pPr>
    </w:p>
    <w:p>
      <w:pPr>
        <w:ind w:left="1620" w:right="559" w:hanging="360"/>
        <w:spacing w:after="0" w:line="261"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an Intel share. On July 2, 2022 and December 25, 2021, the share prices were $36.34 and $51.31, respectively. This represents the potential pre-tax amount receivable by the option holders had all option holders exercised their options as of such date.</w:t>
      </w:r>
    </w:p>
    <w:p>
      <w:pPr>
        <w:spacing w:after="0" w:line="31"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July 2, 2022 are 63 thousand options with an average weighted exercise price of $26.31.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six months period ended July 2, 2022 for RSUs granted to Company’s employees for Intel’s common stock was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5,278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3,458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​$44.53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(493)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​$49.67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$49.35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July 2, 2022</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​7,967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$45.34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454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-539115</wp:posOffset>
            </wp:positionV>
            <wp:extent cx="4749165" cy="1460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46" w:lineRule="exact"/>
        <w:rPr>
          <w:sz w:val="20"/>
          <w:szCs w:val="20"/>
          <w:color w:val="auto"/>
        </w:rPr>
      </w:pPr>
    </w:p>
    <w:p>
      <w:pPr>
        <w:jc w:val="both"/>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combined statements of operations and comprehensive income (loss) was as follows:</w:t>
      </w:r>
    </w:p>
    <w:tbl>
      <w:tblPr>
        <w:tblLayout w:type="fixed"/>
        <w:tblInd w:w="1260" w:type="dxa"/>
        <w:tblCellMar>
          <w:top w:w="0" w:type="dxa"/>
          <w:left w:w="0" w:type="dxa"/>
          <w:bottom w:w="0" w:type="dxa"/>
          <w:right w:w="0" w:type="dxa"/>
        </w:tblCellMar>
      </w:tblPr>
      <w:tr>
        <w:trPr>
          <w:trHeight w:val="364"/>
        </w:trPr>
        <w:tc>
          <w:tcPr>
            <w:tcW w:w="4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r>
      <w:tr>
        <w:trPr>
          <w:trHeight w:val="171"/>
        </w:trPr>
        <w:tc>
          <w:tcPr>
            <w:tcW w:w="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Borders>
              <w:top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52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40" w:type="dxa"/>
            <w:vAlign w:val="bottom"/>
          </w:tcPr>
          <w:p>
            <w:pPr>
              <w:spacing w:after="0"/>
              <w:rPr>
                <w:sz w:val="14"/>
                <w:szCs w:val="14"/>
                <w:color w:val="auto"/>
              </w:rPr>
            </w:pPr>
          </w:p>
        </w:tc>
      </w:tr>
      <w:tr>
        <w:trPr>
          <w:trHeight w:val="214"/>
        </w:trPr>
        <w:tc>
          <w:tcPr>
            <w:tcW w:w="3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​69 ​​ ​</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​37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500" w:type="dxa"/>
            <w:vAlign w:val="bottom"/>
            <w:tcBorders>
              <w:right w:val="single" w:sz="8" w:color="CCEEFF"/>
            </w:tcBorders>
            <w:gridSpan w:val="3"/>
            <w:shd w:val="clear" w:color="auto" w:fill="CCEEFF"/>
          </w:tcPr>
          <w:p>
            <w:pPr>
              <w:ind w:left="190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$76</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5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Dividends</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-401955</wp:posOffset>
            </wp:positionV>
            <wp:extent cx="474916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-1071245</wp:posOffset>
            </wp:positionV>
            <wp:extent cx="44145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83"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May 12, 2022, the Company declared and paid a dividend in an aggregate amount of $336 million to Intel, net of $14 million of cash paid to tax authorities to settle related tax obligations.</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35"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paying for certain components to which such income relates.</w:t>
      </w:r>
    </w:p>
    <w:p>
      <w:pPr>
        <w:spacing w:after="0" w:line="8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income tax provision included in these condensed combined financial statements has been calculated using the separate return method, as if the Company had filed its own tax returns. This method can limit the Company’s ability to benefit from losses that may have been used by Intel in its consolidated tax returns. The Company has entered into a tax sharing agreement with Intel, which establishes the amount of cash payable to Intel for our share of the tax liability owed on a consolidated tax filing basis with Intel. To the extent the tax sharing agreement and the separate return method differ, and the liability to Intel is higher or lower than the amount that would have been payable if the Company had filed its own tax returns, an adjustment to the net parent investment balance is recorded within equity. The adjustment to the net parent investment for the six months ended July 2, 2022 was an aggregate decrease in net parent investment of $7 million because amounts payable under the tax sharing agreement in respect of the six-month period exceeded amounts calculated under the separate return method.</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tax expense for the six months ended July 2, 2022, was unfavorably impacted by an accrued withholding tax expense and valuation allowances for certain jurisdictions. A withholding tax expense of $14 million related to a dividend distribution between entities within the Mobileye Group (see note 4 b regarding a dividend distribution to Intel) was recorded in the six months ended July 2, 2022. As the Company has jurisdictions that have sustained recent losses based on the separate return method, a valuation allowance is required for deferred tax assets for which no benefit can be currently realized. The Company also estimates cash taxes for these jurisdictions this year due to unfavorable timing adjustments based upon tax law.</w:t>
      </w:r>
    </w:p>
    <w:p>
      <w:pPr>
        <w:spacing w:after="0" w:line="3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46"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2017, Intel and the Company entered into a bilateral lending/borrowing arrangement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(“Arrangement 2”) to make cash available to either party up to an aggregate principal amount of</w:t>
      </w:r>
    </w:p>
    <w:p>
      <w:pPr>
        <w:ind w:left="1260"/>
        <w:spacing w:after="0"/>
        <w:rPr>
          <w:sz w:val="20"/>
          <w:szCs w:val="20"/>
          <w:color w:val="auto"/>
        </w:rPr>
      </w:pPr>
      <w:r>
        <w:rPr>
          <w:rFonts w:ascii="Times New Roman" w:cs="Times New Roman" w:eastAsia="Times New Roman" w:hAnsi="Times New Roman"/>
          <w:sz w:val="18"/>
          <w:szCs w:val="18"/>
          <w:color w:val="auto"/>
        </w:rPr>
        <w:t>$750 million. Arrangement 2 has a mechanism for automatic renewal for additional periods of one year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In March 2022, Arrangement 2 was amended to increase the aggregate principal amount available to</w:t>
      </w:r>
    </w:p>
    <w:p>
      <w:pPr>
        <w:ind w:left="1260"/>
        <w:spacing w:after="0"/>
        <w:rPr>
          <w:sz w:val="20"/>
          <w:szCs w:val="20"/>
          <w:color w:val="auto"/>
        </w:rPr>
      </w:pPr>
      <w:r>
        <w:rPr>
          <w:rFonts w:ascii="Times New Roman" w:cs="Times New Roman" w:eastAsia="Times New Roman" w:hAnsi="Times New Roman"/>
          <w:sz w:val="18"/>
          <w:szCs w:val="18"/>
          <w:color w:val="auto"/>
        </w:rPr>
        <w:t>draw from $750 million to $1.0 billion and the maturity date was extended to March 2023.</w:t>
      </w:r>
    </w:p>
    <w:p>
      <w:pPr>
        <w:spacing w:after="0" w:line="12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2021, Intel and the Company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and has a mechanism for automatic renewal for additional periods of one year each. In March 2022, Arrangement 3 was amended to increase the aggregate principal amount available to draw from $ 100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328"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six months ended July 2, 2022.</w:t>
      </w:r>
    </w:p>
    <w:p>
      <w:pPr>
        <w:spacing w:after="0" w:line="1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total outstanding balance under the Bilateral Loan Arrangements was approximately $901 million and $1.3 billion as of July 2, 2022 and December 25, 2021 respectively, and is reflected in current assets as a related party loan based on the maturity date as of each balance sheet period (accumulated interest is presented within other current assets). Interest income recognized by the Company totaled $4 million, and $2 million for the six months ended July 2, 2022 and June 26, 2021, respectively.</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4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combined balance sheets, under related party payable was approximately $24 million and $ 162 million as of July 2, 2022 and December 25, 2021, respectively. As for the inclusion of the Company’s employees in Intel’s equity incentive plan, see Note 4.</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46"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46"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16"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services and use of space in Intel’s building in Israel. The Company paid for these services on a quarterly basis. These costs are included in the condensed combined statements of operations and comprehensive income (loss) primarily on a specific and direct attribution basis.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46" w:lineRule="exact"/>
        <w:rPr>
          <w:sz w:val="20"/>
          <w:szCs w:val="20"/>
          <w:color w:val="auto"/>
        </w:rPr>
      </w:pPr>
    </w:p>
    <w:p>
      <w:pPr>
        <w:ind w:left="1260" w:right="639" w:firstLine="360"/>
        <w:spacing w:after="0" w:line="242"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Travel expenses totaled $0.3 million for both the six months ended July 2, 2022 and June 26, 2021.</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 Note</w:t>
      </w:r>
    </w:p>
    <w:p>
      <w:pPr>
        <w:spacing w:after="0" w:line="146" w:lineRule="exact"/>
        <w:rPr>
          <w:sz w:val="20"/>
          <w:szCs w:val="20"/>
          <w:color w:val="auto"/>
        </w:rPr>
      </w:pPr>
    </w:p>
    <w:p>
      <w:pPr>
        <w:ind w:left="1260" w:right="599" w:firstLine="360"/>
        <w:spacing w:after="0" w:line="232" w:lineRule="auto"/>
        <w:rPr>
          <w:sz w:val="20"/>
          <w:szCs w:val="20"/>
          <w:color w:val="auto"/>
        </w:rPr>
      </w:pPr>
      <w:r>
        <w:rPr>
          <w:rFonts w:ascii="Times New Roman" w:cs="Times New Roman" w:eastAsia="Times New Roman" w:hAnsi="Times New Roman"/>
          <w:sz w:val="18"/>
          <w:szCs w:val="18"/>
          <w:color w:val="auto"/>
        </w:rPr>
        <w:t>On April 21, 2022, Intel and Mobileye Group signed a loan agreement whereby Mobileye Group agreed to issue a promissory note to Intel in an aggregate principal amount of $3.5 billion (the “Dividend Note”) .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Mobileye Group has the right, at its option, on any business day, to prepay the loan, including principal and any accrued interest thereon, in whole or in part without premium or penalty. In the six months ended July 2, 2022, accrued interest expense in respect of the Dividend Note was $9 million. The aggregate principal amount plus related accrued interest is presented as Dividend Note with related party.</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transaction in connection with the legal purchase of Moovit entities</w:t>
      </w:r>
    </w:p>
    <w:p>
      <w:pPr>
        <w:spacing w:after="0" w:line="14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May 31, 2022, we entered into an agreement with Intel pursuant to which we legally purchased from Intel 100% of the issued and outstanding equity interests of the Moovit entities for an aggregate amount of $900 million that is payable in cash to Intel and presented within related party payable. Moovit’s operations are already reflected as part of the Mobileye Group in these condensed combined financial statements as further detailed in note 1 and therefore the transaction is treated within equity.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IDENTIFIED INTANGIBLE ASSETS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Carrying</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Carrying</w:t>
            </w: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w:t>
            </w:r>
          </w:p>
        </w:tc>
        <w:tc>
          <w:tcPr>
            <w:tcW w:w="7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104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8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​​$3,991​​ ​</w:t>
            </w: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​$1,658</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​$2,333</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​​$3,991​​ ​</w:t>
            </w:r>
          </w:p>
        </w:tc>
        <w:tc>
          <w:tcPr>
            <w:tcW w:w="8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​$1,419</w:t>
            </w:r>
          </w:p>
        </w:tc>
        <w:tc>
          <w:tcPr>
            <w:tcW w:w="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​$2,572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116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831</w:t>
            </w:r>
            <w:r>
              <w:rPr>
                <w:rFonts w:ascii="Times New Roman" w:cs="Times New Roman" w:eastAsia="Times New Roman" w:hAnsi="Times New Roman"/>
                <w:sz w:val="17"/>
                <w:szCs w:val="17"/>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375</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456</w:t>
            </w:r>
          </w:p>
        </w:tc>
        <w:tc>
          <w:tcPr>
            <w:tcW w:w="9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831</w:t>
            </w:r>
            <w:r>
              <w:rPr>
                <w:rFonts w:ascii="Times New Roman" w:cs="Times New Roman" w:eastAsia="Times New Roman" w:hAnsi="Times New Roman"/>
                <w:sz w:val="17"/>
                <w:szCs w:val="17"/>
                <w:color w:val="auto"/>
              </w:rPr>
              <w:t>​​ ​</w:t>
            </w:r>
          </w:p>
        </w:tc>
        <w:tc>
          <w:tcPr>
            <w:tcW w:w="84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332</w:t>
            </w:r>
          </w:p>
        </w:tc>
        <w:tc>
          <w:tcPr>
            <w:tcW w:w="7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499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3"/>
            <w:shd w:val="clear" w:color="auto" w:fill="CCEEFF"/>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4,822</w:t>
            </w:r>
            <w:r>
              <w:rPr>
                <w:rFonts w:ascii="Times New Roman" w:cs="Times New Roman" w:eastAsia="Times New Roman" w:hAnsi="Times New Roman"/>
                <w:sz w:val="28"/>
                <w:szCs w:val="28"/>
                <w:color w:val="auto"/>
                <w:vertAlign w:val="subscript"/>
              </w:rPr>
              <w:t>​​ ​</w:t>
            </w:r>
          </w:p>
        </w:tc>
        <w:tc>
          <w:tcPr>
            <w:tcW w:w="84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2,033</w:t>
            </w:r>
          </w:p>
        </w:tc>
        <w:tc>
          <w:tcPr>
            <w:tcW w:w="76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2,789</w:t>
            </w:r>
          </w:p>
        </w:tc>
        <w:tc>
          <w:tcPr>
            <w:tcW w:w="9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78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-213995</wp:posOffset>
            </wp:positionV>
            <wp:extent cx="2540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-213995</wp:posOffset>
            </wp:positionV>
            <wp:extent cx="25717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-213995</wp:posOffset>
            </wp:positionV>
            <wp:extent cx="23177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-213995</wp:posOffset>
            </wp:positionV>
            <wp:extent cx="17145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24003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66573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-556895</wp:posOffset>
            </wp:positionV>
            <wp:extent cx="13716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-556895</wp:posOffset>
            </wp:positionV>
            <wp:extent cx="1371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-556895</wp:posOffset>
            </wp:positionV>
            <wp:extent cx="1371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-556895</wp:posOffset>
            </wp:positionV>
            <wp:extent cx="12001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57175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-1079500</wp:posOffset>
            </wp:positionV>
            <wp:extent cx="1371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July 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June 26,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60" w:type="dxa"/>
            <w:vAlign w:val="bottom"/>
          </w:tcPr>
          <w:p>
            <w:pPr>
              <w:spacing w:after="0"/>
              <w:rPr>
                <w:sz w:val="13"/>
                <w:szCs w:val="13"/>
                <w:color w:val="auto"/>
              </w:rPr>
            </w:pPr>
          </w:p>
        </w:tc>
      </w:t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auto"/>
            </w:tcBorders>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940" w:type="dxa"/>
            <w:vAlign w:val="bottom"/>
            <w:gridSpan w:val="6"/>
          </w:tcPr>
          <w:p>
            <w:pPr>
              <w:jc w:val="center"/>
              <w:ind w:right="2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28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42</w:t>
            </w:r>
          </w:p>
        </w:tc>
        <w:tc>
          <w:tcPr>
            <w:tcW w:w="1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​282</w:t>
            </w:r>
          </w:p>
        </w:tc>
        <w:tc>
          <w:tcPr>
            <w:tcW w:w="1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260" w:right="1760" w:firstLine="360"/>
        <w:spacing w:after="0" w:line="297"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2022</w:t>
            </w:r>
          </w:p>
        </w:tc>
        <w:tc>
          <w:tcPr>
            <w:tcW w:w="4060" w:type="dxa"/>
            <w:vAlign w:val="bottom"/>
            <w:gridSpan w:val="1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2023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2024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2026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Thereafter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262</w:t>
            </w:r>
          </w:p>
        </w:tc>
        <w:tc>
          <w:tcPr>
            <w:tcW w:w="2680" w:type="dxa"/>
            <w:vAlign w:val="bottom"/>
            <w:gridSpan w:val="9"/>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2,789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-368300</wp:posOffset>
            </wp:positionV>
            <wp:extent cx="13716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-368300</wp:posOffset>
            </wp:positionV>
            <wp:extent cx="13716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-368300</wp:posOffset>
            </wp:positionV>
            <wp:extent cx="13716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-368300</wp:posOffset>
            </wp:positionV>
            <wp:extent cx="13716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-368300</wp:posOffset>
            </wp:positionV>
            <wp:extent cx="13716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-368300</wp:posOffset>
            </wp:positionV>
            <wp:extent cx="13716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162" w:lineRule="exact"/>
        <w:rPr>
          <w:sz w:val="20"/>
          <w:szCs w:val="20"/>
          <w:color w:val="auto"/>
        </w:rPr>
      </w:pPr>
    </w:p>
    <w:p>
      <w:pPr>
        <w:ind w:left="1260" w:right="1520" w:firstLine="360"/>
        <w:spacing w:after="0" w:line="27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05" w:lineRule="exact"/>
        <w:rPr>
          <w:sz w:val="20"/>
          <w:szCs w:val="20"/>
          <w:color w:val="auto"/>
        </w:rPr>
      </w:pPr>
    </w:p>
    <w:p>
      <w:pPr>
        <w:ind w:left="1260" w:right="1440" w:firstLine="360"/>
        <w:spacing w:after="0" w:line="27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05" w:lineRule="exact"/>
        <w:rPr>
          <w:sz w:val="20"/>
          <w:szCs w:val="20"/>
          <w:color w:val="auto"/>
        </w:rPr>
      </w:pPr>
    </w:p>
    <w:p>
      <w:pPr>
        <w:ind w:left="1260" w:right="1280" w:firstLine="360"/>
        <w:spacing w:after="0" w:line="272"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and IPO-related expenses that are not capitalized. The measure of assets has not been disclosed for each segment as it is not regularly reviewed by the CODM.</w:t>
      </w:r>
    </w:p>
    <w:p>
      <w:pPr>
        <w:spacing w:after="0" w:line="331" w:lineRule="exact"/>
        <w:rPr>
          <w:sz w:val="20"/>
          <w:szCs w:val="20"/>
          <w:color w:val="auto"/>
        </w:rPr>
      </w:pPr>
    </w:p>
    <w:p>
      <w:pPr>
        <w:ind w:left="1260" w:right="1420" w:firstLine="360"/>
        <w:spacing w:after="0" w:line="281"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combined financial statements for the fiscal year ended December 25, 2021.</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2, 2022</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not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allocated to</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2120" w:type="dxa"/>
            <w:vAlign w:val="bottom"/>
            <w:gridSpan w:val="5"/>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​$843</w:t>
            </w:r>
          </w:p>
        </w:tc>
        <w:tc>
          <w:tcPr>
            <w:tcW w:w="10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​$854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​207</w:t>
            </w:r>
          </w:p>
        </w:tc>
        <w:tc>
          <w:tcPr>
            <w:tcW w:w="1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240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​449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​341</w:t>
            </w:r>
          </w:p>
        </w:tc>
        <w:tc>
          <w:tcPr>
            <w:tcW w:w="10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​18​​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​359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17</w:t>
            </w:r>
          </w:p>
        </w:tc>
        <w:tc>
          <w:tcPr>
            <w:tcW w:w="1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64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w:t>
            </w:r>
          </w:p>
        </w:tc>
        <w:tc>
          <w:tcPr>
            <w:tcW w:w="1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3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266</w:t>
            </w:r>
          </w:p>
        </w:tc>
        <w:tc>
          <w:tcPr>
            <w:tcW w:w="100" w:type="dxa"/>
            <w:vAlign w:val="bottom"/>
          </w:tcPr>
          <w:p>
            <w:pPr>
              <w:spacing w:after="0"/>
              <w:rPr>
                <w:sz w:val="22"/>
                <w:szCs w:val="22"/>
                <w:color w:val="auto"/>
              </w:rPr>
            </w:pP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(17)</w:t>
            </w:r>
            <w:r>
              <w:rPr>
                <w:rFonts w:ascii="Times New Roman" w:cs="Times New Roman" w:eastAsia="Times New Roman" w:hAnsi="Times New Roman"/>
                <w:sz w:val="15"/>
                <w:szCs w:val="15"/>
                <w:color w:val="auto"/>
              </w:rPr>
              <w:t>​​ ​</w:t>
            </w:r>
          </w:p>
        </w:tc>
        <w:tc>
          <w:tcPr>
            <w:tcW w:w="80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(285)</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4"/>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(expenses) with a related party, net</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0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68</w:t>
            </w:r>
          </w:p>
        </w:tc>
        <w:tc>
          <w:tcPr>
            <w:tcW w:w="100" w:type="dxa"/>
            <w:vAlign w:val="bottom"/>
          </w:tcPr>
          <w:p>
            <w:pPr>
              <w:spacing w:after="0"/>
              <w:rPr>
                <w:sz w:val="20"/>
                <w:szCs w:val="20"/>
                <w:color w:val="auto"/>
              </w:rPr>
            </w:pPr>
          </w:p>
        </w:tc>
        <w:tc>
          <w:tcPr>
            <w:tcW w:w="440" w:type="dxa"/>
            <w:vAlign w:val="bottom"/>
            <w:gridSpan w:val="2"/>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6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76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10</w:t>
            </w:r>
          </w:p>
        </w:tc>
        <w:tc>
          <w:tcPr>
            <w:tcW w:w="10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3"/>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F-49</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-1268095</wp:posOffset>
            </wp:positionV>
            <wp:extent cx="521208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-2794000</wp:posOffset>
            </wp:positionV>
            <wp:extent cx="13716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-2794000</wp:posOffset>
            </wp:positionV>
            <wp:extent cx="1371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-2794000</wp:posOffset>
            </wp:positionV>
            <wp:extent cx="13716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 June 26, 2021</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not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allocated to</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​$694</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​​$ 10​​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​154</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200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​356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​239</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​19​​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65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w:t>
            </w:r>
          </w:p>
        </w:tc>
        <w:tc>
          <w:tcPr>
            <w:tcW w:w="540" w:type="dxa"/>
            <w:vAlign w:val="bottom"/>
            <w:gridSpan w:val="2"/>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277</w:t>
            </w:r>
          </w:p>
        </w:tc>
        <w:tc>
          <w:tcPr>
            <w:tcW w:w="9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(25)</w:t>
            </w:r>
            <w:r>
              <w:rPr>
                <w:rFonts w:ascii="Times New Roman" w:cs="Times New Roman" w:eastAsia="Times New Roman" w:hAnsi="Times New Roman"/>
                <w:sz w:val="15"/>
                <w:szCs w:val="15"/>
                <w:color w:val="auto"/>
              </w:rPr>
              <w:t>​​ ​</w:t>
            </w:r>
          </w:p>
        </w:tc>
        <w:tc>
          <w:tcPr>
            <w:tcW w:w="80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(245)</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bottom w:val="single" w:sz="8" w:color="auto"/>
            </w:tcBorders>
            <w:gridSpan w:val="2"/>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43</w:t>
            </w:r>
          </w:p>
        </w:tc>
        <w:tc>
          <w:tcPr>
            <w:tcW w:w="540" w:type="dxa"/>
            <w:vAlign w:val="bottom"/>
            <w:gridSpan w:val="2"/>
          </w:tcPr>
          <w:p>
            <w:pPr>
              <w:jc w:val="right"/>
              <w:ind w:right="6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6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3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7</w:t>
            </w:r>
          </w:p>
        </w:tc>
        <w:tc>
          <w:tcPr>
            <w:tcW w:w="9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-2134235</wp:posOffset>
            </wp:positionV>
            <wp:extent cx="13716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-2134235</wp:posOffset>
            </wp:positionV>
            <wp:extent cx="13716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-2134235</wp:posOffset>
            </wp:positionV>
            <wp:extent cx="1371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July 2, 2022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June 26, 2021 </w:t>
            </w:r>
            <w:r>
              <w:rPr>
                <w:rFonts w:ascii="Times New Roman" w:cs="Times New Roman" w:eastAsia="Times New Roman" w:hAnsi="Times New Roman"/>
                <w:sz w:val="27"/>
                <w:szCs w:val="27"/>
                <w:b w:val="1"/>
                <w:bCs w:val="1"/>
                <w:color w:val="auto"/>
                <w:vertAlign w:val="subscript"/>
              </w:rPr>
              <w:t>​</w:t>
            </w:r>
          </w:p>
        </w:tc>
      </w:tr>
      <w:tr>
        <w:trPr>
          <w:trHeight w:val="24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319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4"/>
              </w:rPr>
              <w:t>​$229</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​$181</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​234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​117</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​102</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​137</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​113</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​115</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55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55</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44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8</w:t>
            </w:r>
          </w:p>
        </w:tc>
      </w:tr>
      <w:tr>
        <w:trPr>
          <w:trHeight w:val="26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37</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38</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24</w:t>
            </w:r>
          </w:p>
        </w:tc>
      </w:tr>
      <w:tr>
        <w:trPr>
          <w:trHeight w:val="28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29</w:t>
            </w:r>
          </w:p>
        </w:tc>
      </w:tr>
      <w:tr>
        <w:trPr>
          <w:trHeight w:val="20"/>
        </w:trPr>
        <w:tc>
          <w:tcPr>
            <w:tcW w:w="5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37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373" w:lineRule="exact"/>
              <w:rPr>
                <w:sz w:val="20"/>
                <w:szCs w:val="20"/>
                <w:color w:val="auto"/>
              </w:rPr>
            </w:pPr>
            <w:r>
              <w:rPr>
                <w:rFonts w:ascii="Times New Roman" w:cs="Times New Roman" w:eastAsia="Times New Roman" w:hAnsi="Times New Roman"/>
                <w:sz w:val="35"/>
                <w:szCs w:val="35"/>
                <w:color w:val="auto"/>
                <w:w w:val="94"/>
                <w:vertAlign w:val="subscript"/>
              </w:rPr>
              <w:t>​</w:t>
            </w:r>
            <w:r>
              <w:rPr>
                <w:rFonts w:ascii="Times New Roman" w:cs="Times New Roman" w:eastAsia="Times New Roman" w:hAnsi="Times New Roman"/>
                <w:sz w:val="18"/>
                <w:szCs w:val="18"/>
                <w:color w:val="auto"/>
                <w:w w:val="94"/>
              </w:rPr>
              <w:t>$854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373" w:lineRule="exact"/>
              <w:rPr>
                <w:sz w:val="20"/>
                <w:szCs w:val="20"/>
                <w:color w:val="auto"/>
              </w:rPr>
            </w:pPr>
            <w:r>
              <w:rPr>
                <w:rFonts w:ascii="Times New Roman" w:cs="Times New Roman" w:eastAsia="Times New Roman" w:hAnsi="Times New Roman"/>
                <w:sz w:val="35"/>
                <w:szCs w:val="35"/>
                <w:color w:val="auto"/>
                <w:w w:val="94"/>
                <w:vertAlign w:val="subscript"/>
              </w:rPr>
              <w:t>​</w:t>
            </w:r>
            <w:r>
              <w:rPr>
                <w:rFonts w:ascii="Times New Roman" w:cs="Times New Roman" w:eastAsia="Times New Roman" w:hAnsi="Times New Roman"/>
                <w:sz w:val="18"/>
                <w:szCs w:val="18"/>
                <w:color w:val="auto"/>
                <w:w w:val="94"/>
              </w:rPr>
              <w:t>$704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-1414780</wp:posOffset>
            </wp:positionV>
            <wp:extent cx="4749165" cy="16319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-1089025</wp:posOffset>
            </wp:positionV>
            <wp:extent cx="4749165" cy="16319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-763270</wp:posOffset>
            </wp:positionV>
            <wp:extent cx="4749165" cy="16319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-429260</wp:posOffset>
            </wp:positionV>
            <wp:extent cx="4749165" cy="18859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260" w:firstLine="360"/>
        <w:spacing w:after="0" w:line="246"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 SoCs to OEM customers through Tier 1 suppliers. Revenue generated by other product types was deemed to be not material.</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210" w:lineRule="exact"/>
        <w:rPr>
          <w:sz w:val="20"/>
          <w:szCs w:val="20"/>
          <w:color w:val="auto"/>
        </w:rPr>
      </w:pPr>
    </w:p>
    <w:p>
      <w:pPr>
        <w:sectPr>
          <w:pgSz w:w="11900" w:h="16838" w:orient="portrait"/>
          <w:cols w:equalWidth="0" w:num="2">
            <w:col w:w="9060" w:space="40"/>
            <w:col w:w="77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gridSpan w:val="2"/>
          </w:tcPr>
          <w:p>
            <w:pPr>
              <w:ind w:left="18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July 2, 2022</w:t>
            </w:r>
          </w:p>
        </w:tc>
        <w:tc>
          <w:tcPr>
            <w:tcW w:w="10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June 26, 2021 </w:t>
            </w:r>
            <w:r>
              <w:rPr>
                <w:rFonts w:ascii="Times New Roman" w:cs="Times New Roman" w:eastAsia="Times New Roman" w:hAnsi="Times New Roman"/>
                <w:sz w:val="28"/>
                <w:szCs w:val="28"/>
                <w:b w:val="1"/>
                <w:bCs w:val="1"/>
                <w:color w:val="auto"/>
                <w:vertAlign w:val="subscript"/>
              </w:rPr>
              <w:t>​</w:t>
            </w:r>
          </w:p>
        </w:tc>
      </w:tr>
      <w:tr>
        <w:trPr>
          <w:trHeight w:val="20"/>
        </w:trPr>
        <w:tc>
          <w:tcPr>
            <w:tcW w:w="36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3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-650875</wp:posOffset>
            </wp:positionV>
            <wp:extent cx="421767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NOTES TO THE CONDENSED COMBINED FINANCIAL STATEMENTS (UNAUDITED)</w:t>
      </w:r>
    </w:p>
    <w:p>
      <w:pPr>
        <w:spacing w:after="0" w:line="241" w:lineRule="exact"/>
        <w:rPr>
          <w:sz w:val="20"/>
          <w:szCs w:val="20"/>
          <w:color w:val="auto"/>
        </w:rPr>
      </w:pPr>
    </w:p>
    <w:p>
      <w:pPr>
        <w:jc w:val="both"/>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ectPr>
          <w:pgSz w:w="11900" w:h="16838" w:orient="portrait"/>
          <w:cols w:equalWidth="0" w:num="1">
            <w:col w:w="9879"/>
          </w:cols>
          <w:pgMar w:left="580" w:top="97" w:right="1440" w:bottom="1440" w:gutter="0" w:footer="0" w:header="0"/>
        </w:sect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Percent of total accounts receivable balance: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B</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C</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2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-831215</wp:posOffset>
            </wp:positionV>
            <wp:extent cx="13716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21"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condensed combined financial statements of the Company are derived from the consolidated financial statements of Intel, which were previously issued for the three and six months ended July 2, 2022 on July 28, 2022. Accordingly, the Company has evaluated transactions or other events for consideration as recognized subsequent events in these condensed combined financial statements through July 28, 2022. Additionally, the Company has evaluated transactions and other events that occurred through August 22, 2022, the date these condensed combined financial statements were available to be issued, for purposes of disclosure of unrecognized subsequent events.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 ADDITIONAL UNAUDITED SUBSEQUENT EVENT</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October 2022, our board of directors approved issuances of restricted stock units to be issued under our equity incentive plan in an aggregate value of $264.5 million issuable upon the vesting of such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Through and including November 19,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41,000,000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521335</wp:posOffset>
            </wp:positionV>
            <wp:extent cx="2726055" cy="42037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7260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756285</wp:posOffset>
            </wp:positionV>
            <wp:extent cx="234886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227965</wp:posOffset>
            </wp:positionV>
            <wp:extent cx="234886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334"/>
        </w:trPr>
        <w:tc>
          <w:tcPr>
            <w:tcW w:w="3900" w:type="dxa"/>
            <w:vAlign w:val="bottom"/>
            <w:gridSpan w:val="4"/>
          </w:tcPr>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Morgan Stanley</w:t>
            </w:r>
          </w:p>
        </w:tc>
      </w:tr>
      <w:tr>
        <w:trPr>
          <w:trHeight w:val="328"/>
        </w:trPr>
        <w:tc>
          <w:tcPr>
            <w:tcW w:w="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3"/>
              </w:rPr>
              <w:t>Evercore​</w:t>
            </w:r>
          </w:p>
        </w:tc>
        <w:tc>
          <w:tcPr>
            <w:tcW w:w="9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ISI</w:t>
            </w:r>
          </w:p>
        </w:tc>
        <w:tc>
          <w:tcPr>
            <w:tcW w:w="4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Barclays</w:t>
            </w:r>
          </w:p>
        </w:tc>
        <w:tc>
          <w:tcPr>
            <w:tcW w:w="5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Citigroup</w:t>
            </w:r>
          </w:p>
        </w:tc>
        <w:tc>
          <w:tcPr>
            <w:tcW w:w="5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BofA Securities​</w:t>
            </w:r>
          </w:p>
        </w:tc>
      </w:tr>
      <w:tr>
        <w:trPr>
          <w:trHeight w:val="353"/>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RBC​ Capital Markets</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Mizuho</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 Wolfe | Nomura Alliance ​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BNP PARIBAS​</w:t>
            </w:r>
          </w:p>
        </w:tc>
      </w:tr>
      <w:tr>
        <w:trPr>
          <w:trHeight w:val="300"/>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Cowen​</w:t>
            </w:r>
          </w:p>
        </w:tc>
        <w:tc>
          <w:tcPr>
            <w:tcW w:w="96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Siebert Williams Shank</w:t>
            </w: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PJT Partners</w:t>
            </w:r>
          </w:p>
        </w:tc>
        <w:tc>
          <w:tcPr>
            <w:tcW w:w="5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MUFG​</w:t>
            </w:r>
          </w:p>
        </w:tc>
      </w:tr>
    </w:tbl>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​Needham &amp; Company</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Raymond James</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Loop Capital Markets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Blaylock Van, LLC</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Academy Securities​</w:t>
            </w:r>
          </w:p>
        </w:tc>
      </w:tr>
      <w:tr>
        <w:trPr>
          <w:trHeight w:val="216"/>
        </w:trPr>
        <w:tc>
          <w:tcPr>
            <w:tcW w:w="1440" w:type="dxa"/>
            <w:vAlign w:val="bottom"/>
          </w:tcPr>
          <w:p>
            <w:pPr>
              <w:spacing w:after="0" w:line="216" w:lineRule="exact"/>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Drexel Hamilton</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Independence Point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CICC</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Cabrera Capital</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line="216" w:lineRule="exact"/>
              <w:rPr>
                <w:sz w:val="20"/>
                <w:szCs w:val="20"/>
                <w:color w:val="auto"/>
              </w:rPr>
            </w:pPr>
            <w:r>
              <w:rPr>
                <w:rFonts w:ascii="Times New Roman" w:cs="Times New Roman" w:eastAsia="Times New Roman" w:hAnsi="Times New Roman"/>
                <w:sz w:val="13"/>
                <w:szCs w:val="13"/>
                <w:b w:val="1"/>
                <w:bCs w:val="1"/>
                <w:color w:val="auto"/>
              </w:rPr>
              <w:t xml:space="preserve">Guzman &amp; Company </w:t>
            </w:r>
            <w:r>
              <w:rPr>
                <w:rFonts w:ascii="Times New Roman" w:cs="Times New Roman" w:eastAsia="Times New Roman" w:hAnsi="Times New Roman"/>
                <w:sz w:val="25"/>
                <w:szCs w:val="25"/>
                <w:b w:val="1"/>
                <w:bCs w:val="1"/>
                <w:color w:val="auto"/>
                <w:vertAlign w:val="superscript"/>
              </w:rPr>
              <w:t>​</w:t>
            </w:r>
          </w:p>
        </w:tc>
      </w:tr>
      <w:tr>
        <w:trPr>
          <w:trHeight w:val="190"/>
        </w:trPr>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LLC</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Markets LLC</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589280</wp:posOffset>
            </wp:positionV>
            <wp:extent cx="521208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1)"/>
      <w:numFmt w:val="decimal"/>
      <w:start w:val="3"/>
    </w:lvl>
    <w:lvl w:ilvl="1">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1)"/>
      <w:numFmt w:val="decimal"/>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2"/>
    </w:lvl>
  </w:abstractNum>
  <w:abstractNum w:abstractNumId="43">
    <w:nsid w:val="60B6DF70"/>
    <w:multiLevelType w:val="hybridMultilevel"/>
    <w:lvl w:ilvl="0">
      <w:lvlJc w:val="left"/>
      <w:lvlText w:val="(%1)"/>
      <w:numFmt w:val="upperLetter"/>
      <w:start w:val="1"/>
    </w:lvl>
  </w:abstractNum>
  <w:abstractNum w:abstractNumId="44">
    <w:nsid w:val="6A5EE64"/>
    <w:multiLevelType w:val="hybridMultilevel"/>
    <w:lvl w:ilvl="0">
      <w:lvlJc w:val="left"/>
      <w:lvlText w:val="(%1)"/>
      <w:numFmt w:val="upperLetter"/>
      <w:start w:val="4"/>
    </w:lvl>
  </w:abstractNum>
  <w:abstractNum w:abstractNumId="45">
    <w:nsid w:val="14330624"/>
    <w:multiLevelType w:val="hybridMultilevel"/>
    <w:lvl w:ilvl="0">
      <w:lvlJc w:val="left"/>
      <w:lvlText w:val="(%1)"/>
      <w:numFmt w:val="upperLetter"/>
      <w:start w:val="5"/>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a"/>
      <w:numFmt w:val="bullet"/>
      <w:start w:val="1"/>
    </w:lvl>
  </w:abstractNum>
  <w:abstractNum w:abstractNumId="58">
    <w:nsid w:val="14E17E33"/>
    <w:multiLevelType w:val="hybridMultilevel"/>
    <w:lvl w:ilvl="0">
      <w:lvlJc w:val="left"/>
      <w:lvlText w:val="(%1)"/>
      <w:numFmt w:val="decimal"/>
      <w:start w:val="3"/>
    </w:lvl>
    <w:lvl w:ilvl="1">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1)"/>
      <w:numFmt w:val="lowerRoman"/>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decimal"/>
      <w:start w:val="1"/>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decimal"/>
      <w:start w:val="5"/>
    </w:lvl>
  </w:abstractNum>
  <w:abstractNum w:abstractNumId="83">
    <w:nsid w:val="5F3534A4"/>
    <w:multiLevelType w:val="hybridMultilevel"/>
    <w:lvl w:ilvl="0">
      <w:lvlJc w:val="left"/>
      <w:lvlText w:val="(%1)"/>
      <w:numFmt w:val="decimal"/>
      <w:start w:val="1"/>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1)"/>
      <w:numFmt w:val="decimal"/>
      <w:start w:val="3"/>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1)"/>
      <w:numFmt w:val="decimal"/>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1)"/>
      <w:numFmt w:val="lowerRoman"/>
      <w:start w:val="1"/>
    </w:lvl>
    <w:lvl w:ilvl="1">
      <w:lvlJc w:val="left"/>
      <w:lvlText w:val="(%2)"/>
      <w:numFmt w:val="upperLetter"/>
      <w:start w:val="1"/>
    </w:lvl>
  </w:abstractNum>
  <w:abstractNum w:abstractNumId="104">
    <w:nsid w:val="415E286C"/>
    <w:multiLevelType w:val="hybridMultilevel"/>
    <w:lvl w:ilvl="0">
      <w:lvlJc w:val="left"/>
      <w:lvlText w:val="(%1)"/>
      <w:numFmt w:val="lowerRoman"/>
      <w:start w:val="7"/>
    </w:lvl>
  </w:abstractNum>
  <w:abstractNum w:abstractNumId="105">
    <w:nsid w:val="7C58FD05"/>
    <w:multiLevelType w:val="hybridMultilevel"/>
    <w:lvl w:ilvl="0">
      <w:lvlJc w:val="left"/>
      <w:lvlText w:val="(%1)"/>
      <w:numFmt w:val="lowerRoman"/>
      <w:start w:val="1"/>
    </w:lvl>
    <w:lvl w:ilvl="1">
      <w:lvlJc w:val="left"/>
      <w:lvlText w:val="(%2)"/>
      <w:numFmt w:val="upperLetter"/>
      <w:start w:val="2"/>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decimal"/>
      <w:start w:val="2"/>
    </w:lvl>
  </w:abstractNum>
  <w:abstractNum w:abstractNumId="109">
    <w:nsid w:val="E7FFA2B"/>
    <w:multiLevelType w:val="hybridMultilevel"/>
    <w:lvl w:ilvl="0">
      <w:lvlJc w:val="left"/>
      <w:lvlText w:val="(%1)"/>
      <w:numFmt w:val="decimal"/>
      <w:start w:val="3"/>
    </w:lvl>
  </w:abstractNum>
  <w:abstractNum w:abstractNumId="110">
    <w:nsid w:val="3C5991AA"/>
    <w:multiLevelType w:val="hybridMultilevel"/>
    <w:lvl w:ilvl="0">
      <w:lvlJc w:val="left"/>
      <w:lvlText w:val="(%1)"/>
      <w:numFmt w:val="decimal"/>
      <w:start w:val="5"/>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lowerRoman"/>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
      <w:numFmt w:val="bullet"/>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jpe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2022-10-27T15:48:18Z</dcterms:created>
  <dcterms:modified xsi:type="dcterms:W3CDTF">2022-10-27T15:48:18Z</dcterms:modified>
</cp:coreProperties>
</file>