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Mobileye Global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60741F104</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03/05/2025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60741F104</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Asset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5,052,323.00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5,052,323.00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5,052,323.00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125,200 shares of Class A Common Stock (as defined in Item 2(a)) issuable upon exercise of call options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60741F104</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Capital Advisors,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5,052,323.00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5,052,323.00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5,052,323.00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125,200 shares of Class A Common Stock issuable upon exercise of call options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60741F104</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A. Cohen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5,052,323.00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5,052,323.00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5,052,323.00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125,200 shares of Class A Common Stock issuable upon exercise of call options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5"/>
        <w:gridCol w:w="8895"/>
        <w:gridCol w:w="155"/>
      </w:tblGrid>
      <w:tr>
        <w:trPr/>
        <w:tc>
          <w:tcPr>
            <w:tcW w:w="1155" w:type="dxa"/>
            <w:tcBorders/>
            <w:vAlign w:val="center"/>
          </w:tcPr>
          <w:p>
            <w:pPr>
              <w:pStyle w:val="TableContents"/>
              <w:bidi w:val="0"/>
              <w:spacing w:before="0" w:after="283"/>
              <w:jc w:val="left"/>
              <w:rPr/>
            </w:pPr>
            <w:r>
              <w:rPr/>
              <w:t>Item 1.</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issuer: </w:t>
            </w:r>
          </w:p>
          <w:p>
            <w:pPr>
              <w:pStyle w:val="TableContents"/>
              <w:bidi w:val="0"/>
              <w:spacing w:before="0" w:after="0"/>
              <w:jc w:val="left"/>
              <w:rPr/>
            </w:pPr>
            <w:r>
              <w:rPr/>
              <w:t>Mobileye Global Inc.</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Har Hotzvim, 1 Shlomo Momo HaLevi Street Jerusalem, Israel 9777015</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2.</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Point72 Asset Management, L.P. ("Point72 Asset Management") with respect to the shares of class A common stock, par value $0.01 per share ("Class A Common Stock"), of Mobileye Global Inc. held by (and underlying options held by) Point72 Associates, LLC, an investment fund it manages ("Point72 Associates"); (ii) Point72 Capital Advisors, Inc. ("Point72 Capital Advisors Inc.") with respect to shares of Class A Common Stock held by (and underlying options held by) Point72 Associates; and (iii) Steven A. Cohen ("Mr. Cohen") with respect to shares of Class A Common Stock beneficially owned by Point72 Asset Management and Point72 Capital Advisors Inc. Cubist Systematic Strategies, LLC, an advisor under common control with Point72 Asset Management, acts as a sub-advisor with respect to a portion of the shares of Class A Common Stock reported herein. Point72 Asset Management, Point72 Capital Advisors Inc., and Mr. Cohen have entered into a Joint Filing Agreement, a copy of which is filed with this Schedule 13G as Exhibit 99.1, pursuant to which they have agreed to file this Schedule 13G jointly in accordance with the provisions of Rule 13d-1(k) of the Securities Exchange Act of 1934 (the "Act").</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Point72 Asset Management, Point72 Capital Advisors Inc., and Mr. Cohen is 72 Cummings Point Road, Stamford, CT 06902.</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jc w:val="left"/>
              <w:rPr/>
            </w:pPr>
            <w:r>
              <w:rPr/>
              <w:t xml:space="preserve">Citizenship: </w:t>
            </w:r>
          </w:p>
          <w:p>
            <w:pPr>
              <w:pStyle w:val="TableContents"/>
              <w:bidi w:val="0"/>
              <w:spacing w:before="0" w:after="0"/>
              <w:jc w:val="left"/>
              <w:rPr/>
            </w:pPr>
            <w:r>
              <w:rPr/>
              <w:t>Point72 Asset Management is a Delaware limited partnership. Point72 Capital Advisors Inc. is a Delaware corporation. Mr. Cohen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jc w:val="left"/>
              <w:rPr/>
            </w:pPr>
            <w:r>
              <w:rPr/>
              <w:t xml:space="preserve">CUSIP No.: </w:t>
            </w:r>
          </w:p>
          <w:p>
            <w:pPr>
              <w:pStyle w:val="TableContents"/>
              <w:bidi w:val="0"/>
              <w:spacing w:before="0" w:after="0"/>
              <w:jc w:val="left"/>
              <w:rPr/>
            </w:pPr>
            <w:r>
              <w:rPr/>
              <w:t>60741F104</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3.</w:t>
            </w:r>
          </w:p>
        </w:tc>
        <w:tc>
          <w:tcPr>
            <w:tcW w:w="889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(f)</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(g)</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(h)</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(j)</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(k)</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9050" w:type="dxa"/>
            <w:gridSpan w:val="2"/>
            <w:tcBorders/>
            <w:vAlign w:val="center"/>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4.</w:t>
            </w:r>
          </w:p>
        </w:tc>
        <w:tc>
          <w:tcPr>
            <w:tcW w:w="889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Such information is as of the close of business on March 5, 2025. Point72 Asset Management, Point72 Capital Advisors Inc., and Mr. Cohen own directly no shares of Class A Common Stock. Pursuant to an investment management agreement, Point72 Asset Management maintains investment and voting power with respect to the securities held by Point72 Associates. Point72 Capital Advisors Inc. is the general partner of Point72 Asset Management. Mr. Cohen controls each of Point72 Asset Management and Point72 Capital Advisors Inc. The filing of this statement should not be construed as an admission that any of the foregoing persons or any Reporting Person is, for the purposes of Section 13 of the Act, the beneficial owner of the shares of Class A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5.0  %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 Such information is as of the close of business on March 5, 2025.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 Such information is as of the close of business on March 5, 2025.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 Such information is as of the close of business on March 5, 2025.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 Such information is as of the close of business on March 5, 2025.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5.</w:t>
            </w:r>
          </w:p>
        </w:tc>
        <w:tc>
          <w:tcPr>
            <w:tcW w:w="889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6.</w:t>
            </w:r>
          </w:p>
        </w:tc>
        <w:tc>
          <w:tcPr>
            <w:tcW w:w="889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Point72 Associates has the right to receive or the power to direct the receipt of dividends from, or the proceeds from the sale of, more than 5 percent of the outstanding shares of 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7.</w:t>
            </w:r>
          </w:p>
        </w:tc>
        <w:tc>
          <w:tcPr>
            <w:tcW w:w="889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8.</w:t>
            </w:r>
          </w:p>
        </w:tc>
        <w:tc>
          <w:tcPr>
            <w:tcW w:w="889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9.</w:t>
            </w:r>
          </w:p>
        </w:tc>
        <w:tc>
          <w:tcPr>
            <w:tcW w:w="889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Point72 Asset Management, L.P.</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03/06/2025</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Point72 Capital Advisors, Inc.</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03/06/2025</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Steven A. Cohen</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03/06/2025</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283"/>
              <w:jc w:val="center"/>
              <w:rPr>
                <w:b/>
              </w:rPr>
            </w:pPr>
            <w:r>
              <w:rPr>
                <w:b/>
              </w:rPr>
              <w:t xml:space="preserve">Exhibit Information </w:t>
            </w:r>
          </w:p>
        </w:tc>
      </w:tr>
      <w:tr>
        <w:trPr/>
        <w:tc>
          <w:tcPr>
            <w:tcW w:w="3631" w:type="dxa"/>
            <w:tcBorders/>
            <w:vAlign w:val="center"/>
          </w:tcPr>
          <w:p>
            <w:pPr>
              <w:pStyle w:val="TableContents"/>
              <w:bidi w:val="0"/>
              <w:spacing w:before="0" w:after="283"/>
              <w:jc w:val="left"/>
              <w:rPr/>
            </w:pPr>
            <w:r>
              <w:rPr/>
              <w:t>Exhibit 99.1: Joint Filing Agreement</w:t>
            </w:r>
          </w:p>
        </w:tc>
      </w:tr>
    </w:tbl>
    <w:p>
      <w:pPr>
        <w:pStyle w:val="TextBody"/>
        <w:bidi w:val="0"/>
        <w:spacing w:before="0" w:after="240"/>
        <w:jc w:val="center"/>
        <w:rPr>
          <w:rFonts w:ascii="Times New Roman;Times;Serif" w:hAnsi="Times New Roman;Times;Serif"/>
          <w:b/>
          <w:i w:val="false"/>
          <w:caps w:val="false"/>
          <w:smallCaps w:val="false"/>
          <w:sz w:val="22"/>
        </w:rPr>
      </w:pPr>
      <w:bookmarkStart w:id="24" w:name="p25-0698exhibit99_1.htm"/>
      <w:bookmarkStart w:id="25" w:name="ksp250698exhibit99_1"/>
      <w:bookmarkEnd w:id="24"/>
      <w:bookmarkEnd w:id="25"/>
      <w:r>
        <w:rPr>
          <w:rFonts w:ascii="Times New Roman;Times;Serif" w:hAnsi="Times New Roman;Times;Serif"/>
          <w:b/>
          <w:i w:val="false"/>
          <w:caps w:val="false"/>
          <w:smallCaps w:val="false"/>
          <w:sz w:val="22"/>
        </w:rPr>
        <w:t>EXHIBIT 99.1</w:t>
      </w:r>
      <w:r>
        <w:br w:type="page"/>
      </w:r>
    </w:p>
    <w:p>
      <w:pPr>
        <w:pStyle w:val="TextBody"/>
        <w:bidi w:val="0"/>
        <w:spacing w:before="0" w:after="24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JOINT ACQUISITION STATEMENT</w:t>
        <w:br/>
        <w:t>PURSUANT TO RULE 13d-1(k)</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 March 6, 2025</w:t>
      </w:r>
    </w:p>
    <w:p>
      <w:pPr>
        <w:pStyle w:val="TextBody"/>
        <w:bidi w:val="0"/>
        <w:jc w:val="left"/>
        <w:rPr>
          <w:caps w:val="false"/>
          <w:smallCaps w:val="false"/>
        </w:rPr>
      </w:pPr>
      <w:r>
        <w:rPr>
          <w:caps w:val="false"/>
          <w:smallCaps w:val="false"/>
        </w:rPr>
        <w:t> </w:t>
      </w:r>
    </w:p>
    <w:tbl>
      <w:tblPr>
        <w:tblW w:w="4415" w:type="dxa"/>
        <w:jc w:val="left"/>
        <w:tblInd w:w="0" w:type="dxa"/>
        <w:tblLayout w:type="fixed"/>
        <w:tblCellMar>
          <w:top w:w="0" w:type="dxa"/>
          <w:left w:w="0" w:type="dxa"/>
          <w:bottom w:w="0" w:type="dxa"/>
          <w:right w:w="0" w:type="dxa"/>
        </w:tblCellMar>
      </w:tblPr>
      <w:tblGrid>
        <w:gridCol w:w="4340"/>
        <w:gridCol w:w="75"/>
      </w:tblGrid>
      <w:tr>
        <w:trPr/>
        <w:tc>
          <w:tcPr>
            <w:tcW w:w="4340" w:type="dxa"/>
            <w:tcBorders/>
            <w:vAlign w:val="center"/>
          </w:tcPr>
          <w:p>
            <w:pPr>
              <w:pStyle w:val="TableContents"/>
              <w:bidi w:val="0"/>
              <w:spacing w:before="0" w:after="283"/>
              <w:jc w:val="left"/>
              <w:rPr>
                <w:b/>
              </w:rPr>
            </w:pPr>
            <w:r>
              <w:rPr>
                <w:b/>
              </w:rPr>
              <w:t>POINT72 ASSET MANAGEMENT, L.P.</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40" w:type="dxa"/>
            <w:tcBorders>
              <w:bottom w:val="single" w:sz="8" w:space="0" w:color="000000"/>
            </w:tcBorders>
            <w:tcMar>
              <w:bottom w:w="28" w:type="dxa"/>
            </w:tcMar>
            <w:vAlign w:val="center"/>
          </w:tcPr>
          <w:p>
            <w:pPr>
              <w:pStyle w:val="TableContents"/>
              <w:bidi w:val="0"/>
              <w:spacing w:before="0" w:after="283"/>
              <w:jc w:val="left"/>
              <w:rPr/>
            </w:pPr>
            <w:r>
              <w:rPr/>
              <w:t>/s/ Jason M. Colombo</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Name:</w:t>
              <w:tab/>
              <w:t>Jason M. Colombo</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Title:</w:t>
              <w:tab/>
              <w:t>Authorized Person</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b/>
                <w:caps/>
              </w:rPr>
            </w:pPr>
            <w:r>
              <w:rPr>
                <w:b/>
                <w:caps/>
              </w:rPr>
              <w:t>POINT72 CAPITAL ADVISORS, INC.</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40" w:type="dxa"/>
            <w:tcBorders>
              <w:bottom w:val="single" w:sz="8" w:space="0" w:color="000000"/>
            </w:tcBorders>
            <w:tcMar>
              <w:bottom w:w="28" w:type="dxa"/>
            </w:tcMar>
            <w:vAlign w:val="center"/>
          </w:tcPr>
          <w:p>
            <w:pPr>
              <w:pStyle w:val="TableContents"/>
              <w:bidi w:val="0"/>
              <w:spacing w:before="0" w:after="283"/>
              <w:jc w:val="left"/>
              <w:rPr/>
            </w:pPr>
            <w:r>
              <w:rPr/>
              <w:t>/s/ Jason M. Colombo</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Name:</w:t>
              <w:tab/>
              <w:t>Jason M. Colombo</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Title:</w:t>
              <w:tab/>
              <w:t>Authorized Person</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b/>
                <w:caps/>
              </w:rPr>
            </w:pPr>
            <w:r>
              <w:rPr>
                <w:b/>
                <w:caps/>
              </w:rPr>
              <w:t>STEVEN A. COHEN</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40" w:type="dxa"/>
            <w:tcBorders>
              <w:bottom w:val="single" w:sz="8" w:space="0" w:color="000000"/>
            </w:tcBorders>
            <w:tcMar>
              <w:bottom w:w="28" w:type="dxa"/>
            </w:tcMar>
            <w:vAlign w:val="center"/>
          </w:tcPr>
          <w:p>
            <w:pPr>
              <w:pStyle w:val="TableContents"/>
              <w:bidi w:val="0"/>
              <w:spacing w:before="0" w:after="283"/>
              <w:jc w:val="left"/>
              <w:rPr/>
            </w:pPr>
            <w:r>
              <w:rPr/>
              <w:t>/s/ Jason M. Colombo</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Name:</w:t>
              <w:tab/>
              <w:t>Jason M. Colombo</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Title:</w:t>
              <w:tab/>
              <w:t>Authorized Person</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1913</Words>
  <Characters>9769</Characters>
  <CharactersWithSpaces>11645</CharactersWithSpaces>
  <Paragraphs>313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