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McCaskill Claire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13 HARTOM STREET, P.O. BOX 45157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Claire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McCaskill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(RSU), each of which represents the right to receive, following vesting, one share of Class A common stock of Mobileye Global Inc. Unless earlier forfeited under the terms of the RSU, 100% of the RSUs vest and convert on the first anniversary of the grant date (which grant date is December 5, 2023). If a vesting date falls on a non-business date, the next business day shall apply.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57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2023-12-07T16:00:25Z</dcterms:created>
  <dcterms:modified xsi:type="dcterms:W3CDTF">2023-12-07T16:00:25Z</dcterms:modified>
</cp:coreProperties>
</file>