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6,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Mobileye Global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the Registrant as Specified in Charter)</w:t>
      </w:r>
    </w:p>
    <w:p>
      <w:pPr>
        <w:spacing w:after="0" w:line="201"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2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2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001-41541</w:t>
            </w:r>
          </w:p>
        </w:tc>
        <w:tc>
          <w:tcPr>
            <w:tcW w:w="2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88-0666433</w:t>
            </w:r>
          </w:p>
        </w:tc>
      </w:tr>
      <w:tr>
        <w:trPr>
          <w:trHeight w:val="216"/>
        </w:trPr>
        <w:tc>
          <w:tcPr>
            <w:tcW w:w="2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4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44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280" w:type="dxa"/>
            <w:vAlign w:val="bottom"/>
          </w:tcPr>
          <w:p>
            <w:pPr>
              <w:spacing w:after="0"/>
              <w:rPr>
                <w:sz w:val="24"/>
                <w:szCs w:val="24"/>
                <w:color w:val="auto"/>
              </w:rPr>
            </w:pPr>
          </w:p>
        </w:tc>
        <w:tc>
          <w:tcPr>
            <w:tcW w:w="4420" w:type="dxa"/>
            <w:vAlign w:val="bottom"/>
          </w:tcPr>
          <w:p>
            <w:pPr>
              <w:jc w:val="center"/>
              <w:ind w:right="2710"/>
              <w:spacing w:after="0"/>
              <w:rPr>
                <w:sz w:val="20"/>
                <w:szCs w:val="20"/>
                <w:color w:val="auto"/>
              </w:rPr>
            </w:pPr>
            <w:r>
              <w:rPr>
                <w:rFonts w:ascii="Times New Roman" w:cs="Times New Roman" w:eastAsia="Times New Roman" w:hAnsi="Times New Roman"/>
                <w:sz w:val="18"/>
                <w:szCs w:val="18"/>
                <w:b w:val="1"/>
                <w:bCs w:val="1"/>
                <w:color w:val="auto"/>
                <w:w w:val="98"/>
              </w:rPr>
              <w:t>c/o Mobileye B.V.</w:t>
            </w:r>
          </w:p>
        </w:tc>
        <w:tc>
          <w:tcPr>
            <w:tcW w:w="2700" w:type="dxa"/>
            <w:vAlign w:val="bottom"/>
          </w:tcPr>
          <w:p>
            <w:pPr>
              <w:spacing w:after="0"/>
              <w:rPr>
                <w:sz w:val="24"/>
                <w:szCs w:val="24"/>
                <w:color w:val="auto"/>
              </w:rPr>
            </w:pPr>
          </w:p>
        </w:tc>
      </w:tr>
      <w:tr>
        <w:trPr>
          <w:trHeight w:val="216"/>
        </w:trPr>
        <w:tc>
          <w:tcPr>
            <w:tcW w:w="6700" w:type="dxa"/>
            <w:vAlign w:val="bottom"/>
            <w:gridSpan w:val="2"/>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Har Hotzvim, 1 Shlomo Momo HaLevi Street</w:t>
            </w:r>
          </w:p>
        </w:tc>
        <w:tc>
          <w:tcPr>
            <w:tcW w:w="270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4420" w:type="dxa"/>
            <w:vAlign w:val="bottom"/>
          </w:tcPr>
          <w:p>
            <w:pPr>
              <w:jc w:val="center"/>
              <w:ind w:right="2730"/>
              <w:spacing w:after="0"/>
              <w:rPr>
                <w:sz w:val="20"/>
                <w:szCs w:val="20"/>
                <w:color w:val="auto"/>
              </w:rPr>
            </w:pPr>
            <w:r>
              <w:rPr>
                <w:rFonts w:ascii="Times New Roman" w:cs="Times New Roman" w:eastAsia="Times New Roman" w:hAnsi="Times New Roman"/>
                <w:sz w:val="18"/>
                <w:szCs w:val="18"/>
                <w:b w:val="1"/>
                <w:bCs w:val="1"/>
                <w:color w:val="auto"/>
                <w:w w:val="99"/>
              </w:rPr>
              <w:t>Jerusalem, Israel</w:t>
            </w:r>
          </w:p>
        </w:tc>
        <w:tc>
          <w:tcPr>
            <w:tcW w:w="27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9777015</w:t>
            </w:r>
          </w:p>
        </w:tc>
      </w:tr>
      <w:tr>
        <w:trPr>
          <w:trHeight w:val="238"/>
        </w:trPr>
        <w:tc>
          <w:tcPr>
            <w:tcW w:w="670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+972-2-541-7333</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5"/>
        </w:trPr>
        <w:tc>
          <w:tcPr>
            <w:tcW w:w="4940" w:type="dxa"/>
            <w:vAlign w:val="bottom"/>
            <w:tcBorders>
              <w:top w:val="single" w:sz="8" w:color="auto"/>
              <w:left w:val="single" w:sz="8" w:color="auto"/>
              <w:right w:val="single" w:sz="8" w:color="auto"/>
            </w:tcBorders>
          </w:tcPr>
          <w:p>
            <w:pPr>
              <w:spacing w:after="0"/>
              <w:rPr>
                <w:sz w:val="18"/>
                <w:szCs w:val="18"/>
                <w:color w:val="auto"/>
              </w:rPr>
            </w:pPr>
          </w:p>
        </w:tc>
        <w:tc>
          <w:tcPr>
            <w:tcW w:w="2480" w:type="dxa"/>
            <w:vAlign w:val="bottom"/>
            <w:tcBorders>
              <w:top w:val="single" w:sz="8" w:color="auto"/>
              <w:right w:val="single" w:sz="8" w:color="auto"/>
            </w:tcBorders>
          </w:tcPr>
          <w:p>
            <w:pPr>
              <w:spacing w:after="0"/>
              <w:rPr>
                <w:sz w:val="18"/>
                <w:szCs w:val="18"/>
                <w:color w:val="auto"/>
              </w:rPr>
            </w:pPr>
          </w:p>
        </w:tc>
        <w:tc>
          <w:tcPr>
            <w:tcW w:w="3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w:t>
            </w:r>
          </w:p>
        </w:tc>
      </w:tr>
      <w:tr>
        <w:trPr>
          <w:trHeight w:val="238"/>
        </w:trPr>
        <w:tc>
          <w:tcPr>
            <w:tcW w:w="4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7"/>
        </w:trPr>
        <w:tc>
          <w:tcPr>
            <w:tcW w:w="49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4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MBLY</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49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On January 6, 2026, Mobileye Global Inc. (the “Company”) noted in a presentation at Mobileye Live at CES 2026 and via live webcast that the estimated revenue of the Company for the fiscal year ended December 27, 2025 was “a bit short of $2 billion”. This statement was not intended to provide a precise indication of actual revenue for the fiscal year ended December 27, 2025. It was only intended as a general statement on the approximate size of the business today in comparison to the Company’s estimated 8-year revenue pipeline, which was the subject of the presentation at the time of the statement. The Company will provide its actual results for the fiscal year ended December 27, 2025 at the time of its fourth quarter and full year earnings call.</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replay of the webcast is available at the Company’s website at </w:t>
      </w:r>
      <w:r>
        <w:rPr>
          <w:rFonts w:ascii="Times New Roman" w:cs="Times New Roman" w:eastAsia="Times New Roman" w:hAnsi="Times New Roman"/>
          <w:sz w:val="18"/>
          <w:szCs w:val="18"/>
          <w:u w:val="single" w:color="auto"/>
          <w:color w:val="auto"/>
        </w:rPr>
        <w:t>https://ir.mobileye.com/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Current Report on Form 8-K is being furnished and shall not be deemed “filed” for purposes of Section 18 of the Securities Exchange Act of 1934, as amended (the “Exchange Act”), and shall not be deemed incorporated by reference in any filing under the Securities Act of 1933, as amended, or the Exchange Act, except as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Moran Shemesh Rojansky</w:t>
            </w:r>
          </w:p>
        </w:tc>
      </w:tr>
      <w:tr>
        <w:trPr>
          <w:trHeight w:val="191"/>
        </w:trPr>
        <w:tc>
          <w:tcPr>
            <w:tcW w:w="580" w:type="dxa"/>
            <w:vAlign w:val="bottom"/>
          </w:tcPr>
          <w:p>
            <w:pPr>
              <w:spacing w:after="0"/>
              <w:rPr>
                <w:sz w:val="16"/>
                <w:szCs w:val="16"/>
                <w:color w:val="auto"/>
              </w:rPr>
            </w:pPr>
          </w:p>
        </w:tc>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Moran Shemesh Rojansky</w:t>
            </w:r>
          </w:p>
        </w:tc>
      </w:tr>
      <w:tr>
        <w:trPr>
          <w:trHeight w:val="234"/>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600"/>
      </w:cols>
      <w:pgMar w:left="320" w:top="900"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2026-01-07T15:29:08Z</dcterms:created>
  <dcterms:modified xsi:type="dcterms:W3CDTF">2026-01-07T15:29:08Z</dcterms:modified>
</cp:coreProperties>
</file>