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Financial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Investment Management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Investment Management (US)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12,465,414.00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12,465,414.00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12,465,414.00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999"/>
        <w:spacing w:after="0"/>
        <w:rPr>
          <w:sz w:val="20"/>
          <w:szCs w:val="20"/>
          <w:color w:val="auto"/>
        </w:rPr>
      </w:pPr>
      <w:r>
        <w:rPr>
          <w:rFonts w:ascii="Times New Roman" w:cs="Times New Roman" w:eastAsia="Times New Roman" w:hAnsi="Times New Roman"/>
          <w:sz w:val="22"/>
          <w:szCs w:val="22"/>
          <w:color w:val="auto"/>
        </w:rPr>
        <w:t>Har Hotzim, 1 Shlomo Mono HaLevi Street, Jersualem 9777015, Israel</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8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filing is made on behalf of Manulife Financial Corporation ("MFC") and MFC's indirect, wholly-owned subsidiaries, Manulife Investment Management (US) LLC ("MIM (US)") and Manulife Investment Management Limited ("MIML")</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jc w:val="both"/>
        <w:ind w:left="920" w:right="3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offices of MFC and MIML are located at 200 Bloor Street East, Toronto, Ontario, Canada, M4W 1E5. The principal business office of MIM (US) is located at 197 Clarendon Street, Boston, Massachusetts 02116.</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MFC and MIML are organized and exist under the laws of Canada. MIM (US) is organized and exists under the laws of the State of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60741F104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MIM (US) has beneficial ownership of 12,465,414 shares of Common Stock and MIML has beneficial ownership of 1,787 shares of Class A Common Stock. Through its parent-subsidiary relationship to MIM (US) and MIML, MFC may be deemed to have beneficial ownership of these same shares.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100,496,663 shares of Class A Common Stock outstanding as of April 15, 2025, according to the Form 10-Q filed by the issuer with the Securities and Exchange Commission on April 24, 2025, MIM (US) held 12,40% and MIML held 0.01%.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5 of the cover page pertaining to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6 of the cover page pertaining to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7 of the cover page pertaining to each reporting person.</w:t>
      </w:r>
    </w:p>
    <w:p>
      <w:pPr>
        <w:sectPr>
          <w:pgSz w:w="11900" w:h="16838" w:orient="portrait"/>
          <w:cols w:equalWidth="0" w:num="1">
            <w:col w:w="11060"/>
          </w:cols>
          <w:pgMar w:left="360" w:top="112" w:right="479" w:bottom="73"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to Item 8 of the cover page pertaining to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6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3 and 4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80"/>
          </w:cols>
          <w:pgMar w:left="320" w:top="112" w:right="339" w:bottom="0" w:gutter="0" w:footer="0" w:header="0"/>
        </w:sectPr>
      </w:pPr>
    </w:p>
    <w:p>
      <w:pPr>
        <w:ind w:left="980" w:right="2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foreign regulatory scheme applicable to MIML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Manulife Financial Corporation</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Graham Miller</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Graham Miller / Agent*</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08/06/2025</w:t>
      </w:r>
    </w:p>
    <w:p>
      <w:pPr>
        <w:spacing w:after="0" w:line="1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Manulife Investment Management Limited</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Warren Rudick</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Warren Rudick / General Counsel</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08/11/2025</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Manulife Investment Management (US) LLC</w:t>
      </w:r>
    </w:p>
    <w:p>
      <w:pPr>
        <w:spacing w:after="0" w:line="152"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M. Donahue</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Name/Title: Paul Donahue / Chief Compliance Officer</w:t>
      </w:r>
    </w:p>
    <w:p>
      <w:pPr>
        <w:spacing w:after="0" w:line="44"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3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*Signed pursuant to a Power of Attorney dated January 17, 2018 included as Exhibit A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13F- NT filed with the Securities and Exchange Commission by Manulife Financial Corporation on January 29, 2018. 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NOTE: Schedules filed in paper format shall include a signed original and five copies of the schedule, including all exhibits. See ss.240.13d-7 for other parties for whom copies are to be sent. Attention: Intentional misstatements or omissions of fact constitute Federal criminal violations (See 18 U.S.C. 1001)</w:t>
      </w:r>
    </w:p>
    <w:p>
      <w:pPr>
        <w:spacing w:after="0" w:line="7" w:lineRule="exact"/>
        <w:rPr>
          <w:sz w:val="20"/>
          <w:szCs w:val="20"/>
          <w:color w:val="auto"/>
        </w:rPr>
      </w:pPr>
    </w:p>
    <w:p>
      <w:pPr>
        <w:jc w:val="center"/>
        <w:ind w:right="72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240"/>
          </w:cols>
          <w:pgMar w:left="320" w:top="112" w:right="339" w:bottom="0" w:gutter="0" w:footer="0" w:header="0"/>
          <w:type w:val="continuous"/>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EXHIBIT A</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JOINT FILING AGREEMENT</w:t>
      </w:r>
    </w:p>
    <w:p>
      <w:pPr>
        <w:spacing w:after="0" w:line="3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Manulife Financial Corporation, Manulife Investment Management Limited and Manulife Investment Management (US) LLC agree that the Schedule 13GA to which this Agreement is attached, relating to the Class A Common Stock of Mobileye Global Inc. is filed on behalf of each of them.</w:t>
      </w:r>
    </w:p>
    <w:p>
      <w:pPr>
        <w:spacing w:after="0" w:line="155"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Manulife Financial Corporation</w:t>
      </w:r>
    </w:p>
    <w:p>
      <w:pPr>
        <w:spacing w:after="0" w:line="90"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Graham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Graham Miller /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52"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Manulife Investment Management Limited</w:t>
      </w:r>
    </w:p>
    <w:p>
      <w:pPr>
        <w:spacing w:after="0" w:line="9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August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Warren Rudick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Warren Rudick /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6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Manulife Investment Management (US) LLC</w:t>
      </w:r>
    </w:p>
    <w:p>
      <w:pPr>
        <w:spacing w:after="0" w:line="90"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August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Paul M.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Paul Donahue /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2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*Signed pursuant to a Power of Attorney dated January 17, 2018 included as Exhibit A to Schedule 13F- NT filed with the Securities and Exchange Commission by Manulife Financial Corporation on January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2025-08-13T11:46:37Z</dcterms:created>
  <dcterms:modified xsi:type="dcterms:W3CDTF">2025-08-13T11:46:37Z</dcterms:modified>
</cp:coreProperties>
</file>