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28, 2022 (October 25,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Mobileye Global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Charter)</w:t>
      </w:r>
    </w:p>
    <w:p>
      <w:pPr>
        <w:spacing w:after="0" w:line="205"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90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Delaware</w:t>
            </w:r>
          </w:p>
        </w:tc>
        <w:tc>
          <w:tcPr>
            <w:tcW w:w="41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001-41541</w:t>
            </w:r>
          </w:p>
        </w:tc>
        <w:tc>
          <w:tcPr>
            <w:tcW w:w="2340" w:type="dxa"/>
            <w:vAlign w:val="bottom"/>
          </w:tcPr>
          <w:p>
            <w:pPr>
              <w:jc w:val="center"/>
              <w:ind w:left="850"/>
              <w:spacing w:after="0"/>
              <w:rPr>
                <w:sz w:val="20"/>
                <w:szCs w:val="20"/>
                <w:color w:val="auto"/>
              </w:rPr>
            </w:pPr>
            <w:r>
              <w:rPr>
                <w:rFonts w:ascii="Arial" w:cs="Arial" w:eastAsia="Arial" w:hAnsi="Arial"/>
                <w:sz w:val="18"/>
                <w:szCs w:val="18"/>
                <w:b w:val="1"/>
                <w:bCs w:val="1"/>
                <w:color w:val="auto"/>
                <w:w w:val="91"/>
              </w:rPr>
              <w:t>88-0666433</w:t>
            </w:r>
          </w:p>
        </w:tc>
      </w:tr>
      <w:tr>
        <w:trPr>
          <w:trHeight w:val="216"/>
        </w:trPr>
        <w:tc>
          <w:tcPr>
            <w:tcW w:w="29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(State or Other Jurisdiction</w:t>
            </w:r>
          </w:p>
        </w:tc>
        <w:tc>
          <w:tcPr>
            <w:tcW w:w="41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2340" w:type="dxa"/>
            <w:vAlign w:val="bottom"/>
          </w:tcPr>
          <w:p>
            <w:pPr>
              <w:jc w:val="center"/>
              <w:ind w:left="8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90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of Incorporation)</w:t>
            </w:r>
          </w:p>
        </w:tc>
        <w:tc>
          <w:tcPr>
            <w:tcW w:w="41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2340" w:type="dxa"/>
            <w:vAlign w:val="bottom"/>
          </w:tcPr>
          <w:p>
            <w:pPr>
              <w:jc w:val="center"/>
              <w:ind w:left="8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00" w:type="dxa"/>
            <w:vAlign w:val="bottom"/>
          </w:tcPr>
          <w:p>
            <w:pPr>
              <w:spacing w:after="0"/>
              <w:rPr>
                <w:sz w:val="24"/>
                <w:szCs w:val="24"/>
                <w:color w:val="auto"/>
              </w:rPr>
            </w:pPr>
          </w:p>
        </w:tc>
        <w:tc>
          <w:tcPr>
            <w:tcW w:w="41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 Mobileye B.V.</w:t>
            </w:r>
          </w:p>
        </w:tc>
        <w:tc>
          <w:tcPr>
            <w:tcW w:w="234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4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Har Hotzvim, 13 Hartom Street</w:t>
            </w:r>
          </w:p>
        </w:tc>
        <w:tc>
          <w:tcPr>
            <w:tcW w:w="234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4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P.O. Box 45157</w:t>
            </w:r>
          </w:p>
        </w:tc>
        <w:tc>
          <w:tcPr>
            <w:tcW w:w="234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4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Jerusalem 9777513, Israel</w:t>
            </w:r>
          </w:p>
        </w:tc>
        <w:tc>
          <w:tcPr>
            <w:tcW w:w="234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4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+972-2-541-7333</w:t>
            </w:r>
          </w:p>
        </w:tc>
        <w:tc>
          <w:tcPr>
            <w:tcW w:w="234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310" w:type="dxa"/>
        <w:tblCellMar>
          <w:top w:w="0" w:type="dxa"/>
          <w:left w:w="0" w:type="dxa"/>
          <w:bottom w:w="0" w:type="dxa"/>
          <w:right w:w="0" w:type="dxa"/>
        </w:tblCellMar>
      </w:tblPr>
      <w:tr>
        <w:trPr>
          <w:trHeight w:val="23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$0.01 par value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MBLY</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October 28, 2022, concurrently with the closing of the IPO (as defined below), Mobileye Global Inc., a Delaware corporation (the “Company”), closed the sale of 4,761,905 shares of its Class A common stock, par value $0.01 per share (“Class A Common Stock”), to General Atlantic (ME), L.P., a Delaware limited partnership, at the IPO Per Share Price (as defined below), pursuant to a private placement exempt from registration under Section 4(a)(2) of the Securities Act of 1933, as amended (the “Concurrent Private Placement”). The gross proceeds to the Company from the Concurrent Private Placement were $100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description in Item 5.03 below of the Amended and Restated Certificate of Incorporation and Amended and Restated Bylaws of Mobileye Global Inc.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Certificate of Incorporation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October 25, 2022, the Company amended and restated its Certificate of Incorporation (the “Amended and Restated Certificate of Incorporation”). A description of the Amended and Restated Certificate of Incorporation is set forth in the section of the Company’s prospectus, dated October 25, 2022 (the “Prospectus”), entitled “Description of Capital Stock.” The Amended and Restated Certificate of Incorporation is the same as previously described in the Company’s Registration Statement on Form S-1 (File No. 333- 267685) (the “Registration Statement”) and is in such form as was previously filed as an exhibit to the Registration Statement. The description of the Amended and Restated Certificate of Incorporation is qualified in its entirety by reference to the full text of the Amended and Restated Certificate of Incorporation filed herewith as Exhibit 3.1 and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Bylaws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October 25, 2022, the Company adopted amended and restated bylaws (the “Amended and Restated Bylaws”). A description of the Amended and Restated Bylaws is set forth in the section of the Prospectus entitled “Description of Capital Stock.” The Amended and Restated Bylaws are the same as those previously described in the Registration Statement and are in such form as was previously filed as an exhibit to the Registration Statement. The description of the Amended and Restated Bylaws is qualified in its entirety by reference to the full text of the Amended and Restated Bylaws filed herewith as Exhibit 3.2 and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October 28, 2022, the Company closed its initial public offering (the “IPO”) of 41,000,000 shares of Class A Common Stock at an initial public offering price of $21.00 per share (the “IPO Price”), pursuant to the Registration Statement and the Company's Registration Statement on Form S-1 MEF (File No. 268009). The Company granted the underwriters in the IPO an option for thirty days from the date of the Prospectus to purchase up to 6,150,000 additional shares of Class A Common Stock at the IPO Price Per Share (the “Option”). The net proceeds from the offering to the Company, after deducting underwriting discounts and commissions and estimated offering expenses payable by the Company, were approximately $0.8 billion, excluding any exercise of the Option. A significant portion of the net proceeds from this offering will be used for repayment on a note owed by the Company to the Company’s parent company, Intel Corporation, and the Company intends to use the remaining net proceeds for working capital and general corporate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040" w:type="dxa"/>
            <w:vAlign w:val="bottom"/>
          </w:tcPr>
          <w:p>
            <w:pPr>
              <w:spacing w:after="0"/>
              <w:rPr>
                <w:sz w:val="19"/>
                <w:szCs w:val="19"/>
                <w:color w:val="auto"/>
              </w:rPr>
            </w:pPr>
          </w:p>
        </w:tc>
        <w:tc>
          <w:tcPr>
            <w:tcW w:w="5900" w:type="dxa"/>
            <w:vAlign w:val="bottom"/>
            <w:gridSpan w:val="2"/>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4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1060" w:type="dxa"/>
            <w:vAlign w:val="bottom"/>
          </w:tcPr>
          <w:p>
            <w:pPr>
              <w:spacing w:after="0"/>
              <w:rPr>
                <w:sz w:val="16"/>
                <w:szCs w:val="16"/>
                <w:color w:val="auto"/>
              </w:rPr>
            </w:pPr>
          </w:p>
        </w:tc>
        <w:tc>
          <w:tcPr>
            <w:tcW w:w="548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92"/>
              </w:rPr>
              <w:t>Amended and Restated Certificate of Incorporation of Mobileye Global Inc.</w:t>
            </w:r>
          </w:p>
        </w:tc>
        <w:tc>
          <w:tcPr>
            <w:tcW w:w="4460" w:type="dxa"/>
            <w:vAlign w:val="bottom"/>
          </w:tcPr>
          <w:p>
            <w:pPr>
              <w:spacing w:after="0"/>
              <w:rPr>
                <w:sz w:val="16"/>
                <w:szCs w:val="16"/>
                <w:color w:val="auto"/>
              </w:rPr>
            </w:pPr>
          </w:p>
        </w:tc>
      </w:tr>
      <w:tr>
        <w:trPr>
          <w:trHeight w:val="196"/>
        </w:trPr>
        <w:tc>
          <w:tcPr>
            <w:tcW w:w="240" w:type="dxa"/>
            <w:vAlign w:val="bottom"/>
          </w:tcPr>
          <w:p>
            <w:pPr>
              <w:spacing w:after="0" w:line="196" w:lineRule="exact"/>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p>
        </w:tc>
        <w:tc>
          <w:tcPr>
            <w:tcW w:w="1060" w:type="dxa"/>
            <w:vAlign w:val="bottom"/>
          </w:tcPr>
          <w:p>
            <w:pPr>
              <w:spacing w:after="0"/>
              <w:rPr>
                <w:sz w:val="17"/>
                <w:szCs w:val="17"/>
                <w:color w:val="auto"/>
              </w:rPr>
            </w:pPr>
          </w:p>
        </w:tc>
        <w:tc>
          <w:tcPr>
            <w:tcW w:w="9940" w:type="dxa"/>
            <w:vAlign w:val="bottom"/>
            <w:gridSpan w:val="3"/>
          </w:tcPr>
          <w:p>
            <w:pPr>
              <w:spacing w:after="0" w:line="196" w:lineRule="exact"/>
              <w:rPr>
                <w:sz w:val="20"/>
                <w:szCs w:val="20"/>
                <w:color w:val="auto"/>
              </w:rPr>
            </w:pPr>
            <w:r>
              <w:rPr>
                <w:rFonts w:ascii="Arial" w:cs="Arial" w:eastAsia="Arial" w:hAnsi="Arial"/>
                <w:sz w:val="18"/>
                <w:szCs w:val="18"/>
                <w:color w:val="0000EE"/>
              </w:rPr>
              <w:t>Amended and Restated Bylaws of Mobileye Global Inc.</w:t>
            </w:r>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36"/>
        </w:trPr>
        <w:tc>
          <w:tcPr>
            <w:tcW w:w="1300" w:type="dxa"/>
            <w:vAlign w:val="bottom"/>
            <w:gridSpan w:val="2"/>
          </w:tcPr>
          <w:p>
            <w:pPr>
              <w:spacing w:after="0"/>
              <w:rPr>
                <w:sz w:val="20"/>
                <w:szCs w:val="20"/>
                <w:color w:val="auto"/>
              </w:rPr>
            </w:pPr>
            <w:r>
              <w:rPr>
                <w:rFonts w:ascii="Arial" w:cs="Arial" w:eastAsia="Arial" w:hAnsi="Arial"/>
                <w:sz w:val="18"/>
                <w:szCs w:val="18"/>
                <w:color w:val="auto"/>
              </w:rPr>
              <w:t>104</w:t>
            </w:r>
          </w:p>
        </w:tc>
        <w:tc>
          <w:tcPr>
            <w:tcW w:w="99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2"/>
        </w:trPr>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MOBILEYE GLOBAL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Anat Heller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b w:val="1"/>
          <w:bCs w:val="1"/>
          <w:color w:val="auto"/>
        </w:rPr>
        <w:t>Exhibit 3.1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43"/>
          <w:szCs w:val="43"/>
          <w:u w:val="single" w:color="auto"/>
          <w:color w:val="auto"/>
        </w:rPr>
        <w:t>Delaware</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First State</w:t>
      </w:r>
    </w:p>
    <w:p>
      <w:pPr>
        <w:spacing w:after="0" w:line="6" w:lineRule="exact"/>
        <w:rPr>
          <w:sz w:val="20"/>
          <w:szCs w:val="20"/>
          <w:color w:val="auto"/>
        </w:rPr>
      </w:pPr>
    </w:p>
    <w:p>
      <w:pPr>
        <w:ind w:left="10760"/>
        <w:spacing w:after="0"/>
        <w:rPr>
          <w:sz w:val="20"/>
          <w:szCs w:val="20"/>
          <w:color w:val="auto"/>
        </w:rPr>
      </w:pPr>
      <w:r>
        <w:rPr>
          <w:rFonts w:ascii="Arial" w:cs="Arial" w:eastAsia="Arial" w:hAnsi="Arial"/>
          <w:sz w:val="15"/>
          <w:szCs w:val="15"/>
          <w:color w:val="auto"/>
        </w:rPr>
        <w:t>Page 1</w:t>
      </w:r>
    </w:p>
    <w:p>
      <w:pPr>
        <w:spacing w:after="0" w:line="24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 JEFFREY W. BULLOCK, SECRETARY OF STATE OF THE STATE OF DELAWARE, DO HEREBY CERTIFY THE ATTACHED IS A TRUE AND CORRECT COPY OF THE RESTATED CERTIFICATE OF “MOBILEYE GLOBAL INC.”, FILED IN THIS OFFICE ON THE TWENTY-FIFTH DAY OF OCTOBER, A.D. 2022, AT 6 O`CLOCK P.M.</w:t>
      </w:r>
    </w:p>
    <w:p>
      <w:pPr>
        <w:spacing w:after="0" w:line="1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Jeffrey W.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857250" cy="831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6551070 8100</w:t>
            </w:r>
          </w:p>
        </w:tc>
        <w:tc>
          <w:tcPr>
            <w:tcW w:w="3980" w:type="dxa"/>
            <w:vAlign w:val="bottom"/>
          </w:tcPr>
          <w:p>
            <w:pPr>
              <w:spacing w:after="0"/>
              <w:rPr>
                <w:sz w:val="18"/>
                <w:szCs w:val="18"/>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SR# 20223859209</w:t>
            </w:r>
          </w:p>
        </w:tc>
        <w:tc>
          <w:tcPr>
            <w:tcW w:w="3980" w:type="dxa"/>
            <w:vAlign w:val="bottom"/>
          </w:tcPr>
          <w:p>
            <w:pPr>
              <w:jc w:val="right"/>
              <w:spacing w:after="0"/>
              <w:rPr>
                <w:sz w:val="20"/>
                <w:szCs w:val="20"/>
                <w:color w:val="auto"/>
              </w:rPr>
            </w:pPr>
            <w:r>
              <w:rPr>
                <w:rFonts w:ascii="Arial" w:cs="Arial" w:eastAsia="Arial" w:hAnsi="Arial"/>
                <w:sz w:val="18"/>
                <w:szCs w:val="18"/>
                <w:color w:val="auto"/>
              </w:rPr>
              <w:t>Authentication: 204702145</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You may verify this certificate online at corp.delaware.gov/authver.shtml</w:t>
            </w:r>
          </w:p>
        </w:tc>
        <w:tc>
          <w:tcPr>
            <w:tcW w:w="3980" w:type="dxa"/>
            <w:vAlign w:val="bottom"/>
          </w:tcPr>
          <w:p>
            <w:pPr>
              <w:jc w:val="right"/>
              <w:spacing w:after="0"/>
              <w:rPr>
                <w:sz w:val="20"/>
                <w:szCs w:val="20"/>
                <w:color w:val="auto"/>
              </w:rPr>
            </w:pPr>
            <w:r>
              <w:rPr>
                <w:rFonts w:ascii="Arial" w:cs="Arial" w:eastAsia="Arial" w:hAnsi="Arial"/>
                <w:sz w:val="18"/>
                <w:szCs w:val="18"/>
                <w:color w:val="auto"/>
              </w:rPr>
              <w:t>Date: 10-25-22</w:t>
            </w:r>
          </w:p>
        </w:tc>
      </w:tr>
      <w:tr>
        <w:trPr>
          <w:trHeight w:val="675"/>
        </w:trPr>
        <w:tc>
          <w:tcPr>
            <w:tcW w:w="72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4" w:name="page5"/>
    <w:bookmarkEnd w:id="4"/>
    <w:p>
      <w:pPr>
        <w:jc w:val="center"/>
        <w:ind w:right="7860"/>
        <w:spacing w:after="0"/>
        <w:rPr>
          <w:sz w:val="20"/>
          <w:szCs w:val="20"/>
          <w:color w:val="auto"/>
        </w:rPr>
      </w:pPr>
      <w:r>
        <w:rPr>
          <w:rFonts w:ascii="Arial" w:cs="Arial" w:eastAsia="Arial" w:hAnsi="Arial"/>
          <w:sz w:val="18"/>
          <w:szCs w:val="18"/>
          <w:color w:val="auto"/>
        </w:rPr>
        <w:t>State of Delaware</w:t>
      </w:r>
    </w:p>
    <w:p>
      <w:pPr>
        <w:spacing w:after="0" w:line="36" w:lineRule="exact"/>
        <w:rPr>
          <w:sz w:val="20"/>
          <w:szCs w:val="20"/>
          <w:color w:val="auto"/>
        </w:rPr>
      </w:pPr>
    </w:p>
    <w:p>
      <w:pPr>
        <w:jc w:val="center"/>
        <w:ind w:right="7860"/>
        <w:spacing w:after="0"/>
        <w:rPr>
          <w:sz w:val="20"/>
          <w:szCs w:val="20"/>
          <w:color w:val="auto"/>
        </w:rPr>
      </w:pPr>
      <w:r>
        <w:rPr>
          <w:rFonts w:ascii="Arial" w:cs="Arial" w:eastAsia="Arial" w:hAnsi="Arial"/>
          <w:sz w:val="18"/>
          <w:szCs w:val="18"/>
          <w:color w:val="auto"/>
        </w:rPr>
        <w:t>Secretary of State</w:t>
      </w:r>
    </w:p>
    <w:p>
      <w:pPr>
        <w:spacing w:after="0" w:line="36" w:lineRule="exact"/>
        <w:rPr>
          <w:sz w:val="20"/>
          <w:szCs w:val="20"/>
          <w:color w:val="auto"/>
        </w:rPr>
      </w:pPr>
    </w:p>
    <w:p>
      <w:pPr>
        <w:jc w:val="center"/>
        <w:ind w:right="7860"/>
        <w:spacing w:after="0"/>
        <w:rPr>
          <w:sz w:val="20"/>
          <w:szCs w:val="20"/>
          <w:color w:val="auto"/>
        </w:rPr>
      </w:pPr>
      <w:r>
        <w:rPr>
          <w:rFonts w:ascii="Arial" w:cs="Arial" w:eastAsia="Arial" w:hAnsi="Arial"/>
          <w:sz w:val="18"/>
          <w:szCs w:val="18"/>
          <w:color w:val="auto"/>
        </w:rPr>
        <w:t>Division of Corporations</w:t>
      </w:r>
    </w:p>
    <w:p>
      <w:pPr>
        <w:spacing w:after="0" w:line="36" w:lineRule="exact"/>
        <w:rPr>
          <w:sz w:val="20"/>
          <w:szCs w:val="20"/>
          <w:color w:val="auto"/>
        </w:rPr>
      </w:pPr>
    </w:p>
    <w:p>
      <w:pPr>
        <w:jc w:val="center"/>
        <w:ind w:right="7860"/>
        <w:spacing w:after="0"/>
        <w:rPr>
          <w:sz w:val="20"/>
          <w:szCs w:val="20"/>
          <w:color w:val="auto"/>
        </w:rPr>
      </w:pPr>
      <w:r>
        <w:rPr>
          <w:rFonts w:ascii="Arial" w:cs="Arial" w:eastAsia="Arial" w:hAnsi="Arial"/>
          <w:sz w:val="18"/>
          <w:szCs w:val="18"/>
          <w:color w:val="auto"/>
        </w:rPr>
        <w:t>Delivered 06:00 PM 10/25/2022</w:t>
      </w:r>
    </w:p>
    <w:p>
      <w:pPr>
        <w:spacing w:after="0" w:line="36" w:lineRule="exact"/>
        <w:rPr>
          <w:sz w:val="20"/>
          <w:szCs w:val="20"/>
          <w:color w:val="auto"/>
        </w:rPr>
      </w:pPr>
    </w:p>
    <w:p>
      <w:pPr>
        <w:jc w:val="center"/>
        <w:ind w:right="7860"/>
        <w:spacing w:after="0"/>
        <w:rPr>
          <w:sz w:val="20"/>
          <w:szCs w:val="20"/>
          <w:color w:val="auto"/>
        </w:rPr>
      </w:pPr>
      <w:r>
        <w:rPr>
          <w:rFonts w:ascii="Arial" w:cs="Arial" w:eastAsia="Arial" w:hAnsi="Arial"/>
          <w:sz w:val="18"/>
          <w:szCs w:val="18"/>
          <w:color w:val="auto"/>
        </w:rPr>
        <w:t>FILED 06:00 PM 10/25/2022</w:t>
      </w:r>
    </w:p>
    <w:p>
      <w:pPr>
        <w:spacing w:after="0" w:line="36" w:lineRule="exact"/>
        <w:rPr>
          <w:sz w:val="20"/>
          <w:szCs w:val="20"/>
          <w:color w:val="auto"/>
        </w:rPr>
      </w:pPr>
    </w:p>
    <w:p>
      <w:pPr>
        <w:jc w:val="center"/>
        <w:ind w:right="7860"/>
        <w:spacing w:after="0"/>
        <w:rPr>
          <w:sz w:val="20"/>
          <w:szCs w:val="20"/>
          <w:color w:val="auto"/>
        </w:rPr>
      </w:pPr>
      <w:r>
        <w:rPr>
          <w:rFonts w:ascii="Arial" w:cs="Arial" w:eastAsia="Arial" w:hAnsi="Arial"/>
          <w:sz w:val="18"/>
          <w:szCs w:val="18"/>
          <w:color w:val="auto"/>
        </w:rPr>
        <w:t>SR 20223859209 - File Number 6551070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Mobileye Global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of the Corporation is Mobileye Global Inc.</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Corporation was originally incorporated pursuant to the General Corporation Law of the State of Delaware (as amended from time to time,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under the name Mobileye Group Inc. and the original Certificate of Incorporation of the Corporation was filed with the Secretary of State of the State of Delaware on January 21, 2022, and was amended by the Certificates of Amendment filed with the Secretary of State of the State of Delaware on February 23, 2022 and April 22, 2022 (as so amended, the “</w:t>
      </w:r>
      <w:r>
        <w:rPr>
          <w:rFonts w:ascii="Arial" w:cs="Arial" w:eastAsia="Arial" w:hAnsi="Arial"/>
          <w:sz w:val="16"/>
          <w:szCs w:val="16"/>
          <w:b w:val="1"/>
          <w:bCs w:val="1"/>
          <w:i w:val="1"/>
          <w:iCs w:val="1"/>
          <w:color w:val="auto"/>
        </w:rPr>
        <w:t>Previous Certificate of Incorporation</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(including any Certificate of Designation (as defined below) and as the same may be amended and/or restated from time to time, this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was duly adopted by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in accordance with Sections 242 and 245 of the DGCL and the sole stockholder of the Corporation adopted this Certificate of Incorporation by written consent in accordance with Section 228 of the DGCL.</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This Certificate of Incorporation restates, integrates and amends the provisions of the Previous Certificate of Incorporation. Certain capitalized terms used in this Certificate of Incorporation are defined in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herein.</w:t>
      </w:r>
    </w:p>
    <w:p>
      <w:pPr>
        <w:spacing w:after="0" w:line="170"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Upon the filing of this Certificate of Incorporation with the Secretary of State of the State of Delaware in accordance with the DGCL, all of the shares of capital stock of the Corporation issued and outstanding prior to the filing of this Certificate of Incorporation, consisting of 100 shares of common stock of the Corporation, par value $0.01 per share (“</w:t>
      </w:r>
      <w:r>
        <w:rPr>
          <w:rFonts w:ascii="Arial" w:cs="Arial" w:eastAsia="Arial" w:hAnsi="Arial"/>
          <w:sz w:val="17"/>
          <w:szCs w:val="17"/>
          <w:b w:val="1"/>
          <w:bCs w:val="1"/>
          <w:i w:val="1"/>
          <w:iCs w:val="1"/>
          <w:color w:val="auto"/>
        </w:rPr>
        <w:t>Old Common Stock</w:t>
      </w:r>
      <w:r>
        <w:rPr>
          <w:rFonts w:ascii="Arial" w:cs="Arial" w:eastAsia="Arial" w:hAnsi="Arial"/>
          <w:sz w:val="17"/>
          <w:szCs w:val="17"/>
          <w:color w:val="auto"/>
        </w:rPr>
        <w:t>”), all of which are owned beneficially by Intel, shall be reclassified and changed into 100 shares of validly issued, fully paid and nonassessable Class B Common Stock (as defined below) authorized by subparagraph (A) of Article FOURTH of this Restated Certificate of Incorporation without any action by the holder thereof.</w:t>
      </w:r>
    </w:p>
    <w:p>
      <w:pPr>
        <w:spacing w:after="0" w:line="176"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text of the Previous Certificate of Incorporation is hereby amended and restated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251 Little Falls Drive, Wilmington, County of New Castle, 19808. The name of its registered agent at that address is Corporation Service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 of the Corporation shall be to engage in any lawful act or activity for which corporations may be organized and incorporated under the DGCL, subject to the limitations and other restrictions contained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The Corporation shall be authorized to issue 5,530,000,000 shares of capital stock, of which (i) 4,000,000,000 shares shall be shares of Class A Common Stock, par value $0.01 per share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(ii) 1,500,000,000 shares shall be shares of Class B Common Stock, par value $0.01 per share (the “</w:t>
      </w:r>
      <w:r>
        <w:rPr>
          <w:rFonts w:ascii="Arial" w:cs="Arial" w:eastAsia="Arial" w:hAnsi="Arial"/>
          <w:sz w:val="17"/>
          <w:szCs w:val="17"/>
          <w:b w:val="1"/>
          <w:bCs w:val="1"/>
          <w:i w:val="1"/>
          <w:iCs w:val="1"/>
          <w:color w:val="auto"/>
        </w:rPr>
        <w:t>Class B Common Stock</w:t>
      </w:r>
      <w:r>
        <w:rPr>
          <w:rFonts w:ascii="Arial" w:cs="Arial" w:eastAsia="Arial" w:hAnsi="Arial"/>
          <w:sz w:val="17"/>
          <w:szCs w:val="17"/>
          <w:color w:val="auto"/>
        </w:rPr>
        <w:t>” and, together with the Class A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(iii) 30,000,000 shares shall be shares of Preferred Stock, par value $0.01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xml:space="preserve">”). Subject to the approval rights of the holders of the Class B Common Stock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Certificate of Incorporation, the number of authorized shares of Class A Common Stock, Class B Common Stock or Preferred Stock may be increased or decreased (but not below the number of shares thereof then outstanding and, in the case of Class A Common Stock, a sufficient number of shares of Class A Common Stock that may be issuable upon the conversion of all outstanding shares of Class B Common Stock) by the affirmative vote of the holders of a majority in voting power of the stock of the Corporation entitled to vote thereon irrespective of the provisions of Section 242(b)(2) of the DGCL (or any successor provision thereto), and no vote of the holders of the Class A Common Stock, the Class B Common Stock or the Preferred Stock voting separately as a class shall be required therefor, unless a vote of any such holders is required pursuant to the terms of any Certificate of Designation.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73" w:lineRule="auto"/>
        <w:rPr>
          <w:sz w:val="20"/>
          <w:szCs w:val="20"/>
          <w:color w:val="auto"/>
        </w:rPr>
      </w:pPr>
      <w:r>
        <w:rPr>
          <w:rFonts w:ascii="Arial" w:cs="Arial" w:eastAsia="Arial" w:hAnsi="Arial"/>
          <w:sz w:val="17"/>
          <w:szCs w:val="17"/>
          <w:color w:val="auto"/>
        </w:rPr>
        <w:t>B.            Shares of Preferred Stock may be issued from time to time in one or more series. The Board is hereby authorized by resolution or resolutions to provide for series of Preferred Stock to be issued and, by filing a certificate pursuant to the DGCL (a “</w:t>
      </w:r>
      <w:r>
        <w:rPr>
          <w:rFonts w:ascii="Arial" w:cs="Arial" w:eastAsia="Arial" w:hAnsi="Arial"/>
          <w:sz w:val="17"/>
          <w:szCs w:val="17"/>
          <w:b w:val="1"/>
          <w:bCs w:val="1"/>
          <w:i w:val="1"/>
          <w:iCs w:val="1"/>
          <w:color w:val="auto"/>
        </w:rPr>
        <w:t>Certificate of Designation</w:t>
      </w:r>
      <w:r>
        <w:rPr>
          <w:rFonts w:ascii="Arial" w:cs="Arial" w:eastAsia="Arial" w:hAnsi="Arial"/>
          <w:sz w:val="17"/>
          <w:szCs w:val="17"/>
          <w:color w:val="auto"/>
        </w:rPr>
        <w:t>”), to fix the number of shares constituting such series, and to increase or decrease the number of shares of any such series (but not below the number of shares thereof then outstanding), and with respect to each such series, to fix the voting powers, if any, designations, preferences and the relative, participating, optional or other special rights, if any, and any qualifications, limitations or restrictions thereof, of any such series. The authority of the Board with respect to each series of Preferred Stock shall include, but not be limited to, determination of the following:</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the designation of the series, which may be by distinguishing number, letter or title;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(ii)           the number of shares of the series, which number the Board may thereafter increase or decrease (but not below the number of shares thereof then outstanding);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(iii)          whether dividends, if any, shall be cumulative or noncumulative and the dividend rate of the series;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(iv)          dates at which dividends, if any, shall be payable;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           the redemption rights and price or prices, if any, for shares of the series;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          the terms and amount of any sinking fund provided for the purchase or redemption of shares of the series;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(vii)         the amounts payable on, and the preferences, if any, of shares of the series in the event of any voluntary or involuntary liquidation, dissolution or winding up of the affairs of the Corporation;</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(viii)        whether the shares of the series shall be convertible into shares of any other class or series, or any other security, of the Corporation or any other entity, and, if so, the specification of such other class or series of such other security, the conversion price or prices or rate or rates, any adjustments thereof, the date or dates at which such shares shall be convertible and all other terms and conditions upon which such conversion may be made;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(ix)          restrictions on the issuance of shares of the same series or of any other class or series;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the voting powers, if any, of the holders of shares of the series;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(xi)          such other powers, privileges, preferences and rights, and qualifications, limitations and restrictions thereof, as the Board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The voting powers, preferences and relative participating, optional or other special rights, and the qualifications, limitations and restrictions of the Class A Common Stock and Class B Common Stock are as follows: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(i)            Except as otherwise set forth below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Article VII</w:t>
      </w:r>
      <w:r>
        <w:rPr>
          <w:rFonts w:ascii="Arial" w:cs="Arial" w:eastAsia="Arial" w:hAnsi="Arial"/>
          <w:sz w:val="18"/>
          <w:szCs w:val="18"/>
          <w:color w:val="auto"/>
        </w:rPr>
        <w:t>, the voting powers, preferences and relative participating, optional or other special rights, and the qualifications, limitations or restrictions thereof, of the Class A Common Stock and Class B Common Stock shall be identical in all respects.</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(ii)           Subject to the other provisions of this Certificate of Incorporation, including the provisions of any Certificate of Designation, the holders of Common Stock shall be entitled to receive such dividends and other distributions, in cash, stock of any entity or property of the Corporation, when and as may be declared thereon by the Board from time to time out of assets or funds of the Corporation legally available therefor, and shall share equally on a per share basis in all such dividends and other distributions. No such dividend or distribution that is payable in shares of Common Stock, including distributions pursuant to stock splits or divisions of Common Stock, or dividends payable in rights to acquire, or securities convertible or exercisable or exchangeable for, shares of Class A Common Stock or Class B Common Stock may be made unless: (a) shares of Class A Common Stock are paid or distributed only in respect of Class A Common Stock, (b) shares of Class B Common Stock are paid or distributed only in respect of Class B Common Stock, (c) no such dividend or distribution is made in respect of the Class A Common Stock unless simultaneously also made in respect of the Class B Common Stock, (d) no such dividend or distribution is made in respect of the Class B Common Stock unless simultaneously also made in respect of the Class A Common Stock and (e) the number of shares of Class A Common Stock paid or distributed in respect of each outstanding share of Class A Common Stock is equal to the number of shares of Class B Common Stock paid or distributed in respect of each outstanding share of Class B Common Stock.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1296"/>
        <w:spacing w:after="0" w:line="259" w:lineRule="auto"/>
        <w:rPr>
          <w:sz w:val="20"/>
          <w:szCs w:val="20"/>
          <w:color w:val="auto"/>
        </w:rPr>
      </w:pPr>
      <w:r>
        <w:rPr>
          <w:rFonts w:ascii="Arial" w:cs="Arial" w:eastAsia="Arial" w:hAnsi="Arial"/>
          <w:sz w:val="18"/>
          <w:szCs w:val="18"/>
          <w:color w:val="auto"/>
        </w:rPr>
        <w:t>(iii)          (a)           Except as may be otherwise required by law or by this Certificate of Incorporation and subject to any voting rights that may be granted to holders of Preferred Stock pursuant to the provisions of a Certificate of Designation, all rights to vote and all voting power of the capital stock of the Corporation, whether for the election of directors or any other matter submitted to a vote of stockholders of the Corporation, shall be vested exclusively in the holders of Common Stock.</w:t>
      </w:r>
    </w:p>
    <w:p>
      <w:pPr>
        <w:spacing w:after="0" w:line="187" w:lineRule="exact"/>
        <w:rPr>
          <w:sz w:val="20"/>
          <w:szCs w:val="20"/>
          <w:color w:val="auto"/>
        </w:rPr>
      </w:pPr>
    </w:p>
    <w:p>
      <w:pPr>
        <w:jc w:val="both"/>
        <w:ind w:left="660" w:right="20" w:firstLine="1296"/>
        <w:spacing w:after="0" w:line="286" w:lineRule="auto"/>
        <w:rPr>
          <w:sz w:val="20"/>
          <w:szCs w:val="20"/>
          <w:color w:val="auto"/>
        </w:rPr>
      </w:pPr>
      <w:r>
        <w:rPr>
          <w:rFonts w:ascii="Arial" w:cs="Arial" w:eastAsia="Arial" w:hAnsi="Arial"/>
          <w:sz w:val="16"/>
          <w:szCs w:val="16"/>
          <w:color w:val="auto"/>
        </w:rPr>
        <w:t>(b)          Except as may be otherwise required by law or by this Certificate of Incorporation, at every meeting of the stockholders of the Corporation, in connection with the election of directors and on all other matters submitted to a vote of the stockholders of the Corporation generally, (A) every holder of record of Class A Common Stock shall be entitled to one (1) vote for each share of Class A Common Stock held in such holder’s name on the stock ledger of the Corporation, and (B) every holder of record of Class B Common Stock shall be entitled to ten</w:t>
      </w:r>
    </w:p>
    <w:p>
      <w:pPr>
        <w:spacing w:after="0" w:line="1" w:lineRule="exact"/>
        <w:rPr>
          <w:sz w:val="20"/>
          <w:szCs w:val="20"/>
          <w:color w:val="auto"/>
        </w:rPr>
      </w:pPr>
    </w:p>
    <w:p>
      <w:pPr>
        <w:jc w:val="both"/>
        <w:ind w:left="660" w:hanging="4"/>
        <w:spacing w:after="0" w:line="286" w:lineRule="auto"/>
        <w:tabs>
          <w:tab w:leader="none" w:pos="1033"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votes for each share of Class B Common Stock held in such holder’s name on the stock ledger of the Corporation. Except as may be otherwise required by law or by this Certificate of Incorporation, the holders of Class A Common Stock and the holders of Class B Common Stock shall vote together as a single class in connection with the election of directors, all other matters submitted to a vote of the stockholders of the Corporation generally and any other matters on which the holders of the Class A Common Stock and Class B Common Stock are required or permitted to vote, and the votes cast in respect of the Class A Common Stock and the Class B Common Stock shall be counted and totaled together. Notwithstanding the foregoing, but subject to any applicable approval rights of the holders of the Class B Common Stock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Certificate of Incorporation and except as otherwise required by applicable law, holders of the Class A Common Stock and Class B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series of Preferred Stock, to vote thereon pursuant to this Certificate of Incorporation or applicable law.</w:t>
      </w:r>
    </w:p>
    <w:p>
      <w:pPr>
        <w:spacing w:after="0" w:line="169"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(c)           Every reference in this Certificate of Incorporation or the Bylaws (as defined below) to a majority or other proportion of shares, or a majority or other proportion of the votes of shares, of Common Stock, Class A Common Stock, or Class B Common Stock shall refer to such majority or other proportion of the votes to which such shares of Common Stock, Class A Common Stock or Class B Common Stock entitle their holders to cast as provided in this Certificate of Incorporation.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1296"/>
        <w:spacing w:after="0" w:line="279" w:lineRule="auto"/>
        <w:rPr>
          <w:sz w:val="20"/>
          <w:szCs w:val="20"/>
          <w:color w:val="auto"/>
        </w:rPr>
      </w:pPr>
      <w:r>
        <w:rPr>
          <w:rFonts w:ascii="Arial" w:cs="Arial" w:eastAsia="Arial" w:hAnsi="Arial"/>
          <w:sz w:val="17"/>
          <w:szCs w:val="17"/>
          <w:color w:val="auto"/>
        </w:rPr>
        <w:t>(iv)          In the event of any dissolution, liquidation or winding up of the affairs of the Corporation, whether voluntary or involuntary, after payment in full of the amounts required to be paid to the holders of Preferred Stock pursuant to the provisions of a Certificate of Designation, the remaining assets and funds of the Corporation shall be distributed pro rata to the holders of Common Stock, and the holders of Class A Common Stock and the holders of Class B Common Stock shall be entitled to receive the same amount per share in respect thereof.</w:t>
      </w:r>
    </w:p>
    <w:p>
      <w:pPr>
        <w:spacing w:after="0" w:line="17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(v)           In connection with any reorganization of the Corporation, any consolidation of the Corporation with one or more other entities or any merger of the Corporation with or into another entity, the holders of each share of Class A Common Stock and Class B Common Stock shall be entitled to receive the same per share consideration as the per share consideration, if any, received by the holders of each share of such other class of Common Stock, and any securities issued to the holders of shares of Class A Common Stock and Class B Common Stock as consideration in such transaction may entitle the holders thereof to voting powers in the same ratio as applies between the shares of Class A Common Stock and Class B Common Stock. In the event that the holders of Class A Common Stock or of Class B Common Stock are granted rights to elect to receive one of two or more alternative forms of consideration in connection with such merger or consolidation, the foregoing provision shall be deemed satisfied if holders of Class A Common Stock and holders of Class B Common Stock are granted substantially identical election rights.</w:t>
      </w:r>
    </w:p>
    <w:p>
      <w:pPr>
        <w:spacing w:after="0" w:line="178"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(vi)          (a)           The holders of Class A Common Stock shall not be entitled to convert any share of Class A Common Stock into any other security of the Corporation or any other property. Prior to the date of a Distribution, each holder of Class B Common Stock shall be entitled to convert at such holder’s option, at any time and from time to time, any share of Class B Common Stock into one (1) fully paid and non-assessable share of Class A Common Stock.</w:t>
      </w:r>
    </w:p>
    <w:p>
      <w:pPr>
        <w:spacing w:after="0" w:line="187"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(b)           Prior to the date of a Distribution, each outstanding share of Class B Common Stock shall immediately and automatically (without any action on the part of the holder or the Corporation) convert into one (1) fully paid and non-assessable share of Class A Common Stock upon any transfer of such share (other than, for the avoidance of doubt, a transfer that constitutes a Distribution) if, after such transfer, such share is not beneficially owned by Intel. Following a Distribution, shares of Class B Common Stock shall no longer convert into shares of Class A Common Stock upon any subsequent transfer.</w:t>
      </w:r>
    </w:p>
    <w:p>
      <w:pPr>
        <w:spacing w:after="0" w:line="188" w:lineRule="exact"/>
        <w:rPr>
          <w:sz w:val="20"/>
          <w:szCs w:val="20"/>
          <w:color w:val="auto"/>
        </w:rPr>
      </w:pPr>
    </w:p>
    <w:p>
      <w:pPr>
        <w:jc w:val="both"/>
        <w:ind w:left="660" w:firstLine="1296"/>
        <w:spacing w:after="0" w:line="254" w:lineRule="auto"/>
        <w:rPr>
          <w:sz w:val="20"/>
          <w:szCs w:val="20"/>
          <w:color w:val="auto"/>
        </w:rPr>
      </w:pPr>
      <w:r>
        <w:rPr>
          <w:rFonts w:ascii="Arial" w:cs="Arial" w:eastAsia="Arial" w:hAnsi="Arial"/>
          <w:sz w:val="18"/>
          <w:szCs w:val="18"/>
          <w:color w:val="auto"/>
        </w:rPr>
        <w:t xml:space="preserve">(c)           Each outstanding share of Class B Common Stock shall immediately and automatically (without any action on the part of the holder or the Corporation) convert into one (1) fully paid and nonassessable share of Class A Common Stock automatically on the Threshold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as of such date, a Distribution has not occurred. The Corporation shall provide notice of such conversion of the shares of Class B Common Stock pursuant to this </w:t>
      </w:r>
      <w:r>
        <w:rPr>
          <w:rFonts w:ascii="Arial" w:cs="Arial" w:eastAsia="Arial" w:hAnsi="Arial"/>
          <w:sz w:val="18"/>
          <w:szCs w:val="18"/>
          <w:u w:val="single" w:color="auto"/>
          <w:color w:val="auto"/>
        </w:rPr>
        <w:t>sub-clause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C</w:t>
      </w:r>
      <w:r>
        <w:rPr>
          <w:rFonts w:ascii="Arial" w:cs="Arial" w:eastAsia="Arial" w:hAnsi="Arial"/>
          <w:sz w:val="18"/>
          <w:szCs w:val="18"/>
          <w:color w:val="auto"/>
        </w:rPr>
        <w:t xml:space="preserve"> to holders of record of such shares of Common Stock as soon as practicable following such conversion stating the date of such conversion;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satisfy such notice requirements by providing such notice prior to such conversion. Such notice shall be provided by any means then permitted by the DGCL;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failure to give such notice nor any defect therein shall affect the validity of the conversion of the shares of Class B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296"/>
        <w:spacing w:after="0" w:line="269" w:lineRule="auto"/>
        <w:rPr>
          <w:sz w:val="20"/>
          <w:szCs w:val="20"/>
          <w:color w:val="auto"/>
        </w:rPr>
      </w:pPr>
      <w:r>
        <w:rPr>
          <w:rFonts w:ascii="Arial" w:cs="Arial" w:eastAsia="Arial" w:hAnsi="Arial"/>
          <w:sz w:val="17"/>
          <w:szCs w:val="17"/>
          <w:color w:val="auto"/>
        </w:rPr>
        <w:t xml:space="preserve">(d)           Notwithstanding anything to the contrary, following a Distribution, the Corporation may submit to its stockholders for approval a proposal to convert each outstanding share of Class B Common Stock into one (1) fully paid and nonassessable share of Class A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subject to approval by the stockholders, such conversion shall be effected by the Corporation only if the Corporation has received either (i) a favorable private letter ruling from the Internal Revenue Service, or (ii) an opinion of a law or accounting firm of national reputation, in each case, satisfactory to Intel in its sole and absolute discretion, to the effect that such conversion will not affect the intended tax treatment of the Distribution. For purposes of this </w:t>
      </w:r>
      <w:r>
        <w:rPr>
          <w:rFonts w:ascii="Arial" w:cs="Arial" w:eastAsia="Arial" w:hAnsi="Arial"/>
          <w:sz w:val="17"/>
          <w:szCs w:val="17"/>
          <w:u w:val="single" w:color="auto"/>
          <w:color w:val="auto"/>
        </w:rPr>
        <w:t>sub-clause (d)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C</w:t>
      </w:r>
      <w:r>
        <w:rPr>
          <w:rFonts w:ascii="Arial" w:cs="Arial" w:eastAsia="Arial" w:hAnsi="Arial"/>
          <w:sz w:val="17"/>
          <w:szCs w:val="17"/>
          <w:color w:val="auto"/>
        </w:rPr>
        <w:t>, the holders of Class A Common Stock and the holders of Class B Common Stock shall vote together as a single class and every holder of Class A Common Stock and every holder of Class B Common Stock shall be entitled to one (1) vote for each share of Common Stock held in such holder’s name on the stock ledger of the Corporation, and no vote of the holders of the Class A Common Stock or the Class B Common Stock voting separately as a class shall be required therefor.</w:t>
      </w:r>
    </w:p>
    <w:p>
      <w:pPr>
        <w:spacing w:after="0" w:line="18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(e)            Immediately upon any conversion of shares of Class B Common Stock into shares of Class A Common Stock pursuant to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C</w:t>
      </w:r>
      <w:r>
        <w:rPr>
          <w:rFonts w:ascii="Arial" w:cs="Arial" w:eastAsia="Arial" w:hAnsi="Arial"/>
          <w:sz w:val="17"/>
          <w:szCs w:val="17"/>
          <w:color w:val="auto"/>
        </w:rPr>
        <w:t>, the rights of the holders of such shares of Class B Common Stock as such shall cease and such shares of Class B Common Stock shall be extinguished, and such holders shall be treated for all purposes as having become the record holders of the shares of Class A Common Stock into which such holders’ shares of Class B Common Stock were converted.</w:t>
      </w:r>
    </w:p>
    <w:p>
      <w:pPr>
        <w:spacing w:after="0" w:line="17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(f)            If the date on which any share of Class B Common Stock is converted into a share of Class A Common Stock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C</w:t>
      </w:r>
      <w:r>
        <w:rPr>
          <w:rFonts w:ascii="Arial" w:cs="Arial" w:eastAsia="Arial" w:hAnsi="Arial"/>
          <w:sz w:val="16"/>
          <w:szCs w:val="16"/>
          <w:color w:val="auto"/>
        </w:rPr>
        <w:t xml:space="preserve"> is (A) after the record date for the determination of the holders of Class B Common Stock entitled to receive any dividend and (B) prior to the date on which such dividend is to be paid to such holders, the holder of the share of Class B Common Stock so converted as of such record date will be entitled to receive such dividend on such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that such dividend is payable in shares of Class B Common Stock or in rights to acquire, or securities convertible or exercisable or exchangeable for, shares of Class B Common Stock, such shares of Class B Common Stock shall also be deemed to have so converted into an equivalent number of shares of Class A Common Stock as of the date of such conversion such that no such shares of Class B Common Stock shall be issued in payment thereof and, in lieu thereof, such dividend shall instead be paid in a number of shares of Class A Common Stock equal to the number of shares of Class B Common Stock that would have otherwise been issued as part of such dividend.</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(g)           The Corporation shall at all times reserve and keep available out of its authorized but unissued shares of Class A Common Stock, solely for the purpose of issuance upon conversion of outstanding shares of Class B Common Stock, such number of shares of Class A Common Stock that shall be issuable upon the conversion of all such outstanding shares of Class B Common Stock.</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jc w:val="both"/>
        <w:ind w:left="660" w:firstLine="1296"/>
        <w:spacing w:after="0" w:line="259" w:lineRule="auto"/>
        <w:rPr>
          <w:sz w:val="20"/>
          <w:szCs w:val="20"/>
          <w:color w:val="auto"/>
        </w:rPr>
      </w:pPr>
      <w:r>
        <w:rPr>
          <w:rFonts w:ascii="Arial" w:cs="Arial" w:eastAsia="Arial" w:hAnsi="Arial"/>
          <w:sz w:val="18"/>
          <w:szCs w:val="18"/>
          <w:color w:val="auto"/>
        </w:rPr>
        <w:t xml:space="preserve">(h)           The Corporation shall not reissue or resell any shares of Class B Common Stock that are converted into shares of Class A Common Stock pursuant to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C</w:t>
      </w:r>
      <w:r>
        <w:rPr>
          <w:rFonts w:ascii="Arial" w:cs="Arial" w:eastAsia="Arial" w:hAnsi="Arial"/>
          <w:sz w:val="18"/>
          <w:szCs w:val="18"/>
          <w:color w:val="auto"/>
        </w:rPr>
        <w:t xml:space="preserve"> or that are acquired by the Corporation in any other manner. The Corporation shall, from time to time, take such appropriate action as may be necessary to retire such shares and to reduce the authorized number of shares of Class B Common Stock accordingly.</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(vii)         The holders of shares of Common Stock are not entitled to any preemptive right to subscribe for, purchase or receive any part of any new or additional issue of stock of any class or series of the Corporation, whether now or hereafter authorized, or of bonds, debentures or other securities convertible into or exchangeable for stock of the Corporation.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(viii)        No stockholder shall be entitled to exercise any right of cumulative voting.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           In anticipation that the Corporation and Intel may engage in the same or similar activities or lines of business and have an interest in the same areas of corporate opportunities, and in recognition of the benefits to be derived by the Corporation through its continued contractual, corporate and business relations with Intel (including service of officers and/or directors of Intel as officers and/or directors of the Corporation), and in addition to and subject to the limitations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set forth to regulate and define the conduct of certain affairs of the Corporation as they may involve Intel and its officers and directors, and the powers, rights, duties and liabilities of the Corporation and its officers, directors and stockholders in connection therewith.</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            No contract, agreement, arrangement or transaction between the Corporation and Intel shall be void or voidable solely for the reason that Intel is a party thereto, and Intel: (i) shall be deemed to have fully satisfied and fulfilled any duties to the Corporation and its stockholders with respect thereto; (ii) shall not be liable to the Corporation or its stockholders for any breach of fiduciary duty by reason of the entering into, performance or consummation of any such contract, agreement, arrangement or transaction; (iii) shall be deemed to have acted in good faith and in a manner it reasonably believed to be in and not opposed to the best interests of the Corporation; and (iv) shall be deemed not to have breached any duties of loyalty to the Corporation or its stockholders and not to have received an improper personal gain therefrom, in each case to the fullest extent permitted by applicable law, if the material facts as to the contract, agreement, arrangement or transaction are disclosed or are known to the Board or the committee thereof that authorizes the contract, agreement, arrangement or transaction, and the Board or such committee in good faith authorizes the contract, agreement, arrangement or transaction by the affirmative vote of a majority of the disinterested directors, even though less than a quorum. Directors and/or officers of the Corporation who are also directors and/or officers of Intel may be counted in determining the presence of a quorum at a meeting of the Board or of a committee that authorizes the contract, agreement, arrangement or transaction.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48"/>
        <w:spacing w:after="0" w:line="287" w:lineRule="auto"/>
        <w:rPr>
          <w:sz w:val="20"/>
          <w:szCs w:val="20"/>
          <w:color w:val="auto"/>
        </w:rPr>
      </w:pPr>
      <w:r>
        <w:rPr>
          <w:rFonts w:ascii="Arial" w:cs="Arial" w:eastAsia="Arial" w:hAnsi="Arial"/>
          <w:sz w:val="16"/>
          <w:szCs w:val="16"/>
          <w:color w:val="auto"/>
        </w:rPr>
        <w:t xml:space="preserve">C.            Intel shall have the right to, and shall have no duty not to (i) engage in the same or similar business activities or lines of business as the Corporation, (ii) do business with any client or customer of the Corporation and (iii) employ or otherwise engage any officer or employee of the Corporation, and the Corporation hereby renounces any interest or expectancy in any such activities and shall not be deemed to have an interest or expectancy in any such activities merely because the Corporation engages in the same or similar activities or otherwise. To the fullest extent permitted by applicable law, neither Intel nor any officer or director thereof (except as provided in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 liable to the Corporation or its stockholders for breach of any fiduciary duty by reason of any such activities of Intel or of such person’s participation therein. Subject to the provisions of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the event that Intel acquires knowledge of a potential transaction or matter which may be a corporate opportunity for both Intel and the Corporation, Intel shall have no duty to communicate or present such corporate opportunity to the Corporation, and the Corporation, to the fullest extent permitted by law, hereby renounces any interest or expectancy in such corporate opportunity and waives any claim that such corporate opportunity should have been presented to the Corporation. Subject to the provisions of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Intel shall not be liable to the Corporation or its stockholders for breach of any fiduciary duty as a stockholder of the Corporation by reason of the fact that Intel pursues or acquires such corporate opportunity for itself, directs such corporate opportunity to another Person or does not present such corporate opportunity to the Corporation.</w:t>
      </w:r>
    </w:p>
    <w:p>
      <w:pPr>
        <w:spacing w:after="0" w:line="1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D.            To the fullest extent permitted by applicable law, in the event that a director or officer of the Corporation who is also a director or officer of Intel acquires knowledge of a potential transaction or matter which may be a corporate opportunity for both the Corporation and Intel and which may be properly pursued by the Corporation consistent with the provisions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such director or officer of the Corporation (i) shall be deemed to have fully satisfied and fulfilled such person’s fiduciary duty to the Corporation and its stockholders with respect to such corporate opportunity, (ii) shall not be liable to the Corporation or its stockholders for any breach of fiduciary duty by reason of the fact that Intel pursues or acquires such corporate opportunity for itself or directs such corporate opportunity to another Person or does not present such corporate opportunity to the Corporation, (iii) shall be deemed to have acted in good faith and in a manner such person reasonably believes to be in and not opposed to the best interests of the Corporation for the purposes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and the other provisions of this Certificate of Incorporation, and (iv) shall be deemed not to have breached such person’s duty of loyalty to the Corporation or its stockholders or to have received an improper personal gain therefrom for the purposes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and the other provisions of this Certificate of Incorporation, if such director or officer acts in good faith in a manner consistent with the following policy:</w:t>
      </w:r>
    </w:p>
    <w:p>
      <w:pPr>
        <w:spacing w:after="0" w:line="16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(a)            where a corporate opportunity is offered to a person who is a director and/or officer of the Corporation and who is also a director and/or officer of Intel, the Corporation shall be entitled to pursue such opportunity only if such opportunity is expressly offered to such person solely in his or her capacity as a director and/or officer, as applicable, of the Corporation (and to the extent any such opportunity is not so expressly offered to such person in such capacity, the Corporation hereby renounces any interest or expectancy in such opportunity);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296"/>
        <w:spacing w:after="0" w:line="254" w:lineRule="auto"/>
        <w:rPr>
          <w:sz w:val="20"/>
          <w:szCs w:val="20"/>
          <w:color w:val="auto"/>
        </w:rPr>
      </w:pPr>
      <w:r>
        <w:rPr>
          <w:rFonts w:ascii="Arial" w:cs="Arial" w:eastAsia="Arial" w:hAnsi="Arial"/>
          <w:sz w:val="18"/>
          <w:szCs w:val="18"/>
          <w:color w:val="auto"/>
        </w:rPr>
        <w:t xml:space="preserve">(b)            if an officer and/or director of the Corporation, who also serves as an officer and/or director of Intel, acquires knowledge of a potential transaction or matter which may be a corporate opportunity for both the Corporation and Intel in any manner not addressed by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D</w:t>
      </w:r>
      <w:r>
        <w:rPr>
          <w:rFonts w:ascii="Arial" w:cs="Arial" w:eastAsia="Arial" w:hAnsi="Arial"/>
          <w:sz w:val="18"/>
          <w:szCs w:val="18"/>
          <w:color w:val="auto"/>
        </w:rPr>
        <w:t>, clause (w), such officer or director shall have no duty to communicate or present such corporate opportunity to the Corporation and shall to the fullest extent permitted by law not be liable to the Corporation or its stockholders for breach of fiduciary duty as an officer or director of the Corporation by reason of the fact that Intel pursues or acquires such corporate opportunity for itself, directs such corporate opportunity to another Person or does not present such corporate opportunity to the Corporation, and the Corporation to the fullest extent permitted by law renounces any interest or expectancy in such business opportunity and waives any claim that such business opportunity constituted a corporate opportunity that should be presented to the Corporation.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D</w:t>
      </w:r>
      <w:r>
        <w:rPr>
          <w:rFonts w:ascii="Arial" w:cs="Arial" w:eastAsia="Arial" w:hAnsi="Arial"/>
          <w:sz w:val="18"/>
          <w:szCs w:val="18"/>
          <w:color w:val="auto"/>
        </w:rPr>
        <w:t xml:space="preserve"> are not intended to be an exhaustive statement of corporate opportunities which may be available to the Corporation, pursuit of which shall be in accordance with this Certificate of Incorporation and applicable law.</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            For purposes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w:t>
      </w:r>
      <w:r>
        <w:rPr>
          <w:rFonts w:ascii="Arial" w:cs="Arial" w:eastAsia="Arial" w:hAnsi="Arial"/>
          <w:sz w:val="17"/>
          <w:szCs w:val="17"/>
          <w:color w:val="auto"/>
        </w:rPr>
        <w:t>,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means the Corporation and all corporations, partnerships, joint ventures, limited liability companies, trusts, associations and other entities in which the Corporation owns (directly or indirectly) fifty percent (50%) or more of the outstanding voting stock, voting power, partnership interests, limited liability company interests or similar ownership interests.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            Any Person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          </w:t>
      </w:r>
      <w:r>
        <w:rPr>
          <w:rFonts w:ascii="Arial" w:cs="Arial" w:eastAsia="Arial" w:hAnsi="Arial"/>
          <w:sz w:val="16"/>
          <w:szCs w:val="16"/>
          <w:u w:val="single" w:color="auto"/>
          <w:color w:val="auto"/>
        </w:rPr>
        <w:t>  Section 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become inoperative and of no effect on the later of (i) the Threshold Date and</w:t>
      </w:r>
    </w:p>
    <w:p>
      <w:pPr>
        <w:spacing w:after="0" w:line="46" w:lineRule="exact"/>
        <w:rPr>
          <w:sz w:val="20"/>
          <w:szCs w:val="20"/>
          <w:color w:val="auto"/>
        </w:rPr>
      </w:pPr>
    </w:p>
    <w:p>
      <w:pPr>
        <w:jc w:val="both"/>
        <w:ind w:firstLine="8"/>
        <w:spacing w:after="0" w:line="251" w:lineRule="auto"/>
        <w:tabs>
          <w:tab w:leader="none" w:pos="29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date upon which no officer and/or director of the Corporation is also an officer and/or director of Intel. Neither the alteration, amendment, termination or repeal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nor the adoption of any provision inconsistent with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eliminate or reduce the effect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 respect of any matter occurring, or any cause of action, suit or claim that, but for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would accrue or arise, prior to such alteration, amendment, termination, repeal or adoption. Following the later of (i) the Threshold Date and (ii) the date upon which no officer and/or director of the Corporation is also an officer and/or director of Intel, any contract, agreement, arrangement or transaction involving a corporate opportunity not approved or allocated as provided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by reason thereof result in any breach of any fiduciary duty or duty of loyalty or failure to act in good faith or in the best interests of the Corporation or derivation of any improper personal gain, but shall be governed by the other provisions of this Certificate of Incorporation, the Amended and Restated Bylaws of the Corporation (as amended and/or restated from time to time,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the DGCL and other applicable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HOLDERS OF CLASS B 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            In addition to any other vote required by law or by this Certificate of Incorporation, prior to the Threshold Date, the prior affirmative vote of the holders of a majority of the outstanding shares of the Class B Common Stock, voting separately as a class, shall be required to authorize the Corporation to and, in the case of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below to authorize or permit any Subsidiary, in each case whether directly or indirectly and whether by merger, consolidation, division, operation of law or otherwise, 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adopt or implement any stockholder rights plan or similar takeover defense measure;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consolidate or merge with or into any Person;</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(iii)          permit any Subsidiary to consolidate or merge with or into any Person (other than (a) a consolidation or merger of a Wholly-Owned Subsidiary with or into the Corporation or with or into another Wholly-Owned Subsidiary or (b) in connection with a Permitted Acquisition);</w:t>
      </w:r>
    </w:p>
    <w:p>
      <w:pPr>
        <w:spacing w:after="0" w:line="14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(iv)         directly or indirectly acquire Stock, Stock Equivalents or assets (including, without limitation, any business or operating unit) of any Person (other than the Corporation or its Subsidiaries), in each case in a single transaction or series of related transactions, involving consideration (whether in cash, securities, assets or otherwise, and including Indebtedness assumed by the Corporation or any of its Subsidiaries and Indebtedness of any entity so acquired) paid or delivered by the Corporation and its Subsidiaries in excess of $250,000,000;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clause (iv) of this </w:t>
      </w:r>
      <w:r>
        <w:rPr>
          <w:rFonts w:ascii="Arial" w:cs="Arial" w:eastAsia="Arial" w:hAnsi="Arial"/>
          <w:sz w:val="18"/>
          <w:szCs w:val="18"/>
          <w:u w:val="single" w:color="auto"/>
          <w:color w:val="auto"/>
        </w:rPr>
        <w:t>Section A</w:t>
      </w:r>
      <w:r>
        <w:rPr>
          <w:rFonts w:ascii="Arial" w:cs="Arial" w:eastAsia="Arial" w:hAnsi="Arial"/>
          <w:sz w:val="18"/>
          <w:szCs w:val="18"/>
          <w:color w:val="auto"/>
        </w:rPr>
        <w:t xml:space="preserve"> shall not require the vote of the holders of Class B Common Stock in connection with transactions to which the Corporation and one or more Wholly-Owned Subsidiaries are the only parties;</w:t>
      </w:r>
    </w:p>
    <w:p>
      <w:pPr>
        <w:spacing w:after="0" w:line="19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(v)           issue any Stock or any Stock Equivalents, except (a) the issuance of shares of Stock of a Wholly-Owned Subsidiary of the Corporation to the Corporation or another Wholly-Owned Subsidiary of the Corporation, (b) pursuant to the Initial Public Offering or in private placement transactions after the filing of the IPO Registration Statement and occurring substantially concurrent with or prior to the closing of the Initial Public Offering, or (c) the issuance of shares of Class A Common Stock or options or other rights to purchase or acquire Class A Common Stock pursuant to employee benefit plans or programs, including in connection with any exchange offer that occurs at the time of or substantially concurrent with the Initial Public Offering, or dividend reinvestment plans approved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provision of this clause (c), the prior affirmative vote of the holders of a majority of the outstanding shares of the Class B Common Stock, voting separately as a class, shall be required to authorize any increase in the number of shares reserved and available for issuance under such employee benefit plans or programs in any year in excess of 5% of the outstanding number of shares of Class B Common Stock and Class A Common Stock on the immediately preceding December 31);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1300"/>
        <w:spacing w:after="0"/>
        <w:rPr>
          <w:sz w:val="20"/>
          <w:szCs w:val="20"/>
          <w:color w:val="auto"/>
        </w:rPr>
      </w:pPr>
      <w:r>
        <w:rPr>
          <w:rFonts w:ascii="Arial" w:cs="Arial" w:eastAsia="Arial" w:hAnsi="Arial"/>
          <w:sz w:val="18"/>
          <w:szCs w:val="18"/>
          <w:color w:val="auto"/>
        </w:rPr>
        <w:t>(vi)          make or commit to make any individual or series of related capital or other expenditures in excess of $250,000,000;</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(vii)         create, incur, assume or permit to exist any Indebtedness or guarantee the Indebtedness of any other Person, or permit any Subsidiary to create, incur, assume or permit to exist any Indebtedness or guarantee any Indebtedness of any other Person, in excess of an aggregate principal amount at any time outstanding of $250,000,000;</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(viii)        make any loan to any other Person or purchase any debt securities of any other Person, in excess of an aggregate principal amount at any time outstanding of $250,000,000;</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(ix)           redeem, purchase or otherwise acquire (or pay into or set aside funds for a sinking fund for such purpose) any shares of Stock or Stock Equivalents of the Corporation or a Subsidiary (other than a Wholly-Owned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this restriction shall not apply to the repurchase of shares of Common Stock from employees, officers, directors, consultants or other Persons performing services for the Corporation or any Wholly-Owned Subsidiary pursuant to agreements under which the Corporation has the option to repurchase such shares upon the occurrence of certain events, such as the termination of employment, or through the exercise of any right of first refusal or the conversion or reclassification of any shares of Class B Common Stock pursuant to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C</w:t>
      </w:r>
      <w:r>
        <w:rPr>
          <w:rFonts w:ascii="Arial" w:cs="Arial" w:eastAsia="Arial" w:hAnsi="Arial"/>
          <w:sz w:val="17"/>
          <w:szCs w:val="17"/>
          <w:color w:val="auto"/>
        </w:rPr>
        <w: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dissolve, liquidate or wind 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(xi)          declare dividends on any class or series of the capital stock of the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(xii)         alter, amend, change, terminate or repeal, or adopt any provision inconsistent with this Certificate of Incorporation or the Bylaws.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For purposes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(i)            “</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means, with respect to any Person, any liability of such Person in respect of borrowed money or evidenced by bonds, notes, debentures or similar instruments and shall also include (a) any liability of such Person under any agreement related to the fixing of interest rates on any Indebtedness and (b) any capitalized or finance lease obligations of such Person (if and to the extent the same would appear on a balance sheet of such Person prepared in accordance with United States generally accepted accounting principles).</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(ii)           “</w:t>
      </w:r>
      <w:r>
        <w:rPr>
          <w:rFonts w:ascii="Arial" w:cs="Arial" w:eastAsia="Arial" w:hAnsi="Arial"/>
          <w:sz w:val="18"/>
          <w:szCs w:val="18"/>
          <w:b w:val="1"/>
          <w:bCs w:val="1"/>
          <w:i w:val="1"/>
          <w:iCs w:val="1"/>
          <w:color w:val="auto"/>
        </w:rPr>
        <w:t>Initial Public Offering</w:t>
      </w:r>
      <w:r>
        <w:rPr>
          <w:rFonts w:ascii="Arial" w:cs="Arial" w:eastAsia="Arial" w:hAnsi="Arial"/>
          <w:sz w:val="18"/>
          <w:szCs w:val="18"/>
          <w:color w:val="auto"/>
        </w:rPr>
        <w:t>” means an initial public offering of Class A Common Stock as contemplated by a Registration Statement on Form S-1 filed with the U.S. Securities and Exchange Commission (the “</w:t>
      </w:r>
      <w:r>
        <w:rPr>
          <w:rFonts w:ascii="Arial" w:cs="Arial" w:eastAsia="Arial" w:hAnsi="Arial"/>
          <w:sz w:val="18"/>
          <w:szCs w:val="18"/>
          <w:b w:val="1"/>
          <w:bCs w:val="1"/>
          <w:i w:val="1"/>
          <w:iCs w:val="1"/>
          <w:color w:val="auto"/>
        </w:rPr>
        <w:t>IPO Registration Statement</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(iii)          “</w:t>
      </w:r>
      <w:r>
        <w:rPr>
          <w:rFonts w:ascii="Arial" w:cs="Arial" w:eastAsia="Arial" w:hAnsi="Arial"/>
          <w:sz w:val="18"/>
          <w:szCs w:val="18"/>
          <w:b w:val="1"/>
          <w:bCs w:val="1"/>
          <w:i w:val="1"/>
          <w:iCs w:val="1"/>
          <w:color w:val="auto"/>
        </w:rPr>
        <w:t>Permitted Acquisition</w:t>
      </w:r>
      <w:r>
        <w:rPr>
          <w:rFonts w:ascii="Arial" w:cs="Arial" w:eastAsia="Arial" w:hAnsi="Arial"/>
          <w:sz w:val="18"/>
          <w:szCs w:val="18"/>
          <w:color w:val="auto"/>
        </w:rPr>
        <w:t xml:space="preserve">” means any acquisition by the Corporation or any of its Subsidiaries of Stock, Stock Equivalents or assets (including, without limitation, any business or operating unit) of any Person not requiring the prior affirmative vote of the holders of the Class B Common Stock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1296"/>
        <w:spacing w:after="0" w:line="263" w:lineRule="auto"/>
        <w:rPr>
          <w:sz w:val="20"/>
          <w:szCs w:val="20"/>
          <w:color w:val="auto"/>
        </w:rPr>
      </w:pPr>
      <w:r>
        <w:rPr>
          <w:rFonts w:ascii="Arial" w:cs="Arial" w:eastAsia="Arial" w:hAnsi="Arial"/>
          <w:sz w:val="18"/>
          <w:szCs w:val="18"/>
          <w:color w:val="auto"/>
        </w:rPr>
        <w:t>(iv)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shares of capital stock (whether denominated as common stock or preferred stock), beneficial, partnership, limited liability company or membership interests, participations or other equivalents (regardless of how designated) of or in a corporation, partnership, limited liability company, joint venture, trust, associations or other entity, whether voting or non-voting.</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           “</w:t>
      </w:r>
      <w:r>
        <w:rPr>
          <w:rFonts w:ascii="Arial" w:cs="Arial" w:eastAsia="Arial" w:hAnsi="Arial"/>
          <w:sz w:val="18"/>
          <w:szCs w:val="18"/>
          <w:b w:val="1"/>
          <w:bCs w:val="1"/>
          <w:i w:val="1"/>
          <w:iCs w:val="1"/>
          <w:color w:val="auto"/>
        </w:rPr>
        <w:t>Stock Equivalents</w:t>
      </w:r>
      <w:r>
        <w:rPr>
          <w:rFonts w:ascii="Arial" w:cs="Arial" w:eastAsia="Arial" w:hAnsi="Arial"/>
          <w:sz w:val="18"/>
          <w:szCs w:val="18"/>
          <w:color w:val="auto"/>
        </w:rPr>
        <w:t>” means all securities convertible into or exchangeable for Stock and all warrants, options or other rights to purchase or subscribe for any Stock, whether or not presently convertible, exchangeable or exercisable, and all voting debt.</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(vi)          “</w:t>
      </w:r>
      <w:r>
        <w:rPr>
          <w:rFonts w:ascii="Arial" w:cs="Arial" w:eastAsia="Arial" w:hAnsi="Arial"/>
          <w:sz w:val="17"/>
          <w:szCs w:val="17"/>
          <w:b w:val="1"/>
          <w:bCs w:val="1"/>
          <w:i w:val="1"/>
          <w:iCs w:val="1"/>
          <w:color w:val="auto"/>
        </w:rPr>
        <w:t>Wholly-Owned Subsidiary</w:t>
      </w:r>
      <w:r>
        <w:rPr>
          <w:rFonts w:ascii="Arial" w:cs="Arial" w:eastAsia="Arial" w:hAnsi="Arial"/>
          <w:sz w:val="17"/>
          <w:szCs w:val="17"/>
          <w:color w:val="auto"/>
        </w:rPr>
        <w:t>” means each Subsidiary in which the Corporation owns (directly or indirectly) all of the outstanding voting Stock, voting power, partnership interests or similar ownership interests, except for director’s qualifying shares in nominal amount.</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C.            The Corporation shall not undertake any action or conduct that would have the effect of indirectly engaging the Corporation in activities that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would otherwise prohibit.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            Any Person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            Neither the alteration, amendment or repeal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nor the adoption of any provision inconsistent with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eliminate or reduce the effect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 respect of any matter occurring, or any cause of action, suit or claim that, but for this </w:t>
      </w:r>
      <w:r>
        <w:rPr>
          <w:rFonts w:ascii="Arial" w:cs="Arial" w:eastAsia="Arial" w:hAnsi="Arial"/>
          <w:sz w:val="18"/>
          <w:szCs w:val="18"/>
          <w:u w:val="single" w:color="auto"/>
          <w:color w:val="auto"/>
        </w:rPr>
        <w:t>Article VI</w:t>
      </w:r>
      <w:r>
        <w:rPr>
          <w:rFonts w:ascii="Arial" w:cs="Arial" w:eastAsia="Arial" w:hAnsi="Arial"/>
          <w:sz w:val="18"/>
          <w:szCs w:val="18"/>
          <w:color w:val="auto"/>
        </w:rPr>
        <w:t>, would accrue or arise, prior to such alteration, amendment, repeal or adoption.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The business and affairs of the Corporation shall be managed by or under the direction of the Board. The Board shall consist of no less than five directors. Subject to the limitation in the preceding sentence, the number of directors shall be determined from time to time solely by resolution adopted by affirmative vote of a majority of the entire Board which the Corporation would have if there were no vacancies at the time such resolution is adopted.</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            Elections of the members of the Board shall be held annually at the annual meeting of stockholders and each member of the Board shall hold office until the next annual meeting of stockholders and until such director’s successor is elected and qualified, subject to such director’s earlier death, resignation, disqualification or removal. Elections of the members of the Board need not be by written ballot unless the Bylaws shall so provide.</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C.            Any newly created directorship on the Board that results from an increase in the number of directors and any other vacancy occurring on the Board shall be filled by the affirmative vote of a majority of the Board then in office, even if less than a quorum, or by a sole remaining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the Majority Date, any vacancy or newly created directorship caused by an action of the stockholders shall be filled only by a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stockholders. Any director elected to fill a vacancy not resulting from an increase in the number of directors shall have the same remaining term as that of his or her predecessor. No decrease in the number of directors shall shorten the term of any incumbent director.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69" w:lineRule="auto"/>
        <w:rPr>
          <w:sz w:val="20"/>
          <w:szCs w:val="20"/>
          <w:color w:val="auto"/>
        </w:rPr>
      </w:pPr>
      <w:r>
        <w:rPr>
          <w:rFonts w:ascii="Arial" w:cs="Arial" w:eastAsia="Arial" w:hAnsi="Arial"/>
          <w:sz w:val="17"/>
          <w:szCs w:val="17"/>
          <w:color w:val="auto"/>
        </w:rPr>
        <w:t>D.            Notwithstanding anything to the contrary, from the time of the Classified Annual Meeting, the directors shall be divided into three classes, designated Class I, Class II and Class III. Each class shall consist, as nearly as may be possible, of one-third of the total number of directors constituting the entire Board. The term of the initial Class I directors shall terminate on the date of the first annual meeting of stockholders following the Classified Annual Meeting. The term of the initial Class II directors shall terminate on the date of the second annual meeting of stockholders following the Classified Annual Meeting. The term of the initial Class III directors shall terminate on the date of the third annual meeting of stockholders following the Classified Annual Meeting. At the first annual meeting of stockholders following the Classified Annual Meeting and each succeeding annual meeting of stockholders, successors to the class of directors whose term expires at such annual meeting of stockholders shall be elected for a three-year term. If the number of directors is changed following the Classified Annual Meeting,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            Any director may be removed from office at any time, with or without cause, until the Classified Annual Meeting, and then only with cause, in each case, by the affirmative vote of the holders of shares of capital stock of the Corporation representing at least a majority of the votes entitled to be cast on the election of such director.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            Advance notice of stockholder nominations for the election of directors and stockholder proposals for business to be conducted at any meeting of stockholders shall be given in the manner provided in the Bylaws.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            The books and records of the Corporation may be kept (subject to any mandatory requirement of law) outside the State of Delaware at such place or places (and/or on, by means of or in the form of any information storage device, method or one or more electronic networks or databases (including one or more distributed electronic networks or databases) in accordance with Section 224 of the DGCL).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ACTION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           Any action required or permitted to be taken by stockholders at any annual or special meeting of stockholders may be taken without a meeting, without prior notice and without a vote, if a consent or consents in writing, setting forth the action so taken, shall be signed by the holders of outstanding capital stock having not less than the minimum number of votes that would be necessary to authorize or take such action at a meeting at which all shares of capital stock entitled to vote thereon were present and voted;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by a Certificate of Designation, from and after the Majority Date, any action required or permitted to be taken by stockholders may be effected only at a duly called annual or special meeting of stockholders and may not be effected by a written consent or consents by stockholders in lieu of such a meeting.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59" w:lineRule="auto"/>
        <w:rPr>
          <w:sz w:val="20"/>
          <w:szCs w:val="20"/>
          <w:color w:val="auto"/>
        </w:rPr>
      </w:pPr>
      <w:r>
        <w:rPr>
          <w:rFonts w:ascii="Arial" w:cs="Arial" w:eastAsia="Arial" w:hAnsi="Arial"/>
          <w:sz w:val="18"/>
          <w:szCs w:val="18"/>
          <w:color w:val="auto"/>
        </w:rPr>
        <w:t>B.            Except as otherwise required by law or provided by a Certificate of Designation, special meetings of stockholders of the Corporation may be called only by (1) the Chair of the Board, (2) the Chief Executive Officer or (3) the Secretary of the Corporation upon written request to the Secretary of the Corporation by a majority of the directors then in office. No business other than that stated in the notice of a special meeting of stockholders shall be transacted at such special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BYLAWS AND CERTIFICATE OF INCORPORATION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In furtherance and not in limitation of the powers conferred by law, the Board is expressly authorized and empowered to adopt, amend and repeal the Bylaws at any regular or special meeting of the Board or by written consent, subject to the power of the stockholders of the Corporation to adopt, amend or repeal any Bylaws. The stockholders shall have the power to make, amend or repeal the Bylaws.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Except as otherwise provided in this Certificate of Incorporation, the Corporation reserves the right to amend and repeal any provisions contained in this Certificate of Incorporation in the manner prescribed by the laws of the State of Delaware, and all rights of stockholders shall be subject to this reservation.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203 OF THE DGCL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The Corporation shall not be governed by Section 203 of the DGCL (“</w:t>
      </w:r>
      <w:r>
        <w:rPr>
          <w:rFonts w:ascii="Arial" w:cs="Arial" w:eastAsia="Arial" w:hAnsi="Arial"/>
          <w:sz w:val="18"/>
          <w:szCs w:val="18"/>
          <w:b w:val="1"/>
          <w:bCs w:val="1"/>
          <w:i w:val="1"/>
          <w:iCs w:val="1"/>
          <w:color w:val="auto"/>
        </w:rPr>
        <w:t>Section 203</w:t>
      </w:r>
      <w:r>
        <w:rPr>
          <w:rFonts w:ascii="Arial" w:cs="Arial" w:eastAsia="Arial" w:hAnsi="Arial"/>
          <w:sz w:val="18"/>
          <w:szCs w:val="18"/>
          <w:color w:val="auto"/>
        </w:rPr>
        <w:t>”), and the restrictions contained in Section 203 shall not apply to the Corporation, until the first date on which Intel ceases to own (as defined in Section 203) shares of voting stock (as defined in Section 203) representing at least fifteen percent (15%) of the votes entitled to be cast by the holders of the outstanding shares of voting stock (as defined in Section 203), voting together as a single class. The Corporation shall thereafter be governed by Section 203 if and for so long as Section 203 by its terms shall apply to the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           A director or officer of this Corporation shall not be liable to the Corporation or its stockholders for monetary damages for breach of fiduciary duty as a director or officer, respectively, except to the extent such exemption from liability or limitation thereof is not permitted under the DGCL as the same exists or may hereafter be amended. Any repeal or modification of this </w:t>
      </w:r>
      <w:r>
        <w:rPr>
          <w:rFonts w:ascii="Arial" w:cs="Arial" w:eastAsia="Arial" w:hAnsi="Arial"/>
          <w:sz w:val="17"/>
          <w:szCs w:val="17"/>
          <w:u w:val="single" w:color="auto"/>
          <w:color w:val="auto"/>
        </w:rPr>
        <w:t>Section A</w:t>
      </w:r>
      <w:r>
        <w:rPr>
          <w:rFonts w:ascii="Arial" w:cs="Arial" w:eastAsia="Arial" w:hAnsi="Arial"/>
          <w:sz w:val="17"/>
          <w:szCs w:val="17"/>
          <w:color w:val="auto"/>
        </w:rPr>
        <w:t xml:space="preserve"> shall not adversely affect any right or protection of a director or officer of the Corporation existing hereunder with respect to any act or omission occurring prior to such repeal or modification.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70" w:lineRule="auto"/>
        <w:rPr>
          <w:sz w:val="20"/>
          <w:szCs w:val="20"/>
          <w:color w:val="auto"/>
        </w:rPr>
      </w:pPr>
      <w:r>
        <w:rPr>
          <w:rFonts w:ascii="Arial" w:cs="Arial" w:eastAsia="Arial" w:hAnsi="Arial"/>
          <w:sz w:val="17"/>
          <w:szCs w:val="17"/>
          <w:color w:val="auto"/>
        </w:rPr>
        <w:t xml:space="preserve">B.            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include the right to be paid by the Corporation the expenses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C.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to directors and officers of the Corporation.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D.            The rights to indemnification and to the advancement of expenses conferred in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not be exclusive of any other right which any person may have or hereafter acquire under this Certificate of Incorporation, the Bylaws of the Corporation, any statute, agreement, vote of stockholders or disinterested directors or otherwise.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            Any repeal or modification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by the stockholders of the Corporation shall not adversely affect any rights to indemnification and to the advancement of expenses of a director, officer, employee or agent of the Corporation existing at the time of such repeal or modification with respect to any acts or omissions occurring prior to such repeal or modification.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FOR ADJUDICATION OF CERTAIN DISPUTES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Unless the Corporation consents in writing to the selection of an alternative forum (an “</w:t>
      </w:r>
      <w:r>
        <w:rPr>
          <w:rFonts w:ascii="Arial" w:cs="Arial" w:eastAsia="Arial" w:hAnsi="Arial"/>
          <w:sz w:val="16"/>
          <w:szCs w:val="16"/>
          <w:b w:val="1"/>
          <w:bCs w:val="1"/>
          <w:i w:val="1"/>
          <w:iCs w:val="1"/>
          <w:color w:val="auto"/>
        </w:rPr>
        <w:t>Alternative Forum Consent</w:t>
      </w:r>
      <w:r>
        <w:rPr>
          <w:rFonts w:ascii="Arial" w:cs="Arial" w:eastAsia="Arial" w:hAnsi="Arial"/>
          <w:sz w:val="16"/>
          <w:szCs w:val="16"/>
          <w:color w:val="auto"/>
        </w:rPr>
        <w:t>”), the Court of Chancery of the State of Delaware shall be the sole and exclusive forum for (i) any derivative action or proceeding brought on behalf of the Corporation,</w:t>
      </w:r>
    </w:p>
    <w:p>
      <w:pPr>
        <w:jc w:val="both"/>
        <w:ind w:firstLine="8"/>
        <w:spacing w:after="0" w:line="284" w:lineRule="auto"/>
        <w:tabs>
          <w:tab w:leader="none" w:pos="26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any action asserting a claim of breach of a duty (including any fiduciary duty) owed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out of or relating to any provision of the DGCL, this Certificate of Incorporation or the Bylaws (each, as in effect from time to time), or (iv) any action asserting a claim against the Corporation or any current or former director, officer, stockholder, employee or agent of the Corporation governed by the internal affairs doctrine of the State of Delaware;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provisions of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XII</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apply to suits brought to enforce any liability or duty created by the Securities Exchange Act of</w:t>
      </w:r>
      <w:r>
        <w:rPr>
          <w:rFonts w:ascii="Arial" w:cs="Arial" w:eastAsia="Arial" w:hAnsi="Arial"/>
          <w:sz w:val="16"/>
          <w:szCs w:val="16"/>
          <w:i w:val="1"/>
          <w:iCs w:val="1"/>
          <w:color w:val="auto"/>
        </w:rPr>
        <w:t xml:space="preserve"> </w:t>
      </w:r>
      <w:r>
        <w:rPr>
          <w:rFonts w:ascii="Arial" w:cs="Arial" w:eastAsia="Arial" w:hAnsi="Arial"/>
          <w:sz w:val="16"/>
          <w:szCs w:val="16"/>
          <w:color w:val="auto"/>
        </w:rPr>
        <w:t>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or the rules and regulations under the Exchange Act, or any other claim for which the U.S. federal courts have exclusive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existence of any prior Alternative Forum Consent shall not act as a waiver of the Corporation’s ongoing consent right as set forth above in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with respect to any current or future actions or claims.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If any provision or provisions of this Certificate of Incorporation shall be held to be invalid, illegal or unenforceable as applied to any circumstance for any reason whatsoever,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Certificate of Incorporation: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have the meaning ascribed to such terms in Rule 13d-3 under the Exchange Act, but shall not include shares of Common Stock beneficially owned by Intel but not for its own account, including (in such exclusion) beneficial ownership which arises by virtue of some entity that is an affiliate of Intel being a sponsor or advisor of a mutual or similar fund that beneficially owns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i w:val="1"/>
          <w:iCs w:val="1"/>
          <w:color w:val="auto"/>
        </w:rPr>
        <w:t>Classified Annual Meeting</w:t>
      </w:r>
      <w:r>
        <w:rPr>
          <w:rFonts w:ascii="Arial" w:cs="Arial" w:eastAsia="Arial" w:hAnsi="Arial"/>
          <w:sz w:val="18"/>
          <w:szCs w:val="18"/>
          <w:color w:val="auto"/>
        </w:rPr>
        <w:t>” shall mean the first annual meeting of stockholders following the Threshold Date.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            “</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means a distribution or other transfer of the Class B Common Stock by Intel to holders of stock of Intel in a transaction intended to qualify for non-recognition of gain and loss under Section 355 of the Internal Revenue Code of 1986, as amended (or any corresponding provisions of any successor statute).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i w:val="1"/>
          <w:iCs w:val="1"/>
          <w:color w:val="auto"/>
        </w:rPr>
        <w:t>Intel</w:t>
      </w:r>
      <w:r>
        <w:rPr>
          <w:rFonts w:ascii="Arial" w:cs="Arial" w:eastAsia="Arial" w:hAnsi="Arial"/>
          <w:sz w:val="18"/>
          <w:szCs w:val="18"/>
          <w:color w:val="auto"/>
        </w:rPr>
        <w:t>” means Intel Corporation and all Intel Subsidiaries.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i w:val="1"/>
          <w:iCs w:val="1"/>
          <w:color w:val="auto"/>
        </w:rPr>
        <w:t>Intel Subsidiary</w:t>
      </w:r>
      <w:r>
        <w:rPr>
          <w:rFonts w:ascii="Arial" w:cs="Arial" w:eastAsia="Arial" w:hAnsi="Arial"/>
          <w:sz w:val="18"/>
          <w:szCs w:val="18"/>
          <w:color w:val="auto"/>
        </w:rPr>
        <w:t>” means any corporation, limited liability company, joint venture, partnership, trust, association or other entity in which Intel: (i) beneficially owns, either directly or indirectly, more than fifty percent (50%) of (a) the total combined voting power of all classes of voting securities of such entity, (b) the total combined equity interests, or (c) the capital or profits interest, in the case of a partnership; or (ii) otherwise has the power to vote, either directly or indirectly, sufficient securities to elect a majority of the board of directors or similar governing body, but in each case shall not include the Corporation or any Subsidiary of the Corporation.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            “</w:t>
      </w:r>
      <w:r>
        <w:rPr>
          <w:rFonts w:ascii="Arial" w:cs="Arial" w:eastAsia="Arial" w:hAnsi="Arial"/>
          <w:sz w:val="18"/>
          <w:szCs w:val="18"/>
          <w:b w:val="1"/>
          <w:bCs w:val="1"/>
          <w:i w:val="1"/>
          <w:iCs w:val="1"/>
          <w:color w:val="auto"/>
        </w:rPr>
        <w:t>Majority Date</w:t>
      </w:r>
      <w:r>
        <w:rPr>
          <w:rFonts w:ascii="Arial" w:cs="Arial" w:eastAsia="Arial" w:hAnsi="Arial"/>
          <w:sz w:val="18"/>
          <w:szCs w:val="18"/>
          <w:color w:val="auto"/>
        </w:rPr>
        <w:t>” means the first date on which Intel ceases to beneficially own shares of Common Stock representing at least a majority of the votes entitled to be cast by the holders of the outstanding shares of Class A Common Stock and Class B Common Stock, voting together as a single class.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joint venture, limited liability company, firm, corporation, trust or other entity, including governmental authorities.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            “</w:t>
      </w:r>
      <w:r>
        <w:rPr>
          <w:rFonts w:ascii="Arial" w:cs="Arial" w:eastAsia="Arial" w:hAnsi="Arial"/>
          <w:sz w:val="18"/>
          <w:szCs w:val="18"/>
          <w:b w:val="1"/>
          <w:bCs w:val="1"/>
          <w:i w:val="1"/>
          <w:iCs w:val="1"/>
          <w:color w:val="auto"/>
        </w:rPr>
        <w:t>Pledge</w:t>
      </w:r>
      <w:r>
        <w:rPr>
          <w:rFonts w:ascii="Arial" w:cs="Arial" w:eastAsia="Arial" w:hAnsi="Arial"/>
          <w:sz w:val="18"/>
          <w:szCs w:val="18"/>
          <w:color w:val="auto"/>
        </w:rPr>
        <w:t>” means any mortgage, lien (statutory or otherwise), pledge, hypothecation, charge, security interest, preference, priority or encumbrance of any kind in, attaching or applicable to, affecting or otherwise in respect of any share of Class B Common Stock, whether or not filed, recorded or otherwise perfected under applicable law, created, incurred or existing pursuant to any bona fide loan or indebtedness transaction or other bona fide obligation.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Corporation, any corporation, limited liability company, joint venture, partnership, trust, association or other entity in which the Corporation: (i) beneficially owns, either directly or indirectly, more than fifty percent (50%) of (a) the total combined voting power of all classes of voting securities of such entity, (b) the total combined equity interests, or (c) the capital or profits interest, in the case of a partnership; or (ii) otherwise has the power to vote, either directly or indirectly, sufficient securities to elect a majority of the board of directors or similar governing body.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J.             “</w:t>
      </w:r>
      <w:r>
        <w:rPr>
          <w:rFonts w:ascii="Arial" w:cs="Arial" w:eastAsia="Arial" w:hAnsi="Arial"/>
          <w:sz w:val="18"/>
          <w:szCs w:val="18"/>
          <w:b w:val="1"/>
          <w:bCs w:val="1"/>
          <w:i w:val="1"/>
          <w:iCs w:val="1"/>
          <w:color w:val="auto"/>
        </w:rPr>
        <w:t>Threshold Date</w:t>
      </w:r>
      <w:r>
        <w:rPr>
          <w:rFonts w:ascii="Arial" w:cs="Arial" w:eastAsia="Arial" w:hAnsi="Arial"/>
          <w:sz w:val="18"/>
          <w:szCs w:val="18"/>
          <w:color w:val="auto"/>
        </w:rPr>
        <w:t>” means the first date on which Intel ceases to beneficially own twenty percent (20%) or more of the aggregate number of shares of then outstanding Common Stock.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means any sale or other disposition of a share of Class B Common Stock, except that “transfer” does not include any Pledge of a share of Class B Common Stock for so long as the owner of such share of Class B Common Stock continues to exercise voting control over such share of Class B Common Stock (with a power of attorney or proxy given by such owner to another Person in connection with such Pledge to exercise voting control effective upon the occurrence of certain events not constituting voting control by such other Person for these purposes until such events occur and such power of attorney or proxy is effective).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firstLine="648"/>
        <w:spacing w:after="0" w:line="277" w:lineRule="auto"/>
        <w:rPr>
          <w:sz w:val="20"/>
          <w:szCs w:val="20"/>
          <w:color w:val="auto"/>
        </w:rPr>
      </w:pPr>
      <w:r>
        <w:rPr>
          <w:rFonts w:ascii="Arial" w:cs="Arial" w:eastAsia="Arial" w:hAnsi="Arial"/>
          <w:sz w:val="18"/>
          <w:szCs w:val="18"/>
          <w:color w:val="auto"/>
        </w:rPr>
        <w:t>IN WITNESS WHEREOF, the undersigned authorized officer of the Corporation has executed this Amended and Restated Certificate of Incorporation on this 25th day of October, 2022.</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Amnon Shashua</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3.2</w:t>
      </w:r>
    </w:p>
    <w:p>
      <w:pPr>
        <w:spacing w:after="0" w:line="21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AMENDED AND RESTATED</w:t>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BYLAWS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MOBILEYE GLOBAL INC.</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9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53"/>
        </w:trPr>
        <w:tc>
          <w:tcPr>
            <w:tcW w:w="980" w:type="dxa"/>
            <w:vAlign w:val="bottom"/>
          </w:tcPr>
          <w:p>
            <w:pPr>
              <w:spacing w:after="0"/>
              <w:rPr>
                <w:sz w:val="24"/>
                <w:szCs w:val="24"/>
                <w:color w:val="auto"/>
              </w:rPr>
            </w:pPr>
          </w:p>
        </w:tc>
        <w:tc>
          <w:tcPr>
            <w:tcW w:w="7920" w:type="dxa"/>
            <w:vAlign w:val="bottom"/>
          </w:tcPr>
          <w:p>
            <w:pPr>
              <w:jc w:val="center"/>
              <w:ind w:left="1290"/>
              <w:spacing w:after="0"/>
              <w:rPr>
                <w:sz w:val="20"/>
                <w:szCs w:val="20"/>
                <w:color w:val="auto"/>
              </w:rPr>
            </w:pPr>
            <w:r>
              <w:rPr>
                <w:rFonts w:ascii="Arial" w:cs="Arial" w:eastAsia="Arial" w:hAnsi="Arial"/>
                <w:sz w:val="18"/>
                <w:szCs w:val="18"/>
                <w:color w:val="auto"/>
                <w:w w:val="99"/>
              </w:rPr>
              <w:t>ARTICLE I</w:t>
            </w:r>
          </w:p>
        </w:tc>
        <w:tc>
          <w:tcPr>
            <w:tcW w:w="1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7920" w:type="dxa"/>
            <w:vAlign w:val="bottom"/>
          </w:tcPr>
          <w:p>
            <w:pPr>
              <w:jc w:val="center"/>
              <w:ind w:left="1270"/>
              <w:spacing w:after="0"/>
              <w:rPr>
                <w:sz w:val="20"/>
                <w:szCs w:val="20"/>
                <w:color w:val="auto"/>
              </w:rPr>
            </w:pPr>
            <w:r>
              <w:rPr>
                <w:rFonts w:ascii="Arial" w:cs="Arial" w:eastAsia="Arial" w:hAnsi="Arial"/>
                <w:sz w:val="18"/>
                <w:szCs w:val="18"/>
                <w:color w:val="auto"/>
                <w:w w:val="92"/>
              </w:rPr>
              <w:t>OFFICES</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7920" w:type="dxa"/>
            <w:vAlign w:val="bottom"/>
          </w:tcPr>
          <w:p>
            <w:pPr>
              <w:ind w:left="160"/>
              <w:spacing w:after="0"/>
              <w:rPr>
                <w:sz w:val="20"/>
                <w:szCs w:val="20"/>
                <w:color w:val="auto"/>
              </w:rPr>
            </w:pPr>
            <w:r>
              <w:rPr>
                <w:rFonts w:ascii="Arial" w:cs="Arial" w:eastAsia="Arial" w:hAnsi="Arial"/>
                <w:sz w:val="18"/>
                <w:szCs w:val="18"/>
                <w:color w:val="auto"/>
              </w:rPr>
              <w:t>Registered Office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7920" w:type="dxa"/>
            <w:vAlign w:val="bottom"/>
          </w:tcPr>
          <w:p>
            <w:pPr>
              <w:ind w:left="160"/>
              <w:spacing w:after="0"/>
              <w:rPr>
                <w:sz w:val="20"/>
                <w:szCs w:val="20"/>
                <w:color w:val="auto"/>
              </w:rPr>
            </w:pPr>
            <w:r>
              <w:rPr>
                <w:rFonts w:ascii="Arial" w:cs="Arial" w:eastAsia="Arial" w:hAnsi="Arial"/>
                <w:sz w:val="18"/>
                <w:szCs w:val="18"/>
                <w:color w:val="auto"/>
              </w:rPr>
              <w:t>Other Offices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80" w:type="dxa"/>
            <w:vAlign w:val="bottom"/>
          </w:tcPr>
          <w:p>
            <w:pPr>
              <w:spacing w:after="0"/>
              <w:rPr>
                <w:sz w:val="24"/>
                <w:szCs w:val="24"/>
                <w:color w:val="auto"/>
              </w:rPr>
            </w:pPr>
          </w:p>
        </w:tc>
        <w:tc>
          <w:tcPr>
            <w:tcW w:w="7920" w:type="dxa"/>
            <w:vAlign w:val="bottom"/>
          </w:tcPr>
          <w:p>
            <w:pPr>
              <w:jc w:val="center"/>
              <w:ind w:left="1270"/>
              <w:spacing w:after="0"/>
              <w:rPr>
                <w:sz w:val="20"/>
                <w:szCs w:val="20"/>
                <w:color w:val="auto"/>
              </w:rPr>
            </w:pPr>
            <w:r>
              <w:rPr>
                <w:rFonts w:ascii="Arial" w:cs="Arial" w:eastAsia="Arial" w:hAnsi="Arial"/>
                <w:sz w:val="18"/>
                <w:szCs w:val="18"/>
                <w:color w:val="auto"/>
              </w:rPr>
              <w:t>ARTICLE II</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7920" w:type="dxa"/>
            <w:vAlign w:val="bottom"/>
          </w:tcPr>
          <w:p>
            <w:pPr>
              <w:jc w:val="center"/>
              <w:ind w:left="1270"/>
              <w:spacing w:after="0"/>
              <w:rPr>
                <w:sz w:val="20"/>
                <w:szCs w:val="20"/>
                <w:color w:val="auto"/>
              </w:rPr>
            </w:pPr>
            <w:r>
              <w:rPr>
                <w:rFonts w:ascii="Arial" w:cs="Arial" w:eastAsia="Arial" w:hAnsi="Arial"/>
                <w:sz w:val="18"/>
                <w:szCs w:val="18"/>
                <w:color w:val="auto"/>
                <w:w w:val="94"/>
              </w:rPr>
              <w:t>MEETINGS OF STOCKHOLDERS</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7920" w:type="dxa"/>
            <w:vAlign w:val="bottom"/>
          </w:tcPr>
          <w:p>
            <w:pPr>
              <w:ind w:left="160"/>
              <w:spacing w:after="0"/>
              <w:rPr>
                <w:sz w:val="20"/>
                <w:szCs w:val="20"/>
                <w:color w:val="auto"/>
              </w:rPr>
            </w:pPr>
            <w:r>
              <w:rPr>
                <w:rFonts w:ascii="Arial" w:cs="Arial" w:eastAsia="Arial" w:hAnsi="Arial"/>
                <w:sz w:val="18"/>
                <w:szCs w:val="18"/>
                <w:color w:val="auto"/>
              </w:rPr>
              <w:t>Place of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7920" w:type="dxa"/>
            <w:vAlign w:val="bottom"/>
          </w:tcPr>
          <w:p>
            <w:pPr>
              <w:ind w:left="160"/>
              <w:spacing w:after="0"/>
              <w:rPr>
                <w:sz w:val="20"/>
                <w:szCs w:val="20"/>
                <w:color w:val="auto"/>
              </w:rPr>
            </w:pPr>
            <w:r>
              <w:rPr>
                <w:rFonts w:ascii="Arial" w:cs="Arial" w:eastAsia="Arial" w:hAnsi="Arial"/>
                <w:sz w:val="18"/>
                <w:szCs w:val="18"/>
                <w:color w:val="auto"/>
              </w:rPr>
              <w:t>Annual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7920" w:type="dxa"/>
            <w:vAlign w:val="bottom"/>
          </w:tcPr>
          <w:p>
            <w:pPr>
              <w:ind w:left="160"/>
              <w:spacing w:after="0"/>
              <w:rPr>
                <w:sz w:val="20"/>
                <w:szCs w:val="20"/>
                <w:color w:val="auto"/>
              </w:rPr>
            </w:pPr>
            <w:r>
              <w:rPr>
                <w:rFonts w:ascii="Arial" w:cs="Arial" w:eastAsia="Arial" w:hAnsi="Arial"/>
                <w:sz w:val="18"/>
                <w:szCs w:val="18"/>
                <w:color w:val="auto"/>
              </w:rPr>
              <w:t>Special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w:t>
            </w:r>
          </w:p>
        </w:tc>
        <w:tc>
          <w:tcPr>
            <w:tcW w:w="7920" w:type="dxa"/>
            <w:vAlign w:val="bottom"/>
          </w:tcPr>
          <w:p>
            <w:pPr>
              <w:ind w:left="160"/>
              <w:spacing w:after="0"/>
              <w:rPr>
                <w:sz w:val="20"/>
                <w:szCs w:val="20"/>
                <w:color w:val="auto"/>
              </w:rPr>
            </w:pPr>
            <w:r>
              <w:rPr>
                <w:rFonts w:ascii="Arial" w:cs="Arial" w:eastAsia="Arial" w:hAnsi="Arial"/>
                <w:sz w:val="18"/>
                <w:szCs w:val="18"/>
                <w:color w:val="auto"/>
              </w:rPr>
              <w:t>Nature of Business at Meetings of Stockholders; Notice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w:t>
            </w:r>
          </w:p>
        </w:tc>
        <w:tc>
          <w:tcPr>
            <w:tcW w:w="7920" w:type="dxa"/>
            <w:vAlign w:val="bottom"/>
          </w:tcPr>
          <w:p>
            <w:pPr>
              <w:ind w:left="160"/>
              <w:spacing w:after="0"/>
              <w:rPr>
                <w:sz w:val="20"/>
                <w:szCs w:val="20"/>
                <w:color w:val="auto"/>
              </w:rPr>
            </w:pPr>
            <w:r>
              <w:rPr>
                <w:rFonts w:ascii="Arial" w:cs="Arial" w:eastAsia="Arial" w:hAnsi="Arial"/>
                <w:sz w:val="18"/>
                <w:szCs w:val="18"/>
                <w:color w:val="auto"/>
              </w:rPr>
              <w:t>Nomination of Directors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w:t>
            </w:r>
          </w:p>
        </w:tc>
        <w:tc>
          <w:tcPr>
            <w:tcW w:w="7920" w:type="dxa"/>
            <w:vAlign w:val="bottom"/>
          </w:tcPr>
          <w:p>
            <w:pPr>
              <w:ind w:left="160"/>
              <w:spacing w:after="0"/>
              <w:rPr>
                <w:sz w:val="20"/>
                <w:szCs w:val="20"/>
                <w:color w:val="auto"/>
              </w:rPr>
            </w:pPr>
            <w:r>
              <w:rPr>
                <w:rFonts w:ascii="Arial" w:cs="Arial" w:eastAsia="Arial" w:hAnsi="Arial"/>
                <w:sz w:val="18"/>
                <w:szCs w:val="18"/>
                <w:color w:val="auto"/>
              </w:rPr>
              <w:t>Notice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w:t>
            </w:r>
          </w:p>
        </w:tc>
        <w:tc>
          <w:tcPr>
            <w:tcW w:w="7920" w:type="dxa"/>
            <w:vAlign w:val="bottom"/>
          </w:tcPr>
          <w:p>
            <w:pPr>
              <w:ind w:left="160"/>
              <w:spacing w:after="0"/>
              <w:rPr>
                <w:sz w:val="20"/>
                <w:szCs w:val="20"/>
                <w:color w:val="auto"/>
              </w:rPr>
            </w:pPr>
            <w:r>
              <w:rPr>
                <w:rFonts w:ascii="Arial" w:cs="Arial" w:eastAsia="Arial" w:hAnsi="Arial"/>
                <w:sz w:val="18"/>
                <w:szCs w:val="18"/>
                <w:color w:val="auto"/>
              </w:rPr>
              <w:t>Adjournments and Postponements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w:t>
            </w:r>
          </w:p>
        </w:tc>
        <w:tc>
          <w:tcPr>
            <w:tcW w:w="7920" w:type="dxa"/>
            <w:vAlign w:val="bottom"/>
          </w:tcPr>
          <w:p>
            <w:pPr>
              <w:ind w:left="160"/>
              <w:spacing w:after="0"/>
              <w:rPr>
                <w:sz w:val="20"/>
                <w:szCs w:val="20"/>
                <w:color w:val="auto"/>
              </w:rPr>
            </w:pPr>
            <w:r>
              <w:rPr>
                <w:rFonts w:ascii="Arial" w:cs="Arial" w:eastAsia="Arial" w:hAnsi="Arial"/>
                <w:sz w:val="18"/>
                <w:szCs w:val="18"/>
                <w:color w:val="auto"/>
              </w:rPr>
              <w:t>Quorum</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w:t>
            </w:r>
          </w:p>
        </w:tc>
        <w:tc>
          <w:tcPr>
            <w:tcW w:w="7920" w:type="dxa"/>
            <w:vAlign w:val="bottom"/>
          </w:tcPr>
          <w:p>
            <w:pPr>
              <w:ind w:left="160"/>
              <w:spacing w:after="0"/>
              <w:rPr>
                <w:sz w:val="20"/>
                <w:szCs w:val="20"/>
                <w:color w:val="auto"/>
              </w:rPr>
            </w:pPr>
            <w:r>
              <w:rPr>
                <w:rFonts w:ascii="Arial" w:cs="Arial" w:eastAsia="Arial" w:hAnsi="Arial"/>
                <w:sz w:val="18"/>
                <w:szCs w:val="18"/>
                <w:color w:val="auto"/>
              </w:rPr>
              <w:t>Voting</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10.</w:t>
            </w:r>
          </w:p>
        </w:tc>
        <w:tc>
          <w:tcPr>
            <w:tcW w:w="7920" w:type="dxa"/>
            <w:vAlign w:val="bottom"/>
          </w:tcPr>
          <w:p>
            <w:pPr>
              <w:ind w:left="160"/>
              <w:spacing w:after="0"/>
              <w:rPr>
                <w:sz w:val="20"/>
                <w:szCs w:val="20"/>
                <w:color w:val="auto"/>
              </w:rPr>
            </w:pPr>
            <w:r>
              <w:rPr>
                <w:rFonts w:ascii="Arial" w:cs="Arial" w:eastAsia="Arial" w:hAnsi="Arial"/>
                <w:sz w:val="18"/>
                <w:szCs w:val="18"/>
                <w:color w:val="auto"/>
              </w:rPr>
              <w:t>Proxies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11.</w:t>
            </w:r>
          </w:p>
        </w:tc>
        <w:tc>
          <w:tcPr>
            <w:tcW w:w="7920" w:type="dxa"/>
            <w:vAlign w:val="bottom"/>
          </w:tcPr>
          <w:p>
            <w:pPr>
              <w:ind w:left="160"/>
              <w:spacing w:after="0"/>
              <w:rPr>
                <w:sz w:val="20"/>
                <w:szCs w:val="20"/>
                <w:color w:val="auto"/>
              </w:rPr>
            </w:pPr>
            <w:r>
              <w:rPr>
                <w:rFonts w:ascii="Arial" w:cs="Arial" w:eastAsia="Arial" w:hAnsi="Arial"/>
                <w:sz w:val="18"/>
                <w:szCs w:val="18"/>
                <w:color w:val="auto"/>
              </w:rPr>
              <w:t>Consent of Stockholders in Lieu of Meeting</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12.</w:t>
            </w:r>
          </w:p>
        </w:tc>
        <w:tc>
          <w:tcPr>
            <w:tcW w:w="7920" w:type="dxa"/>
            <w:vAlign w:val="bottom"/>
          </w:tcPr>
          <w:p>
            <w:pPr>
              <w:ind w:left="160"/>
              <w:spacing w:after="0"/>
              <w:rPr>
                <w:sz w:val="20"/>
                <w:szCs w:val="20"/>
                <w:color w:val="auto"/>
              </w:rPr>
            </w:pPr>
            <w:r>
              <w:rPr>
                <w:rFonts w:ascii="Arial" w:cs="Arial" w:eastAsia="Arial" w:hAnsi="Arial"/>
                <w:sz w:val="18"/>
                <w:szCs w:val="18"/>
                <w:color w:val="auto"/>
              </w:rPr>
              <w:t>List of Stockholders Entitled to Vote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13.</w:t>
            </w:r>
          </w:p>
        </w:tc>
        <w:tc>
          <w:tcPr>
            <w:tcW w:w="7920" w:type="dxa"/>
            <w:vAlign w:val="bottom"/>
          </w:tcPr>
          <w:p>
            <w:pPr>
              <w:ind w:left="160"/>
              <w:spacing w:after="0"/>
              <w:rPr>
                <w:sz w:val="20"/>
                <w:szCs w:val="20"/>
                <w:color w:val="auto"/>
              </w:rPr>
            </w:pPr>
            <w:r>
              <w:rPr>
                <w:rFonts w:ascii="Arial" w:cs="Arial" w:eastAsia="Arial" w:hAnsi="Arial"/>
                <w:sz w:val="18"/>
                <w:szCs w:val="18"/>
                <w:color w:val="auto"/>
              </w:rPr>
              <w:t>Record Date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14.</w:t>
            </w:r>
          </w:p>
        </w:tc>
        <w:tc>
          <w:tcPr>
            <w:tcW w:w="7920" w:type="dxa"/>
            <w:vAlign w:val="bottom"/>
          </w:tcPr>
          <w:p>
            <w:pPr>
              <w:ind w:left="160"/>
              <w:spacing w:after="0"/>
              <w:rPr>
                <w:sz w:val="20"/>
                <w:szCs w:val="20"/>
                <w:color w:val="auto"/>
              </w:rPr>
            </w:pPr>
            <w:r>
              <w:rPr>
                <w:rFonts w:ascii="Arial" w:cs="Arial" w:eastAsia="Arial" w:hAnsi="Arial"/>
                <w:sz w:val="18"/>
                <w:szCs w:val="18"/>
                <w:color w:val="auto"/>
              </w:rPr>
              <w:t>Stock Ledger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15.</w:t>
            </w:r>
          </w:p>
        </w:tc>
        <w:tc>
          <w:tcPr>
            <w:tcW w:w="7920" w:type="dxa"/>
            <w:vAlign w:val="bottom"/>
          </w:tcPr>
          <w:p>
            <w:pPr>
              <w:ind w:left="160"/>
              <w:spacing w:after="0"/>
              <w:rPr>
                <w:sz w:val="20"/>
                <w:szCs w:val="20"/>
                <w:color w:val="auto"/>
              </w:rPr>
            </w:pPr>
            <w:r>
              <w:rPr>
                <w:rFonts w:ascii="Arial" w:cs="Arial" w:eastAsia="Arial" w:hAnsi="Arial"/>
                <w:sz w:val="18"/>
                <w:szCs w:val="18"/>
                <w:color w:val="auto"/>
              </w:rPr>
              <w:t>Conduct of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16.</w:t>
            </w:r>
          </w:p>
        </w:tc>
        <w:tc>
          <w:tcPr>
            <w:tcW w:w="7920" w:type="dxa"/>
            <w:vAlign w:val="bottom"/>
          </w:tcPr>
          <w:p>
            <w:pPr>
              <w:ind w:left="160"/>
              <w:spacing w:after="0"/>
              <w:rPr>
                <w:sz w:val="20"/>
                <w:szCs w:val="20"/>
                <w:color w:val="auto"/>
              </w:rPr>
            </w:pPr>
            <w:r>
              <w:rPr>
                <w:rFonts w:ascii="Arial" w:cs="Arial" w:eastAsia="Arial" w:hAnsi="Arial"/>
                <w:sz w:val="18"/>
                <w:szCs w:val="18"/>
                <w:color w:val="auto"/>
              </w:rPr>
              <w:t>Inspectors of Election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980" w:type="dxa"/>
            <w:vAlign w:val="bottom"/>
          </w:tcPr>
          <w:p>
            <w:pPr>
              <w:spacing w:after="0"/>
              <w:rPr>
                <w:sz w:val="24"/>
                <w:szCs w:val="24"/>
                <w:color w:val="auto"/>
              </w:rPr>
            </w:pPr>
          </w:p>
        </w:tc>
        <w:tc>
          <w:tcPr>
            <w:tcW w:w="7920" w:type="dxa"/>
            <w:vAlign w:val="bottom"/>
          </w:tcPr>
          <w:p>
            <w:pPr>
              <w:jc w:val="center"/>
              <w:ind w:left="1290"/>
              <w:spacing w:after="0"/>
              <w:rPr>
                <w:sz w:val="20"/>
                <w:szCs w:val="20"/>
                <w:color w:val="auto"/>
              </w:rPr>
            </w:pPr>
            <w:r>
              <w:rPr>
                <w:rFonts w:ascii="Arial" w:cs="Arial" w:eastAsia="Arial" w:hAnsi="Arial"/>
                <w:sz w:val="18"/>
                <w:szCs w:val="18"/>
                <w:color w:val="auto"/>
              </w:rPr>
              <w:t>ARTICLE III</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7920" w:type="dxa"/>
            <w:vAlign w:val="bottom"/>
          </w:tcPr>
          <w:p>
            <w:pPr>
              <w:jc w:val="center"/>
              <w:ind w:left="1270"/>
              <w:spacing w:after="0"/>
              <w:rPr>
                <w:sz w:val="20"/>
                <w:szCs w:val="20"/>
                <w:color w:val="auto"/>
              </w:rPr>
            </w:pPr>
            <w:r>
              <w:rPr>
                <w:rFonts w:ascii="Arial" w:cs="Arial" w:eastAsia="Arial" w:hAnsi="Arial"/>
                <w:sz w:val="18"/>
                <w:szCs w:val="18"/>
                <w:color w:val="auto"/>
                <w:w w:val="94"/>
              </w:rPr>
              <w:t>DIRECTORS</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7920" w:type="dxa"/>
            <w:vAlign w:val="bottom"/>
          </w:tcPr>
          <w:p>
            <w:pPr>
              <w:ind w:left="160"/>
              <w:spacing w:after="0"/>
              <w:rPr>
                <w:sz w:val="20"/>
                <w:szCs w:val="20"/>
                <w:color w:val="auto"/>
              </w:rPr>
            </w:pPr>
            <w:r>
              <w:rPr>
                <w:rFonts w:ascii="Arial" w:cs="Arial" w:eastAsia="Arial" w:hAnsi="Arial"/>
                <w:sz w:val="18"/>
                <w:szCs w:val="18"/>
                <w:color w:val="auto"/>
              </w:rPr>
              <w:t>Number and Election of Directors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7920" w:type="dxa"/>
            <w:vAlign w:val="bottom"/>
          </w:tcPr>
          <w:p>
            <w:pPr>
              <w:ind w:left="160"/>
              <w:spacing w:after="0"/>
              <w:rPr>
                <w:sz w:val="20"/>
                <w:szCs w:val="20"/>
                <w:color w:val="auto"/>
              </w:rPr>
            </w:pPr>
            <w:r>
              <w:rPr>
                <w:rFonts w:ascii="Arial" w:cs="Arial" w:eastAsia="Arial" w:hAnsi="Arial"/>
                <w:sz w:val="18"/>
                <w:szCs w:val="18"/>
                <w:color w:val="auto"/>
              </w:rPr>
              <w:t>Vacancies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7920" w:type="dxa"/>
            <w:vAlign w:val="bottom"/>
          </w:tcPr>
          <w:p>
            <w:pPr>
              <w:ind w:left="160"/>
              <w:spacing w:after="0"/>
              <w:rPr>
                <w:sz w:val="20"/>
                <w:szCs w:val="20"/>
                <w:color w:val="auto"/>
              </w:rPr>
            </w:pPr>
            <w:r>
              <w:rPr>
                <w:rFonts w:ascii="Arial" w:cs="Arial" w:eastAsia="Arial" w:hAnsi="Arial"/>
                <w:sz w:val="18"/>
                <w:szCs w:val="18"/>
                <w:color w:val="auto"/>
              </w:rPr>
              <w:t>Duties and Powers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w:t>
            </w:r>
          </w:p>
        </w:tc>
        <w:tc>
          <w:tcPr>
            <w:tcW w:w="7920" w:type="dxa"/>
            <w:vAlign w:val="bottom"/>
          </w:tcPr>
          <w:p>
            <w:pPr>
              <w:ind w:left="160"/>
              <w:spacing w:after="0"/>
              <w:rPr>
                <w:sz w:val="20"/>
                <w:szCs w:val="20"/>
                <w:color w:val="auto"/>
              </w:rPr>
            </w:pPr>
            <w:r>
              <w:rPr>
                <w:rFonts w:ascii="Arial" w:cs="Arial" w:eastAsia="Arial" w:hAnsi="Arial"/>
                <w:sz w:val="18"/>
                <w:szCs w:val="18"/>
                <w:color w:val="auto"/>
              </w:rPr>
              <w:t>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w:t>
            </w:r>
          </w:p>
        </w:tc>
        <w:tc>
          <w:tcPr>
            <w:tcW w:w="792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w:t>
            </w:r>
          </w:p>
        </w:tc>
        <w:tc>
          <w:tcPr>
            <w:tcW w:w="7920" w:type="dxa"/>
            <w:vAlign w:val="bottom"/>
          </w:tcPr>
          <w:p>
            <w:pPr>
              <w:ind w:left="160"/>
              <w:spacing w:after="0"/>
              <w:rPr>
                <w:sz w:val="20"/>
                <w:szCs w:val="20"/>
                <w:color w:val="auto"/>
              </w:rPr>
            </w:pPr>
            <w:r>
              <w:rPr>
                <w:rFonts w:ascii="Arial" w:cs="Arial" w:eastAsia="Arial" w:hAnsi="Arial"/>
                <w:sz w:val="18"/>
                <w:szCs w:val="18"/>
                <w:color w:val="auto"/>
              </w:rPr>
              <w:t>Resignations and Removals of Directors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w:t>
            </w:r>
          </w:p>
        </w:tc>
        <w:tc>
          <w:tcPr>
            <w:tcW w:w="7920" w:type="dxa"/>
            <w:vAlign w:val="bottom"/>
          </w:tcPr>
          <w:p>
            <w:pPr>
              <w:ind w:left="160"/>
              <w:spacing w:after="0"/>
              <w:rPr>
                <w:sz w:val="20"/>
                <w:szCs w:val="20"/>
                <w:color w:val="auto"/>
              </w:rPr>
            </w:pPr>
            <w:r>
              <w:rPr>
                <w:rFonts w:ascii="Arial" w:cs="Arial" w:eastAsia="Arial" w:hAnsi="Arial"/>
                <w:sz w:val="18"/>
                <w:szCs w:val="18"/>
                <w:color w:val="auto"/>
              </w:rPr>
              <w:t>Quorum</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w:t>
            </w:r>
          </w:p>
        </w:tc>
        <w:tc>
          <w:tcPr>
            <w:tcW w:w="7920" w:type="dxa"/>
            <w:vAlign w:val="bottom"/>
          </w:tcPr>
          <w:p>
            <w:pPr>
              <w:ind w:left="160"/>
              <w:spacing w:after="0"/>
              <w:rPr>
                <w:sz w:val="20"/>
                <w:szCs w:val="20"/>
                <w:color w:val="auto"/>
              </w:rPr>
            </w:pPr>
            <w:r>
              <w:rPr>
                <w:rFonts w:ascii="Arial" w:cs="Arial" w:eastAsia="Arial" w:hAnsi="Arial"/>
                <w:sz w:val="18"/>
                <w:szCs w:val="18"/>
                <w:color w:val="auto"/>
              </w:rPr>
              <w:t>Emergency Powers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w:t>
            </w:r>
          </w:p>
        </w:tc>
        <w:tc>
          <w:tcPr>
            <w:tcW w:w="7920" w:type="dxa"/>
            <w:vAlign w:val="bottom"/>
          </w:tcPr>
          <w:p>
            <w:pPr>
              <w:ind w:left="160"/>
              <w:spacing w:after="0"/>
              <w:rPr>
                <w:sz w:val="20"/>
                <w:szCs w:val="20"/>
                <w:color w:val="auto"/>
              </w:rPr>
            </w:pPr>
            <w:r>
              <w:rPr>
                <w:rFonts w:ascii="Arial" w:cs="Arial" w:eastAsia="Arial" w:hAnsi="Arial"/>
                <w:sz w:val="18"/>
                <w:szCs w:val="18"/>
                <w:color w:val="auto"/>
              </w:rPr>
              <w:t>Actions of the Board by Written Consent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10.</w:t>
            </w:r>
          </w:p>
        </w:tc>
        <w:tc>
          <w:tcPr>
            <w:tcW w:w="7920" w:type="dxa"/>
            <w:vAlign w:val="bottom"/>
          </w:tcPr>
          <w:p>
            <w:pPr>
              <w:ind w:left="160"/>
              <w:spacing w:after="0"/>
              <w:rPr>
                <w:sz w:val="20"/>
                <w:szCs w:val="20"/>
                <w:color w:val="auto"/>
              </w:rPr>
            </w:pPr>
            <w:r>
              <w:rPr>
                <w:rFonts w:ascii="Arial" w:cs="Arial" w:eastAsia="Arial" w:hAnsi="Arial"/>
                <w:sz w:val="18"/>
                <w:szCs w:val="18"/>
                <w:color w:val="auto"/>
              </w:rPr>
              <w:t>Meetings by Means of Conference Telephone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11.</w:t>
            </w:r>
          </w:p>
        </w:tc>
        <w:tc>
          <w:tcPr>
            <w:tcW w:w="7920" w:type="dxa"/>
            <w:vAlign w:val="bottom"/>
          </w:tcPr>
          <w:p>
            <w:pPr>
              <w:ind w:left="160"/>
              <w:spacing w:after="0"/>
              <w:rPr>
                <w:sz w:val="20"/>
                <w:szCs w:val="20"/>
                <w:color w:val="auto"/>
              </w:rPr>
            </w:pPr>
            <w:r>
              <w:rPr>
                <w:rFonts w:ascii="Arial" w:cs="Arial" w:eastAsia="Arial" w:hAnsi="Arial"/>
                <w:sz w:val="18"/>
                <w:szCs w:val="18"/>
                <w:color w:val="auto"/>
              </w:rPr>
              <w:t>Committees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12.</w:t>
            </w:r>
          </w:p>
        </w:tc>
        <w:tc>
          <w:tcPr>
            <w:tcW w:w="3520" w:type="dxa"/>
            <w:vAlign w:val="bottom"/>
          </w:tcPr>
          <w:p>
            <w:pPr>
              <w:ind w:left="160"/>
              <w:spacing w:after="0"/>
              <w:rPr>
                <w:sz w:val="20"/>
                <w:szCs w:val="20"/>
                <w:color w:val="auto"/>
              </w:rPr>
            </w:pPr>
            <w:r>
              <w:rPr>
                <w:rFonts w:ascii="Arial" w:cs="Arial" w:eastAsia="Arial" w:hAnsi="Arial"/>
                <w:sz w:val="18"/>
                <w:szCs w:val="18"/>
                <w:color w:val="auto"/>
              </w:rPr>
              <w:t>Subcommittees</w:t>
            </w:r>
          </w:p>
        </w:tc>
        <w:tc>
          <w:tcPr>
            <w:tcW w:w="6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13.</w:t>
            </w:r>
          </w:p>
        </w:tc>
        <w:tc>
          <w:tcPr>
            <w:tcW w:w="35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14.</w:t>
            </w:r>
          </w:p>
        </w:tc>
        <w:tc>
          <w:tcPr>
            <w:tcW w:w="3520" w:type="dxa"/>
            <w:vAlign w:val="bottom"/>
          </w:tcPr>
          <w:p>
            <w:pPr>
              <w:ind w:left="160"/>
              <w:spacing w:after="0"/>
              <w:rPr>
                <w:sz w:val="20"/>
                <w:szCs w:val="20"/>
                <w:color w:val="auto"/>
              </w:rPr>
            </w:pPr>
            <w:r>
              <w:rPr>
                <w:rFonts w:ascii="Arial" w:cs="Arial" w:eastAsia="Arial" w:hAnsi="Arial"/>
                <w:sz w:val="18"/>
                <w:szCs w:val="18"/>
                <w:color w:val="auto"/>
              </w:rPr>
              <w:t>Interested Directors</w:t>
            </w:r>
          </w:p>
        </w:tc>
        <w:tc>
          <w:tcPr>
            <w:tcW w:w="6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40" w:type="dxa"/>
            <w:vAlign w:val="bottom"/>
          </w:tcPr>
          <w:p>
            <w:pPr>
              <w:jc w:val="center"/>
              <w:ind w:right="4390"/>
              <w:spacing w:after="0"/>
              <w:rPr>
                <w:sz w:val="20"/>
                <w:szCs w:val="20"/>
                <w:color w:val="auto"/>
              </w:rPr>
            </w:pPr>
            <w:r>
              <w:rPr>
                <w:rFonts w:ascii="Arial" w:cs="Arial" w:eastAsia="Arial" w:hAnsi="Arial"/>
                <w:sz w:val="18"/>
                <w:szCs w:val="18"/>
                <w:color w:val="auto"/>
                <w:w w:val="99"/>
              </w:rPr>
              <w:t>ARTICLE IV</w:t>
            </w:r>
          </w:p>
        </w:tc>
      </w:tr>
      <w:tr>
        <w:trPr>
          <w:trHeight w:val="432"/>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40" w:type="dxa"/>
            <w:vAlign w:val="bottom"/>
          </w:tcPr>
          <w:p>
            <w:pPr>
              <w:jc w:val="center"/>
              <w:ind w:right="4410"/>
              <w:spacing w:after="0"/>
              <w:rPr>
                <w:sz w:val="20"/>
                <w:szCs w:val="20"/>
                <w:color w:val="auto"/>
              </w:rPr>
            </w:pPr>
            <w:r>
              <w:rPr>
                <w:rFonts w:ascii="Arial" w:cs="Arial" w:eastAsia="Arial" w:hAnsi="Arial"/>
                <w:sz w:val="18"/>
                <w:szCs w:val="18"/>
                <w:color w:val="auto"/>
                <w:w w:val="92"/>
              </w:rPr>
              <w:t>OFFICERS</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3520" w:type="dxa"/>
            <w:vAlign w:val="bottom"/>
          </w:tcPr>
          <w:p>
            <w:pPr>
              <w:ind w:left="160"/>
              <w:spacing w:after="0"/>
              <w:rPr>
                <w:sz w:val="20"/>
                <w:szCs w:val="20"/>
                <w:color w:val="auto"/>
              </w:rPr>
            </w:pPr>
            <w:r>
              <w:rPr>
                <w:rFonts w:ascii="Arial" w:cs="Arial" w:eastAsia="Arial" w:hAnsi="Arial"/>
                <w:sz w:val="18"/>
                <w:szCs w:val="18"/>
                <w:color w:val="auto"/>
              </w:rPr>
              <w:t>General</w:t>
            </w:r>
          </w:p>
        </w:tc>
        <w:tc>
          <w:tcPr>
            <w:tcW w:w="6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3520" w:type="dxa"/>
            <w:vAlign w:val="bottom"/>
          </w:tcPr>
          <w:p>
            <w:pPr>
              <w:ind w:left="160"/>
              <w:spacing w:after="0"/>
              <w:rPr>
                <w:sz w:val="20"/>
                <w:szCs w:val="20"/>
                <w:color w:val="auto"/>
              </w:rPr>
            </w:pPr>
            <w:r>
              <w:rPr>
                <w:rFonts w:ascii="Arial" w:cs="Arial" w:eastAsia="Arial" w:hAnsi="Arial"/>
                <w:sz w:val="18"/>
                <w:szCs w:val="18"/>
                <w:color w:val="auto"/>
              </w:rPr>
              <w:t>Election</w:t>
            </w:r>
          </w:p>
        </w:tc>
        <w:tc>
          <w:tcPr>
            <w:tcW w:w="6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3520" w:type="dxa"/>
            <w:vAlign w:val="bottom"/>
          </w:tcPr>
          <w:p>
            <w:pPr>
              <w:ind w:left="160"/>
              <w:spacing w:after="0"/>
              <w:rPr>
                <w:sz w:val="20"/>
                <w:szCs w:val="20"/>
                <w:color w:val="auto"/>
              </w:rPr>
            </w:pPr>
            <w:r>
              <w:rPr>
                <w:rFonts w:ascii="Arial" w:cs="Arial" w:eastAsia="Arial" w:hAnsi="Arial"/>
                <w:sz w:val="18"/>
                <w:szCs w:val="18"/>
                <w:color w:val="auto"/>
                <w:w w:val="95"/>
              </w:rPr>
              <w:t>Voting Securities Owned by the Corporation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w:t>
            </w:r>
          </w:p>
        </w:tc>
        <w:tc>
          <w:tcPr>
            <w:tcW w:w="3520" w:type="dxa"/>
            <w:vAlign w:val="bottom"/>
          </w:tcPr>
          <w:p>
            <w:pPr>
              <w:ind w:left="160"/>
              <w:spacing w:after="0"/>
              <w:rPr>
                <w:sz w:val="20"/>
                <w:szCs w:val="20"/>
                <w:color w:val="auto"/>
              </w:rPr>
            </w:pPr>
            <w:r>
              <w:rPr>
                <w:rFonts w:ascii="Arial" w:cs="Arial" w:eastAsia="Arial" w:hAnsi="Arial"/>
                <w:sz w:val="18"/>
                <w:szCs w:val="18"/>
                <w:color w:val="auto"/>
              </w:rPr>
              <w:t>Chair of the Board of Directors</w:t>
            </w:r>
          </w:p>
        </w:tc>
        <w:tc>
          <w:tcPr>
            <w:tcW w:w="6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w:t>
            </w:r>
          </w:p>
        </w:tc>
        <w:tc>
          <w:tcPr>
            <w:tcW w:w="352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6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w:t>
            </w:r>
          </w:p>
        </w:tc>
        <w:tc>
          <w:tcPr>
            <w:tcW w:w="3520" w:type="dxa"/>
            <w:vAlign w:val="bottom"/>
          </w:tcPr>
          <w:p>
            <w:pPr>
              <w:ind w:left="160"/>
              <w:spacing w:after="0"/>
              <w:rPr>
                <w:sz w:val="20"/>
                <w:szCs w:val="20"/>
                <w:color w:val="auto"/>
              </w:rPr>
            </w:pPr>
            <w:r>
              <w:rPr>
                <w:rFonts w:ascii="Arial" w:cs="Arial" w:eastAsia="Arial" w:hAnsi="Arial"/>
                <w:sz w:val="18"/>
                <w:szCs w:val="18"/>
                <w:color w:val="auto"/>
              </w:rPr>
              <w:t>Secretary</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w:t>
            </w:r>
          </w:p>
        </w:tc>
        <w:tc>
          <w:tcPr>
            <w:tcW w:w="352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8.</w:t>
            </w:r>
          </w:p>
        </w:tc>
        <w:tc>
          <w:tcPr>
            <w:tcW w:w="3520" w:type="dxa"/>
            <w:vAlign w:val="bottom"/>
          </w:tcPr>
          <w:p>
            <w:pPr>
              <w:ind w:left="160"/>
              <w:spacing w:after="0"/>
              <w:rPr>
                <w:sz w:val="20"/>
                <w:szCs w:val="20"/>
                <w:color w:val="auto"/>
              </w:rPr>
            </w:pPr>
            <w:r>
              <w:rPr>
                <w:rFonts w:ascii="Arial" w:cs="Arial" w:eastAsia="Arial" w:hAnsi="Arial"/>
                <w:sz w:val="18"/>
                <w:szCs w:val="18"/>
                <w:color w:val="auto"/>
              </w:rPr>
              <w:t>Other Officers</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40" w:type="dxa"/>
            <w:vAlign w:val="bottom"/>
          </w:tcPr>
          <w:p>
            <w:pPr>
              <w:jc w:val="center"/>
              <w:ind w:right="4410"/>
              <w:spacing w:after="0"/>
              <w:rPr>
                <w:sz w:val="20"/>
                <w:szCs w:val="20"/>
                <w:color w:val="auto"/>
              </w:rPr>
            </w:pPr>
            <w:r>
              <w:rPr>
                <w:rFonts w:ascii="Arial" w:cs="Arial" w:eastAsia="Arial" w:hAnsi="Arial"/>
                <w:sz w:val="18"/>
                <w:szCs w:val="18"/>
                <w:color w:val="auto"/>
                <w:w w:val="98"/>
              </w:rPr>
              <w:t>ARTICLE V</w:t>
            </w:r>
          </w:p>
        </w:tc>
      </w:tr>
      <w:tr>
        <w:trPr>
          <w:trHeight w:val="432"/>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40" w:type="dxa"/>
            <w:vAlign w:val="bottom"/>
          </w:tcPr>
          <w:p>
            <w:pPr>
              <w:jc w:val="center"/>
              <w:ind w:right="4390"/>
              <w:spacing w:after="0"/>
              <w:rPr>
                <w:sz w:val="20"/>
                <w:szCs w:val="20"/>
                <w:color w:val="auto"/>
              </w:rPr>
            </w:pPr>
            <w:r>
              <w:rPr>
                <w:rFonts w:ascii="Arial" w:cs="Arial" w:eastAsia="Arial" w:hAnsi="Arial"/>
                <w:sz w:val="18"/>
                <w:szCs w:val="18"/>
                <w:color w:val="auto"/>
                <w:w w:val="93"/>
              </w:rPr>
              <w:t>STOCK</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3520" w:type="dxa"/>
            <w:vAlign w:val="bottom"/>
          </w:tcPr>
          <w:p>
            <w:pPr>
              <w:ind w:left="160"/>
              <w:spacing w:after="0"/>
              <w:rPr>
                <w:sz w:val="20"/>
                <w:szCs w:val="20"/>
                <w:color w:val="auto"/>
              </w:rPr>
            </w:pPr>
            <w:r>
              <w:rPr>
                <w:rFonts w:ascii="Arial" w:cs="Arial" w:eastAsia="Arial" w:hAnsi="Arial"/>
                <w:sz w:val="18"/>
                <w:szCs w:val="18"/>
                <w:color w:val="auto"/>
              </w:rPr>
              <w:t>Form of Certificates</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3520" w:type="dxa"/>
            <w:vAlign w:val="bottom"/>
          </w:tcPr>
          <w:p>
            <w:pPr>
              <w:ind w:left="160"/>
              <w:spacing w:after="0"/>
              <w:rPr>
                <w:sz w:val="20"/>
                <w:szCs w:val="20"/>
                <w:color w:val="auto"/>
              </w:rPr>
            </w:pPr>
            <w:r>
              <w:rPr>
                <w:rFonts w:ascii="Arial" w:cs="Arial" w:eastAsia="Arial" w:hAnsi="Arial"/>
                <w:sz w:val="18"/>
                <w:szCs w:val="18"/>
                <w:color w:val="auto"/>
              </w:rPr>
              <w:t>Lost Certificates</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3520" w:type="dxa"/>
            <w:vAlign w:val="bottom"/>
          </w:tcPr>
          <w:p>
            <w:pPr>
              <w:ind w:left="160"/>
              <w:spacing w:after="0"/>
              <w:rPr>
                <w:sz w:val="20"/>
                <w:szCs w:val="20"/>
                <w:color w:val="auto"/>
              </w:rPr>
            </w:pPr>
            <w:r>
              <w:rPr>
                <w:rFonts w:ascii="Arial" w:cs="Arial" w:eastAsia="Arial" w:hAnsi="Arial"/>
                <w:sz w:val="18"/>
                <w:szCs w:val="18"/>
                <w:color w:val="auto"/>
              </w:rPr>
              <w:t>Transfers</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w:t>
            </w:r>
          </w:p>
        </w:tc>
        <w:tc>
          <w:tcPr>
            <w:tcW w:w="3520" w:type="dxa"/>
            <w:vAlign w:val="bottom"/>
          </w:tcPr>
          <w:p>
            <w:pPr>
              <w:ind w:left="160"/>
              <w:spacing w:after="0"/>
              <w:rPr>
                <w:sz w:val="20"/>
                <w:szCs w:val="20"/>
                <w:color w:val="auto"/>
              </w:rPr>
            </w:pPr>
            <w:r>
              <w:rPr>
                <w:rFonts w:ascii="Arial" w:cs="Arial" w:eastAsia="Arial" w:hAnsi="Arial"/>
                <w:sz w:val="18"/>
                <w:szCs w:val="18"/>
                <w:color w:val="auto"/>
              </w:rPr>
              <w:t>Dividend Record Date</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w:t>
            </w:r>
          </w:p>
        </w:tc>
        <w:tc>
          <w:tcPr>
            <w:tcW w:w="3520" w:type="dxa"/>
            <w:vAlign w:val="bottom"/>
          </w:tcPr>
          <w:p>
            <w:pPr>
              <w:ind w:left="160"/>
              <w:spacing w:after="0"/>
              <w:rPr>
                <w:sz w:val="20"/>
                <w:szCs w:val="20"/>
                <w:color w:val="auto"/>
              </w:rPr>
            </w:pPr>
            <w:r>
              <w:rPr>
                <w:rFonts w:ascii="Arial" w:cs="Arial" w:eastAsia="Arial" w:hAnsi="Arial"/>
                <w:sz w:val="18"/>
                <w:szCs w:val="18"/>
                <w:color w:val="auto"/>
              </w:rPr>
              <w:t>Record Owners</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6.</w:t>
            </w:r>
          </w:p>
        </w:tc>
        <w:tc>
          <w:tcPr>
            <w:tcW w:w="3520" w:type="dxa"/>
            <w:vAlign w:val="bottom"/>
          </w:tcPr>
          <w:p>
            <w:pPr>
              <w:ind w:left="160"/>
              <w:spacing w:after="0"/>
              <w:rPr>
                <w:sz w:val="20"/>
                <w:szCs w:val="20"/>
                <w:color w:val="auto"/>
              </w:rPr>
            </w:pPr>
            <w:r>
              <w:rPr>
                <w:rFonts w:ascii="Arial" w:cs="Arial" w:eastAsia="Arial" w:hAnsi="Arial"/>
                <w:sz w:val="18"/>
                <w:szCs w:val="18"/>
                <w:color w:val="auto"/>
              </w:rPr>
              <w:t>Transfer and Registry Agents</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40" w:type="dxa"/>
            <w:vAlign w:val="bottom"/>
          </w:tcPr>
          <w:p>
            <w:pPr>
              <w:jc w:val="center"/>
              <w:ind w:right="4390"/>
              <w:spacing w:after="0"/>
              <w:rPr>
                <w:sz w:val="20"/>
                <w:szCs w:val="20"/>
                <w:color w:val="auto"/>
              </w:rPr>
            </w:pPr>
            <w:r>
              <w:rPr>
                <w:rFonts w:ascii="Arial" w:cs="Arial" w:eastAsia="Arial" w:hAnsi="Arial"/>
                <w:sz w:val="18"/>
                <w:szCs w:val="18"/>
                <w:color w:val="auto"/>
                <w:w w:val="99"/>
              </w:rPr>
              <w:t>ARTICLE VI</w:t>
            </w:r>
          </w:p>
        </w:tc>
      </w:tr>
      <w:tr>
        <w:trPr>
          <w:trHeight w:val="432"/>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40" w:type="dxa"/>
            <w:vAlign w:val="bottom"/>
          </w:tcPr>
          <w:p>
            <w:pPr>
              <w:jc w:val="center"/>
              <w:ind w:right="4410"/>
              <w:spacing w:after="0"/>
              <w:rPr>
                <w:sz w:val="20"/>
                <w:szCs w:val="20"/>
                <w:color w:val="auto"/>
              </w:rPr>
            </w:pPr>
            <w:r>
              <w:rPr>
                <w:rFonts w:ascii="Arial" w:cs="Arial" w:eastAsia="Arial" w:hAnsi="Arial"/>
                <w:sz w:val="18"/>
                <w:szCs w:val="18"/>
                <w:color w:val="auto"/>
                <w:w w:val="94"/>
              </w:rPr>
              <w:t>NOTICES</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3520" w:type="dxa"/>
            <w:vAlign w:val="bottom"/>
          </w:tcPr>
          <w:p>
            <w:pPr>
              <w:ind w:left="160"/>
              <w:spacing w:after="0"/>
              <w:rPr>
                <w:sz w:val="20"/>
                <w:szCs w:val="20"/>
                <w:color w:val="auto"/>
              </w:rPr>
            </w:pPr>
            <w:r>
              <w:rPr>
                <w:rFonts w:ascii="Arial" w:cs="Arial" w:eastAsia="Arial" w:hAnsi="Arial"/>
                <w:sz w:val="18"/>
                <w:szCs w:val="18"/>
                <w:color w:val="auto"/>
              </w:rPr>
              <w:t>Notices</w:t>
            </w:r>
          </w:p>
        </w:tc>
        <w:tc>
          <w:tcPr>
            <w:tcW w:w="6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3520" w:type="dxa"/>
            <w:vAlign w:val="bottom"/>
          </w:tcPr>
          <w:p>
            <w:pPr>
              <w:ind w:left="160"/>
              <w:spacing w:after="0"/>
              <w:rPr>
                <w:sz w:val="20"/>
                <w:szCs w:val="20"/>
                <w:color w:val="auto"/>
              </w:rPr>
            </w:pPr>
            <w:r>
              <w:rPr>
                <w:rFonts w:ascii="Arial" w:cs="Arial" w:eastAsia="Arial" w:hAnsi="Arial"/>
                <w:sz w:val="18"/>
                <w:szCs w:val="18"/>
                <w:color w:val="auto"/>
              </w:rPr>
              <w:t>Waivers of Notice</w:t>
            </w:r>
          </w:p>
        </w:tc>
        <w:tc>
          <w:tcPr>
            <w:tcW w:w="6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40" w:type="dxa"/>
            <w:vAlign w:val="bottom"/>
          </w:tcPr>
          <w:p>
            <w:pPr>
              <w:jc w:val="center"/>
              <w:ind w:right="4410"/>
              <w:spacing w:after="0"/>
              <w:rPr>
                <w:sz w:val="20"/>
                <w:szCs w:val="20"/>
                <w:color w:val="auto"/>
              </w:rPr>
            </w:pPr>
            <w:r>
              <w:rPr>
                <w:rFonts w:ascii="Arial" w:cs="Arial" w:eastAsia="Arial" w:hAnsi="Arial"/>
                <w:sz w:val="18"/>
                <w:szCs w:val="18"/>
                <w:color w:val="auto"/>
              </w:rPr>
              <w:t>ARTICLE VII</w:t>
            </w:r>
          </w:p>
        </w:tc>
      </w:tr>
      <w:tr>
        <w:trPr>
          <w:trHeight w:val="432"/>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40" w:type="dxa"/>
            <w:vAlign w:val="bottom"/>
          </w:tcPr>
          <w:p>
            <w:pPr>
              <w:jc w:val="center"/>
              <w:ind w:right="4390"/>
              <w:spacing w:after="0"/>
              <w:rPr>
                <w:sz w:val="20"/>
                <w:szCs w:val="20"/>
                <w:color w:val="auto"/>
              </w:rPr>
            </w:pPr>
            <w:r>
              <w:rPr>
                <w:rFonts w:ascii="Arial" w:cs="Arial" w:eastAsia="Arial" w:hAnsi="Arial"/>
                <w:sz w:val="18"/>
                <w:szCs w:val="18"/>
                <w:color w:val="auto"/>
                <w:w w:val="95"/>
              </w:rPr>
              <w:t>GENERAL PROVISIONS</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352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3520" w:type="dxa"/>
            <w:vAlign w:val="bottom"/>
          </w:tcPr>
          <w:p>
            <w:pPr>
              <w:ind w:left="160"/>
              <w:spacing w:after="0"/>
              <w:rPr>
                <w:sz w:val="20"/>
                <w:szCs w:val="20"/>
                <w:color w:val="auto"/>
              </w:rPr>
            </w:pPr>
            <w:r>
              <w:rPr>
                <w:rFonts w:ascii="Arial" w:cs="Arial" w:eastAsia="Arial" w:hAnsi="Arial"/>
                <w:sz w:val="18"/>
                <w:szCs w:val="18"/>
                <w:color w:val="auto"/>
              </w:rPr>
              <w:t>Disbursements</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352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4.</w:t>
            </w:r>
          </w:p>
        </w:tc>
        <w:tc>
          <w:tcPr>
            <w:tcW w:w="3520" w:type="dxa"/>
            <w:vAlign w:val="bottom"/>
          </w:tcPr>
          <w:p>
            <w:pPr>
              <w:ind w:left="160"/>
              <w:spacing w:after="0"/>
              <w:rPr>
                <w:sz w:val="20"/>
                <w:szCs w:val="20"/>
                <w:color w:val="auto"/>
              </w:rPr>
            </w:pPr>
            <w:r>
              <w:rPr>
                <w:rFonts w:ascii="Arial" w:cs="Arial" w:eastAsia="Arial" w:hAnsi="Arial"/>
                <w:sz w:val="18"/>
                <w:szCs w:val="18"/>
                <w:color w:val="auto"/>
              </w:rPr>
              <w:t>Corporate Seal</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9000" w:type="dxa"/>
            <w:vAlign w:val="bottom"/>
          </w:tcPr>
          <w:p>
            <w:pPr>
              <w:jc w:val="center"/>
              <w:ind w:left="210"/>
              <w:spacing w:after="0"/>
              <w:rPr>
                <w:sz w:val="20"/>
                <w:szCs w:val="20"/>
                <w:color w:val="auto"/>
              </w:rPr>
            </w:pPr>
            <w:r>
              <w:rPr>
                <w:rFonts w:ascii="Arial" w:cs="Arial" w:eastAsia="Arial" w:hAnsi="Arial"/>
                <w:sz w:val="18"/>
                <w:szCs w:val="18"/>
                <w:color w:val="auto"/>
              </w:rPr>
              <w:t>ARTICLE VIII</w:t>
            </w:r>
          </w:p>
        </w:tc>
        <w:tc>
          <w:tcPr>
            <w:tcW w:w="126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9000" w:type="dxa"/>
            <w:vAlign w:val="bottom"/>
          </w:tcPr>
          <w:p>
            <w:pPr>
              <w:jc w:val="center"/>
              <w:ind w:left="190"/>
              <w:spacing w:after="0"/>
              <w:rPr>
                <w:sz w:val="20"/>
                <w:szCs w:val="20"/>
                <w:color w:val="auto"/>
              </w:rPr>
            </w:pPr>
            <w:r>
              <w:rPr>
                <w:rFonts w:ascii="Arial" w:cs="Arial" w:eastAsia="Arial" w:hAnsi="Arial"/>
                <w:sz w:val="18"/>
                <w:szCs w:val="18"/>
                <w:color w:val="auto"/>
                <w:w w:val="99"/>
              </w:rPr>
              <w:t>INDEMNIFICATION</w:t>
            </w:r>
          </w:p>
        </w:tc>
        <w:tc>
          <w:tcPr>
            <w:tcW w:w="1260" w:type="dxa"/>
            <w:vAlign w:val="bottom"/>
          </w:tcPr>
          <w:p>
            <w:pPr>
              <w:spacing w:after="0"/>
              <w:rPr>
                <w:sz w:val="24"/>
                <w:szCs w:val="24"/>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9000" w:type="dxa"/>
            <w:vAlign w:val="bottom"/>
          </w:tcPr>
          <w:p>
            <w:pPr>
              <w:ind w:left="160"/>
              <w:spacing w:after="0"/>
              <w:rPr>
                <w:sz w:val="20"/>
                <w:szCs w:val="20"/>
                <w:color w:val="auto"/>
              </w:rPr>
            </w:pPr>
            <w:r>
              <w:rPr>
                <w:rFonts w:ascii="Arial" w:cs="Arial" w:eastAsia="Arial" w:hAnsi="Arial"/>
                <w:sz w:val="18"/>
                <w:szCs w:val="18"/>
                <w:color w:val="auto"/>
              </w:rPr>
              <w:t>Power to Indemnify in Actions, Suits or Proceedings other than Those by or in the Right of the Corporation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9000" w:type="dxa"/>
            <w:vAlign w:val="bottom"/>
          </w:tcPr>
          <w:p>
            <w:pPr>
              <w:ind w:left="160"/>
              <w:spacing w:after="0"/>
              <w:rPr>
                <w:sz w:val="20"/>
                <w:szCs w:val="20"/>
                <w:color w:val="auto"/>
              </w:rPr>
            </w:pPr>
            <w:r>
              <w:rPr>
                <w:rFonts w:ascii="Arial" w:cs="Arial" w:eastAsia="Arial" w:hAnsi="Arial"/>
                <w:sz w:val="18"/>
                <w:szCs w:val="18"/>
                <w:color w:val="auto"/>
              </w:rPr>
              <w:t>Power to Indemnify in Actions, Suits or Proceedings by or in the Right of the Corporation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9000" w:type="dxa"/>
            <w:vAlign w:val="bottom"/>
          </w:tcPr>
          <w:p>
            <w:pPr>
              <w:ind w:left="160"/>
              <w:spacing w:after="0"/>
              <w:rPr>
                <w:sz w:val="20"/>
                <w:szCs w:val="20"/>
                <w:color w:val="auto"/>
              </w:rPr>
            </w:pPr>
            <w:r>
              <w:rPr>
                <w:rFonts w:ascii="Arial" w:cs="Arial" w:eastAsia="Arial" w:hAnsi="Arial"/>
                <w:sz w:val="18"/>
                <w:szCs w:val="18"/>
                <w:color w:val="auto"/>
              </w:rPr>
              <w:t>Authorization of 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w:t>
            </w:r>
          </w:p>
        </w:tc>
        <w:tc>
          <w:tcPr>
            <w:tcW w:w="9000" w:type="dxa"/>
            <w:vAlign w:val="bottom"/>
          </w:tcPr>
          <w:p>
            <w:pPr>
              <w:ind w:left="160"/>
              <w:spacing w:after="0"/>
              <w:rPr>
                <w:sz w:val="20"/>
                <w:szCs w:val="20"/>
                <w:color w:val="auto"/>
              </w:rPr>
            </w:pPr>
            <w:r>
              <w:rPr>
                <w:rFonts w:ascii="Arial" w:cs="Arial" w:eastAsia="Arial" w:hAnsi="Arial"/>
                <w:sz w:val="18"/>
                <w:szCs w:val="18"/>
                <w:color w:val="auto"/>
              </w:rPr>
              <w:t>Good Faith Defined</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w:t>
            </w:r>
          </w:p>
        </w:tc>
        <w:tc>
          <w:tcPr>
            <w:tcW w:w="9000" w:type="dxa"/>
            <w:vAlign w:val="bottom"/>
          </w:tcPr>
          <w:p>
            <w:pPr>
              <w:ind w:left="160"/>
              <w:spacing w:after="0"/>
              <w:rPr>
                <w:sz w:val="20"/>
                <w:szCs w:val="20"/>
                <w:color w:val="auto"/>
              </w:rPr>
            </w:pPr>
            <w:r>
              <w:rPr>
                <w:rFonts w:ascii="Arial" w:cs="Arial" w:eastAsia="Arial" w:hAnsi="Arial"/>
                <w:sz w:val="18"/>
                <w:szCs w:val="18"/>
                <w:color w:val="auto"/>
              </w:rPr>
              <w:t>Indemnification by a Court</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w:t>
            </w:r>
          </w:p>
        </w:tc>
        <w:tc>
          <w:tcPr>
            <w:tcW w:w="9000" w:type="dxa"/>
            <w:vAlign w:val="bottom"/>
          </w:tcPr>
          <w:p>
            <w:pPr>
              <w:ind w:left="160"/>
              <w:spacing w:after="0"/>
              <w:rPr>
                <w:sz w:val="20"/>
                <w:szCs w:val="20"/>
                <w:color w:val="auto"/>
              </w:rPr>
            </w:pPr>
            <w:r>
              <w:rPr>
                <w:rFonts w:ascii="Arial" w:cs="Arial" w:eastAsia="Arial" w:hAnsi="Arial"/>
                <w:sz w:val="18"/>
                <w:szCs w:val="18"/>
                <w:color w:val="auto"/>
              </w:rPr>
              <w:t>Expenses Payable in Advance</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w:t>
            </w:r>
          </w:p>
        </w:tc>
        <w:tc>
          <w:tcPr>
            <w:tcW w:w="9000" w:type="dxa"/>
            <w:vAlign w:val="bottom"/>
          </w:tcPr>
          <w:p>
            <w:pPr>
              <w:ind w:left="160"/>
              <w:spacing w:after="0"/>
              <w:rPr>
                <w:sz w:val="20"/>
                <w:szCs w:val="20"/>
                <w:color w:val="auto"/>
              </w:rPr>
            </w:pPr>
            <w:r>
              <w:rPr>
                <w:rFonts w:ascii="Arial" w:cs="Arial" w:eastAsia="Arial" w:hAnsi="Arial"/>
                <w:sz w:val="18"/>
                <w:szCs w:val="18"/>
                <w:color w:val="auto"/>
              </w:rPr>
              <w:t>Nonexclusivity of Indemnification and Advancement of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w:t>
            </w:r>
          </w:p>
        </w:tc>
        <w:tc>
          <w:tcPr>
            <w:tcW w:w="900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w:t>
            </w:r>
          </w:p>
        </w:tc>
        <w:tc>
          <w:tcPr>
            <w:tcW w:w="9000" w:type="dxa"/>
            <w:vAlign w:val="bottom"/>
          </w:tcPr>
          <w:p>
            <w:pPr>
              <w:ind w:left="160"/>
              <w:spacing w:after="0"/>
              <w:rPr>
                <w:sz w:val="20"/>
                <w:szCs w:val="20"/>
                <w:color w:val="auto"/>
              </w:rPr>
            </w:pPr>
            <w:r>
              <w:rPr>
                <w:rFonts w:ascii="Arial" w:cs="Arial" w:eastAsia="Arial" w:hAnsi="Arial"/>
                <w:sz w:val="18"/>
                <w:szCs w:val="18"/>
                <w:color w:val="auto"/>
              </w:rPr>
              <w:t>Certain Definitions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10.</w:t>
            </w:r>
          </w:p>
        </w:tc>
        <w:tc>
          <w:tcPr>
            <w:tcW w:w="9000" w:type="dxa"/>
            <w:vAlign w:val="bottom"/>
          </w:tcPr>
          <w:p>
            <w:pPr>
              <w:ind w:left="160"/>
              <w:spacing w:after="0"/>
              <w:rPr>
                <w:sz w:val="20"/>
                <w:szCs w:val="20"/>
                <w:color w:val="auto"/>
              </w:rPr>
            </w:pPr>
            <w:r>
              <w:rPr>
                <w:rFonts w:ascii="Arial" w:cs="Arial" w:eastAsia="Arial" w:hAnsi="Arial"/>
                <w:sz w:val="18"/>
                <w:szCs w:val="18"/>
                <w:color w:val="auto"/>
              </w:rPr>
              <w:t>Survival of Indemnification and Advancement of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11.</w:t>
            </w:r>
          </w:p>
        </w:tc>
        <w:tc>
          <w:tcPr>
            <w:tcW w:w="9000" w:type="dxa"/>
            <w:vAlign w:val="bottom"/>
          </w:tcPr>
          <w:p>
            <w:pPr>
              <w:ind w:left="160"/>
              <w:spacing w:after="0"/>
              <w:rPr>
                <w:sz w:val="20"/>
                <w:szCs w:val="20"/>
                <w:color w:val="auto"/>
              </w:rPr>
            </w:pPr>
            <w:r>
              <w:rPr>
                <w:rFonts w:ascii="Arial" w:cs="Arial" w:eastAsia="Arial" w:hAnsi="Arial"/>
                <w:sz w:val="18"/>
                <w:szCs w:val="18"/>
                <w:color w:val="auto"/>
              </w:rPr>
              <w:t>Limitation on 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12.</w:t>
            </w:r>
          </w:p>
        </w:tc>
        <w:tc>
          <w:tcPr>
            <w:tcW w:w="9000" w:type="dxa"/>
            <w:vAlign w:val="bottom"/>
          </w:tcPr>
          <w:p>
            <w:pPr>
              <w:ind w:left="160"/>
              <w:spacing w:after="0"/>
              <w:rPr>
                <w:sz w:val="20"/>
                <w:szCs w:val="20"/>
                <w:color w:val="auto"/>
              </w:rPr>
            </w:pPr>
            <w:r>
              <w:rPr>
                <w:rFonts w:ascii="Arial" w:cs="Arial" w:eastAsia="Arial" w:hAnsi="Arial"/>
                <w:sz w:val="18"/>
                <w:szCs w:val="18"/>
                <w:color w:val="auto"/>
              </w:rPr>
              <w:t>Indemnification of Employees and Agents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80" w:type="dxa"/>
            <w:vAlign w:val="bottom"/>
          </w:tcPr>
          <w:p>
            <w:pPr>
              <w:spacing w:after="0"/>
              <w:rPr>
                <w:sz w:val="24"/>
                <w:szCs w:val="24"/>
                <w:color w:val="auto"/>
              </w:rPr>
            </w:pPr>
          </w:p>
        </w:tc>
        <w:tc>
          <w:tcPr>
            <w:tcW w:w="9000" w:type="dxa"/>
            <w:vAlign w:val="bottom"/>
          </w:tcPr>
          <w:p>
            <w:pPr>
              <w:jc w:val="center"/>
              <w:ind w:left="210"/>
              <w:spacing w:after="0"/>
              <w:rPr>
                <w:sz w:val="20"/>
                <w:szCs w:val="20"/>
                <w:color w:val="auto"/>
              </w:rPr>
            </w:pPr>
            <w:r>
              <w:rPr>
                <w:rFonts w:ascii="Arial" w:cs="Arial" w:eastAsia="Arial" w:hAnsi="Arial"/>
                <w:sz w:val="18"/>
                <w:szCs w:val="18"/>
                <w:color w:val="auto"/>
                <w:w w:val="99"/>
              </w:rPr>
              <w:t>ARTICLE IX</w:t>
            </w:r>
          </w:p>
        </w:tc>
        <w:tc>
          <w:tcPr>
            <w:tcW w:w="126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9000" w:type="dxa"/>
            <w:vAlign w:val="bottom"/>
          </w:tcPr>
          <w:p>
            <w:pPr>
              <w:jc w:val="center"/>
              <w:ind w:left="190"/>
              <w:spacing w:after="0"/>
              <w:rPr>
                <w:sz w:val="20"/>
                <w:szCs w:val="20"/>
                <w:color w:val="auto"/>
              </w:rPr>
            </w:pPr>
            <w:r>
              <w:rPr>
                <w:rFonts w:ascii="Arial" w:cs="Arial" w:eastAsia="Arial" w:hAnsi="Arial"/>
                <w:sz w:val="18"/>
                <w:szCs w:val="18"/>
                <w:color w:val="auto"/>
                <w:w w:val="99"/>
              </w:rPr>
              <w:t>AMENDMENTS</w:t>
            </w:r>
          </w:p>
        </w:tc>
        <w:tc>
          <w:tcPr>
            <w:tcW w:w="1260" w:type="dxa"/>
            <w:vAlign w:val="bottom"/>
          </w:tcPr>
          <w:p>
            <w:pPr>
              <w:spacing w:after="0"/>
              <w:rPr>
                <w:sz w:val="24"/>
                <w:szCs w:val="24"/>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900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9000" w:type="dxa"/>
            <w:vAlign w:val="bottom"/>
          </w:tcPr>
          <w:p>
            <w:pPr>
              <w:ind w:left="160"/>
              <w:spacing w:after="0"/>
              <w:rPr>
                <w:sz w:val="20"/>
                <w:szCs w:val="20"/>
                <w:color w:val="auto"/>
              </w:rPr>
            </w:pPr>
            <w:r>
              <w:rPr>
                <w:rFonts w:ascii="Arial" w:cs="Arial" w:eastAsia="Arial" w:hAnsi="Arial"/>
                <w:sz w:val="18"/>
                <w:szCs w:val="18"/>
                <w:color w:val="auto"/>
              </w:rPr>
              <w:t>Entire Board of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MOBILEYE GLOBAL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(hereinafter called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Section 1.    </w:t>
      </w:r>
      <w:r>
        <w:rPr>
          <w:rFonts w:ascii="Arial" w:cs="Arial" w:eastAsia="Arial" w:hAnsi="Arial"/>
          <w:sz w:val="17"/>
          <w:szCs w:val="17"/>
          <w:u w:val="single" w:color="auto"/>
          <w:color w:val="auto"/>
        </w:rPr>
        <w:t>  Registered Office</w:t>
      </w:r>
      <w:r>
        <w:rPr>
          <w:rFonts w:ascii="Arial" w:cs="Arial" w:eastAsia="Arial" w:hAnsi="Arial"/>
          <w:sz w:val="17"/>
          <w:szCs w:val="17"/>
          <w:color w:val="auto"/>
        </w:rPr>
        <w:t>. The registered office of the Corporation shall be 251 Little Falls Drive, Wilmington, County of New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Castle, 19808.</w:t>
      </w:r>
    </w:p>
    <w:p>
      <w:pPr>
        <w:spacing w:after="0" w:line="211"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u w:val="single" w:color="auto"/>
          <w:color w:val="auto"/>
        </w:rPr>
        <w:t>  Other Offices</w:t>
      </w:r>
      <w:r>
        <w:rPr>
          <w:rFonts w:ascii="Arial" w:cs="Arial" w:eastAsia="Arial" w:hAnsi="Arial"/>
          <w:sz w:val="18"/>
          <w:szCs w:val="18"/>
          <w:color w:val="auto"/>
        </w:rPr>
        <w:t>. The Corporation may also have offices at such other places, both within and without the State of Delaware, as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may from time to time determine.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ind w:right="120" w:firstLine="1296"/>
        <w:spacing w:after="0" w:line="301" w:lineRule="auto"/>
        <w:rPr>
          <w:sz w:val="20"/>
          <w:szCs w:val="20"/>
          <w:color w:val="auto"/>
        </w:rPr>
      </w:pPr>
      <w:r>
        <w:rPr>
          <w:rFonts w:ascii="Arial" w:cs="Arial" w:eastAsia="Arial" w:hAnsi="Arial"/>
          <w:sz w:val="16"/>
          <w:szCs w:val="16"/>
          <w:color w:val="auto"/>
        </w:rPr>
        <w:t>Section 1.    </w:t>
      </w:r>
      <w:r>
        <w:rPr>
          <w:rFonts w:ascii="Arial" w:cs="Arial" w:eastAsia="Arial" w:hAnsi="Arial"/>
          <w:sz w:val="16"/>
          <w:szCs w:val="16"/>
          <w:u w:val="single" w:color="auto"/>
          <w:color w:val="auto"/>
        </w:rPr>
        <w:t>  Place of Meetings</w:t>
      </w:r>
      <w:r>
        <w:rPr>
          <w:rFonts w:ascii="Arial" w:cs="Arial" w:eastAsia="Arial" w:hAnsi="Arial"/>
          <w:sz w:val="16"/>
          <w:szCs w:val="16"/>
          <w:color w:val="auto"/>
        </w:rPr>
        <w:t>. Meetings of the stockholders for the election of directors or for any other purpose shall be held at such time and place,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spacing w:after="0" w:line="157" w:lineRule="exact"/>
        <w:rPr>
          <w:sz w:val="20"/>
          <w:szCs w:val="20"/>
          <w:color w:val="auto"/>
        </w:rPr>
      </w:pPr>
    </w:p>
    <w:p>
      <w:pPr>
        <w:ind w:right="260" w:firstLine="1296"/>
        <w:spacing w:after="0" w:line="263"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u w:val="single" w:color="auto"/>
          <w:color w:val="auto"/>
        </w:rPr>
        <w:t>  Annual Meetings</w:t>
      </w:r>
      <w:r>
        <w:rPr>
          <w:rFonts w:ascii="Arial" w:cs="Arial" w:eastAsia="Arial" w:hAnsi="Arial"/>
          <w:sz w:val="18"/>
          <w:szCs w:val="18"/>
          <w:color w:val="auto"/>
        </w:rPr>
        <w:t>. The Annual Meeting of Stockholders for the election of directors shall be held on such date and at such time as shall be designated from time to time by the Board of Directors. Any other proper business may be transacted at the Annual Meeting of Stockholders.</w:t>
      </w:r>
    </w:p>
    <w:p>
      <w:pPr>
        <w:spacing w:after="0" w:line="184"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Section 3.    </w:t>
      </w:r>
      <w:r>
        <w:rPr>
          <w:rFonts w:ascii="Arial" w:cs="Arial" w:eastAsia="Arial" w:hAnsi="Arial"/>
          <w:sz w:val="16"/>
          <w:szCs w:val="16"/>
          <w:u w:val="single" w:color="auto"/>
          <w:color w:val="auto"/>
        </w:rPr>
        <w:t>  Special Meetings</w:t>
      </w:r>
      <w:r>
        <w:rPr>
          <w:rFonts w:ascii="Arial" w:cs="Arial" w:eastAsia="Arial" w:hAnsi="Arial"/>
          <w:sz w:val="16"/>
          <w:szCs w:val="16"/>
          <w:color w:val="auto"/>
        </w:rPr>
        <w:t>. Unless otherwise required by law or by the certificate of incorporation of the Corporation, as amended and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Special Meetings of Stockholders, for any purpose or purposes, may be called by either</w:t>
      </w:r>
    </w:p>
    <w:p>
      <w:pPr>
        <w:jc w:val="both"/>
        <w:ind w:right="40" w:firstLine="8"/>
        <w:spacing w:after="0" w:line="277"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Chair of the Board of Directors, (ii) the Chief Executive Officer or (iii) the Secretary of the Corporation upon written request to the Secretary of the Corporation by a majority of the directors then in office. Such request shall state the purpose or purposes of the proposed meeting. At a Special Meeting of Stockholders, only such business shall be conducted as shall be specified in the notice of meeting (or any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7" w:name="page28"/>
    <w:bookmarkEnd w:id="27"/>
    <w:p>
      <w:pPr>
        <w:ind w:left="1300"/>
        <w:spacing w:after="0"/>
        <w:rPr>
          <w:sz w:val="20"/>
          <w:szCs w:val="20"/>
          <w:color w:val="auto"/>
        </w:rPr>
      </w:pPr>
      <w:r>
        <w:rPr>
          <w:rFonts w:ascii="Arial" w:cs="Arial" w:eastAsia="Arial" w:hAnsi="Arial"/>
          <w:sz w:val="18"/>
          <w:szCs w:val="18"/>
          <w:color w:val="auto"/>
        </w:rPr>
        <w:t>Section 4.    </w:t>
      </w:r>
      <w:r>
        <w:rPr>
          <w:rFonts w:ascii="Arial" w:cs="Arial" w:eastAsia="Arial" w:hAnsi="Arial"/>
          <w:sz w:val="18"/>
          <w:szCs w:val="18"/>
          <w:u w:val="single" w:color="auto"/>
          <w:color w:val="auto"/>
        </w:rPr>
        <w:t>  Nature of Business at Meetings of Stockholders; Notice</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(a)           Only such business (other than nominations for election to the Board of Directors, which must comply with the provisions of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may be transacted at an Annual Meeting of Stockholders as is either (a) specified in the notice of meeting (or any supplement thereto) given by or at the direction of the Board of Directors (or any duly authorized committee thereof), (b) otherwise properly brought before the Annual Meeting of Stockholders by or at the direction of the Board of Directors (or any duly authorized committee thereof), or (c) otherwise properly brought before the Annual Meeting of Stockholders by any stockholder of the Corporation (i) who is a stockholder of record on the date of the giving of the notice provided for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on the record date for the determination of stockholders entitled to notice of and to vote at such Annual Meeting of Stockholders and (ii) who complies with the notice procedures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77" w:lineRule="exact"/>
        <w:rPr>
          <w:sz w:val="20"/>
          <w:szCs w:val="20"/>
          <w:color w:val="auto"/>
        </w:rPr>
      </w:pPr>
    </w:p>
    <w:p>
      <w:pPr>
        <w:ind w:right="20" w:firstLine="1296"/>
        <w:spacing w:after="0" w:line="308" w:lineRule="auto"/>
        <w:rPr>
          <w:sz w:val="20"/>
          <w:szCs w:val="20"/>
          <w:color w:val="auto"/>
        </w:rPr>
      </w:pPr>
      <w:r>
        <w:rPr>
          <w:rFonts w:ascii="Arial" w:cs="Arial" w:eastAsia="Arial" w:hAnsi="Arial"/>
          <w:sz w:val="17"/>
          <w:szCs w:val="17"/>
          <w:color w:val="auto"/>
        </w:rPr>
        <w:t>(b)           In addition to any other applicable requirements, for business to be properly brought before an Annual Meeting of Stockholders by a stockholder, such stockholder must have given timely notice thereof in proper written form to the Secretary of the Corporation.</w:t>
      </w:r>
    </w:p>
    <w:p>
      <w:pPr>
        <w:spacing w:after="0" w:line="146" w:lineRule="exact"/>
        <w:rPr>
          <w:sz w:val="20"/>
          <w:szCs w:val="20"/>
          <w:color w:val="auto"/>
        </w:rPr>
      </w:pPr>
    </w:p>
    <w:p>
      <w:pPr>
        <w:ind w:right="60" w:firstLine="1296"/>
        <w:spacing w:after="0" w:line="270" w:lineRule="auto"/>
        <w:rPr>
          <w:sz w:val="20"/>
          <w:szCs w:val="20"/>
          <w:color w:val="auto"/>
        </w:rPr>
      </w:pPr>
      <w:r>
        <w:rPr>
          <w:rFonts w:ascii="Arial" w:cs="Arial" w:eastAsia="Arial" w:hAnsi="Arial"/>
          <w:sz w:val="17"/>
          <w:szCs w:val="17"/>
          <w:color w:val="auto"/>
        </w:rPr>
        <w:t xml:space="preserve">(c)           To be timely, a stockholder’s notice to the Secretary must be delivered to or be mailed and received at the principal executive offices of the Corporation not less than ninety (90) days nor more than one hundred and twenty (120) days prior to the anniversary of the date the Corporation’s proxy materials were mailed to the stockholders in connection with the immediately preceding Annual Meeting of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Annual Meeting of Stockholders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first occurs. In no event shall the adjournment or postponement of an Annual Meeting of Stockholders, or the public announcement of such an adjournment or postponement, commence a new time period (or extend any time period) for the giving of a stockholder’s notice as described above.</w:t>
      </w:r>
    </w:p>
    <w:p>
      <w:pPr>
        <w:spacing w:after="0" w:line="181" w:lineRule="exact"/>
        <w:rPr>
          <w:sz w:val="20"/>
          <w:szCs w:val="20"/>
          <w:color w:val="auto"/>
        </w:rPr>
      </w:pPr>
    </w:p>
    <w:p>
      <w:pPr>
        <w:ind w:right="60" w:firstLine="1296"/>
        <w:spacing w:after="0" w:line="285" w:lineRule="auto"/>
        <w:rPr>
          <w:sz w:val="20"/>
          <w:szCs w:val="20"/>
          <w:color w:val="auto"/>
        </w:rPr>
      </w:pPr>
      <w:r>
        <w:rPr>
          <w:rFonts w:ascii="Arial" w:cs="Arial" w:eastAsia="Arial" w:hAnsi="Arial"/>
          <w:sz w:val="16"/>
          <w:szCs w:val="16"/>
          <w:color w:val="auto"/>
        </w:rPr>
        <w:t>(d)           To be in proper written form, a stockholder’s notice to the Secretary must set forth the following information: (a) as to each matter such stockholder proposes to bring before the Annual Meeting of Stockholders, a brief description of the business desired to be brought before the Annual Meeting of Stockholders and the proposed text of any proposal regarding such business (including the text of any resolutions proposed for consideration and, if such business includes a proposal to amend these bylaws, the text of the proposed amendment), and the reasons for conducting such business at the Annual Meeting of Stockholders, and (b) as to the stockholder giving notice and the beneficial owner, if any, on whose behalf the proposal is being made,</w:t>
      </w:r>
    </w:p>
    <w:p>
      <w:pPr>
        <w:spacing w:after="0" w:line="2" w:lineRule="exact"/>
        <w:rPr>
          <w:sz w:val="20"/>
          <w:szCs w:val="20"/>
          <w:color w:val="auto"/>
        </w:rPr>
      </w:pPr>
    </w:p>
    <w:p>
      <w:pPr>
        <w:ind w:firstLine="8"/>
        <w:spacing w:after="0" w:line="284"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name and address of such person, (ii)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 person or persons (including their names) in connection with or relating to (A) the Corporation or (B) the proposal, including any material interest in, or anticipated benefit from the proposal to such person, or any affiliates or associates of such person, (iv) a representation that the stockholder giving notice intends to appear in person or by proxy at the Annual Meeting of Stockholders to bring such business before the meeting; and (v)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of Stockholders pursuant to Section 14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the rules and regulations promulgated thereunder.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8" w:name="page29"/>
    <w:bookmarkEnd w:id="28"/>
    <w:p>
      <w:pPr>
        <w:ind w:firstLine="1296"/>
        <w:spacing w:after="0" w:line="296" w:lineRule="auto"/>
        <w:rPr>
          <w:sz w:val="20"/>
          <w:szCs w:val="20"/>
          <w:color w:val="auto"/>
        </w:rPr>
      </w:pPr>
      <w:r>
        <w:rPr>
          <w:rFonts w:ascii="Arial" w:cs="Arial" w:eastAsia="Arial" w:hAnsi="Arial"/>
          <w:sz w:val="16"/>
          <w:szCs w:val="16"/>
          <w:color w:val="auto"/>
        </w:rPr>
        <w:t xml:space="preserve">(e)            A stockholder providing notice of business proposed to be brought before an Annual Meeting of Stockholders shall further update and supplement such notice, if necessary, so that the information provided or required to be provided in such notice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true and correct as of the record date for determining the stockholders entitled to receive notice of the Annual Meeting of Stockholders and such update and supplement shall be delivered to or be mailed and received by the Secretary at the principal executive offices of the Corporation not later than five (5) business days after the record date for determining the stockholders entitled to receive notice of the Annual Meeting of Stockholders.</w:t>
      </w:r>
    </w:p>
    <w:p>
      <w:pPr>
        <w:spacing w:after="0" w:line="161"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 xml:space="preserve">(f)            No business shall be conducted at the Annual Meeting of Stockholders except business brought before the Annual Meeting of Stockholders in accordance with the procedures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once business has been properly brought before the Annual Meeting of Stockholders in accordance with such procedures, nothing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deemed to preclude discussion by any stockholder of any such business. If the chair of an Annual Meeting of Stockholders determines that business was not properly brought before the Annual Meeting of Stockholders in accordance with the foregoing procedures, the chair shall declare to the meeting that the business was not properly brought before the meeting and such business shall not be transacted.</w:t>
      </w:r>
    </w:p>
    <w:p>
      <w:pPr>
        <w:spacing w:after="0" w:line="178" w:lineRule="exact"/>
        <w:rPr>
          <w:sz w:val="20"/>
          <w:szCs w:val="20"/>
          <w:color w:val="auto"/>
        </w:rPr>
      </w:pPr>
    </w:p>
    <w:p>
      <w:pPr>
        <w:ind w:right="200" w:firstLine="1296"/>
        <w:spacing w:after="0" w:line="308" w:lineRule="auto"/>
        <w:rPr>
          <w:sz w:val="20"/>
          <w:szCs w:val="20"/>
          <w:color w:val="auto"/>
        </w:rPr>
      </w:pPr>
      <w:r>
        <w:rPr>
          <w:rFonts w:ascii="Arial" w:cs="Arial" w:eastAsia="Arial" w:hAnsi="Arial"/>
          <w:sz w:val="17"/>
          <w:szCs w:val="17"/>
          <w:color w:val="auto"/>
        </w:rPr>
        <w:t xml:space="preserve">(g)           Nothing contained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deemed to affect any rights of stockholders to request inclusion of proposals in the Corporation’s proxy statement pursuant to Rule 14a-8 under the Exchange Act (or any successor provision of law).</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29" w:name="page30"/>
    <w:bookmarkEnd w:id="29"/>
    <w:p>
      <w:pPr>
        <w:ind w:left="1300"/>
        <w:spacing w:after="0"/>
        <w:rPr>
          <w:sz w:val="20"/>
          <w:szCs w:val="20"/>
          <w:color w:val="auto"/>
        </w:rPr>
      </w:pPr>
      <w:r>
        <w:rPr>
          <w:rFonts w:ascii="Arial" w:cs="Arial" w:eastAsia="Arial" w:hAnsi="Arial"/>
          <w:sz w:val="18"/>
          <w:szCs w:val="18"/>
          <w:color w:val="auto"/>
        </w:rPr>
        <w:t>Section 5.            </w:t>
      </w:r>
      <w:r>
        <w:rPr>
          <w:rFonts w:ascii="Arial" w:cs="Arial" w:eastAsia="Arial" w:hAnsi="Arial"/>
          <w:sz w:val="18"/>
          <w:szCs w:val="18"/>
          <w:u w:val="single" w:color="auto"/>
          <w:color w:val="auto"/>
        </w:rPr>
        <w:t>  Nomination of Directors</w:t>
      </w:r>
      <w:r>
        <w:rPr>
          <w:rFonts w:ascii="Arial" w:cs="Arial" w:eastAsia="Arial" w:hAnsi="Arial"/>
          <w:sz w:val="18"/>
          <w:szCs w:val="18"/>
          <w:color w:val="auto"/>
        </w:rPr>
        <w:t>.</w:t>
      </w:r>
    </w:p>
    <w:p>
      <w:pPr>
        <w:spacing w:after="0" w:line="225" w:lineRule="exact"/>
        <w:rPr>
          <w:sz w:val="20"/>
          <w:szCs w:val="20"/>
          <w:color w:val="auto"/>
        </w:rPr>
      </w:pPr>
    </w:p>
    <w:p>
      <w:pPr>
        <w:ind w:right="40" w:firstLine="1296"/>
        <w:spacing w:after="0" w:line="271" w:lineRule="auto"/>
        <w:rPr>
          <w:sz w:val="20"/>
          <w:szCs w:val="20"/>
          <w:color w:val="auto"/>
        </w:rPr>
      </w:pPr>
      <w:r>
        <w:rPr>
          <w:rFonts w:ascii="Arial" w:cs="Arial" w:eastAsia="Arial" w:hAnsi="Arial"/>
          <w:sz w:val="17"/>
          <w:szCs w:val="17"/>
          <w:color w:val="auto"/>
        </w:rPr>
        <w:t xml:space="preserve">(a)           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 the notice provided for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on the record date for the determination of stockholders entitled to notice of and to vote at such Annual or Special Meeting of Stockholders, (ii) who complies with the notice procedures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(iii) who complies with the requirements of Rule 14a-19 promulgated under the Exchange Act.</w:t>
      </w:r>
    </w:p>
    <w:p>
      <w:pPr>
        <w:spacing w:after="0" w:line="178"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(b)           In addition to any other applicable requirements, for a nomination to be made by a stockholder, such stockholder must have given timely notice thereof in proper written form to the Secretary of the Corporation. To be timely, a stockholder’s notice to the Secretary must be delivered to or be mailed and received at the principal executive offices of the Corporation (a) in the case of an Annual Meeting of Stockholders, not less than ninety (90) days nor more than one hundred and twenty (120) days prior to the anniversary of the date the Corporation’s proxy materials were mailed to the stockholders in connection with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Annual Meeting of Stockholders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first occurs; and</w:t>
      </w:r>
    </w:p>
    <w:p>
      <w:pPr>
        <w:spacing w:after="0" w:line="1" w:lineRule="exact"/>
        <w:rPr>
          <w:sz w:val="20"/>
          <w:szCs w:val="20"/>
          <w:color w:val="auto"/>
        </w:rPr>
      </w:pPr>
    </w:p>
    <w:p>
      <w:pPr>
        <w:ind w:right="100" w:firstLine="8"/>
        <w:spacing w:after="0" w:line="271"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case of a Special Meeting of Stockholders called for the purpose of electing directors, not later than the close of business on the tenth (10th) day following the day on which notice of the date of the Special Meeting of Stockholders was mailed or public disclosure of the date of the Special Meeting of Stockholders was made, whichever first occurs. In no event shall the adjournment or postponement of an Annual Meeting of Stockholders or a Special Meeting of Stockholders called for the purpose of electing directors, or the public announcement of such an adjournment or postponement, commence a new time period (or extend any time period) for the giving of a stockholder’s notice as described above.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right="40" w:firstLine="1296"/>
        <w:spacing w:after="0" w:line="287" w:lineRule="auto"/>
        <w:rPr>
          <w:sz w:val="20"/>
          <w:szCs w:val="20"/>
          <w:color w:val="auto"/>
        </w:rPr>
      </w:pPr>
      <w:r>
        <w:rPr>
          <w:rFonts w:ascii="Arial" w:cs="Arial" w:eastAsia="Arial" w:hAnsi="Arial"/>
          <w:sz w:val="16"/>
          <w:szCs w:val="16"/>
          <w:color w:val="auto"/>
        </w:rPr>
        <w:t>(c)           To be in proper written form, a stockholder’s notice to the Secretary must set forth the following information: (a) as to each person whom the stockholder proposes to nominate for election as a director (i) the name, age, business address and residence address of such person, (ii) the principal occupation or employment of such person, (iii) a written questionnaire with respect to the background and qualification of such person,</w:t>
      </w:r>
    </w:p>
    <w:p>
      <w:pPr>
        <w:spacing w:after="0" w:line="2" w:lineRule="exact"/>
        <w:rPr>
          <w:sz w:val="20"/>
          <w:szCs w:val="20"/>
          <w:color w:val="auto"/>
        </w:rPr>
      </w:pPr>
    </w:p>
    <w:p>
      <w:pPr>
        <w:ind w:right="60" w:firstLine="8"/>
        <w:spacing w:after="0" w:line="281" w:lineRule="auto"/>
        <w:tabs>
          <w:tab w:leader="none" w:pos="3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w:t>
      </w:r>
    </w:p>
    <w:p>
      <w:pPr>
        <w:spacing w:after="0" w:line="1" w:lineRule="exact"/>
        <w:rPr>
          <w:rFonts w:ascii="Arial" w:cs="Arial" w:eastAsia="Arial" w:hAnsi="Arial"/>
          <w:sz w:val="16"/>
          <w:szCs w:val="16"/>
          <w:color w:val="auto"/>
        </w:rPr>
      </w:pPr>
    </w:p>
    <w:p>
      <w:pPr>
        <w:ind w:right="80"/>
        <w:spacing w:after="0" w:line="281" w:lineRule="auto"/>
        <w:rPr>
          <w:rFonts w:ascii="Arial" w:cs="Arial" w:eastAsia="Arial" w:hAnsi="Arial"/>
          <w:sz w:val="16"/>
          <w:szCs w:val="16"/>
          <w:color w:val="auto"/>
        </w:rPr>
      </w:pPr>
      <w:r>
        <w:rPr>
          <w:rFonts w:ascii="Arial" w:cs="Arial" w:eastAsia="Arial" w:hAnsi="Arial"/>
          <w:sz w:val="16"/>
          <w:szCs w:val="16"/>
          <w:color w:val="auto"/>
        </w:rPr>
        <w:t>(C)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(v) such person’s written representation and agreement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(B)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in such representation and agreement and (C) in such person’s individual capacity, would be in compliance, if elected as a director of the Corporation, and will comply with, all applicable publicly disclosed confidentiality, corporate governance, conflict of interest, Regulation FD, code of conduct and ethics, and stock ownership and trading policies and guidelines of the Corporation and (vi) any other information relating to such person that would be required to be disclosed in a proxy statement or other filings required to be made in connection with solicitations of proxies for election of directors pursuant to Section 14 of the Exchange Act, and the</w:t>
      </w:r>
    </w:p>
    <w:p>
      <w:pPr>
        <w:spacing w:after="0" w:line="8" w:lineRule="exact"/>
        <w:rPr>
          <w:rFonts w:ascii="Arial" w:cs="Arial" w:eastAsia="Arial" w:hAnsi="Arial"/>
          <w:sz w:val="16"/>
          <w:szCs w:val="16"/>
          <w:color w:val="auto"/>
        </w:rPr>
      </w:pPr>
    </w:p>
    <w:p>
      <w:pPr>
        <w:ind w:right="80"/>
        <w:spacing w:after="0" w:line="281" w:lineRule="auto"/>
        <w:rPr>
          <w:rFonts w:ascii="Arial" w:cs="Arial" w:eastAsia="Arial" w:hAnsi="Arial"/>
          <w:sz w:val="16"/>
          <w:szCs w:val="16"/>
          <w:color w:val="auto"/>
        </w:rPr>
      </w:pPr>
      <w:r>
        <w:rPr>
          <w:rFonts w:ascii="Arial" w:cs="Arial" w:eastAsia="Arial" w:hAnsi="Arial"/>
          <w:sz w:val="16"/>
          <w:szCs w:val="16"/>
          <w:color w:val="auto"/>
        </w:rPr>
        <w:t>rules and regulations promulgated thereunder; and (b) as to the stockholder giving the notice, and the beneficial owner, if any, on whose behalf the nomination is being made, (i) the name and record address of the stockholder giving the notice and the name and principal place of business of such beneficial owner; (ii) (A) the class or series and number of all shares of stock of the Corporation which are owned beneficially or of record by such person and any affiliates or associates of such person, (B) the name of each nominee holder of shares of the Corporation owned beneficially but not of record by such person or any affiliates or associates of such person, and the number of shares of stock of the Corporation held by each such nominee holder,</w:t>
      </w:r>
    </w:p>
    <w:p>
      <w:pPr>
        <w:spacing w:after="0" w:line="2"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 all agreements, arrangements, or understandings (whether written or oral) between such person, or any affiliates or associates of such person, and any proposed nominee, or any affiliates or associates of such proposed nominee, (B) all 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capital stock of the Corporation, and (C) any material interest of such person, or any affiliates or associates of such person, in such nomination, including any anticipated benefit therefrom to such person, or any affiliates or associates of such person; (iv) a representation that the stockholder giving notice intends to appear in person or by proxy at the Annual Meeting of Stockholders or Special Meeting of Stockholders to nominate the persons named in its notice; and (v)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include all other information required by Rule 14a-19 under the Exchange Act and must be accompanied by a written consent of each proposed nominee to being named as a nominee in any proxy statement relating to the Annual or Special Meeting of Stockholders, as applicable, and to serve as a director if elected and such information as may be necessary or appropriate in determining the eligibility of such proposed nominee to serve as an independent director of the Corporation or that could be material to a reasonable stockholder’s understanding of the independence, or lack thereof, of such nominee.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1" w:name="page32"/>
    <w:bookmarkEnd w:id="31"/>
    <w:p>
      <w:pPr>
        <w:ind w:firstLine="1296"/>
        <w:spacing w:after="0" w:line="289" w:lineRule="auto"/>
        <w:rPr>
          <w:sz w:val="20"/>
          <w:szCs w:val="20"/>
          <w:color w:val="auto"/>
        </w:rPr>
      </w:pPr>
      <w:r>
        <w:rPr>
          <w:rFonts w:ascii="Arial" w:cs="Arial" w:eastAsia="Arial" w:hAnsi="Arial"/>
          <w:sz w:val="16"/>
          <w:szCs w:val="16"/>
          <w:color w:val="auto"/>
        </w:rPr>
        <w:t xml:space="preserve">(d)           A stockholder providing notice of any nomination proposed to be made at an Annual or Special Meeting of Stockholders shall further update and supplement such notice, (i) if necessary, so that the information provided or required to be provided in such notice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true and correct as of the record date for determining the stockholders entitled to receive notice of the Annual or Special Meeting of Stockholders,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or Special Meeting of Stockholders and (ii) to provide evidence that the stockholder providing notice of any nominations has solicited proxies from holders representing at least sixty-seven percent (67%) of the voting power of the shares entitled to vote in the election of directors, and such update and supplement shall be delivered to or be mailed and received by the Secretary at the principal executive offices fo the Corporation not later than five (5) business days after the stockholder files a definitive proxy statement in connection with such Annual or Special Meeting of Stockholders.</w:t>
      </w:r>
    </w:p>
    <w:p>
      <w:pPr>
        <w:spacing w:after="0" w:line="166" w:lineRule="exact"/>
        <w:rPr>
          <w:sz w:val="20"/>
          <w:szCs w:val="20"/>
          <w:color w:val="auto"/>
        </w:rPr>
      </w:pPr>
    </w:p>
    <w:p>
      <w:pPr>
        <w:ind w:right="60" w:firstLine="1296"/>
        <w:spacing w:after="0" w:line="301" w:lineRule="auto"/>
        <w:rPr>
          <w:sz w:val="20"/>
          <w:szCs w:val="20"/>
          <w:color w:val="auto"/>
        </w:rPr>
      </w:pPr>
      <w:r>
        <w:rPr>
          <w:rFonts w:ascii="Arial" w:cs="Arial" w:eastAsia="Arial" w:hAnsi="Arial"/>
          <w:sz w:val="16"/>
          <w:szCs w:val="16"/>
          <w:color w:val="auto"/>
        </w:rPr>
        <w:t xml:space="preserve">(e)           No person shall be eligible for election as a director of the Corporation unless nominated in accordance with the procedures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II</w:t>
      </w:r>
      <w:r>
        <w:rPr>
          <w:rFonts w:ascii="Arial" w:cs="Arial" w:eastAsia="Arial" w:hAnsi="Arial"/>
          <w:sz w:val="16"/>
          <w:szCs w:val="16"/>
          <w:color w:val="auto"/>
        </w:rPr>
        <w:t>. If the chair of the meeting determines that a nomination was not made in accordance with the foregoing procedures or that the solicitation in support of the nominees other than the Corporation’s nominees was not conducted in compliance with Rule 14a-19 under the Exchange Act, the chair shall declare to the meeting that the nomination was defective and such defective nomination shall be disregarded</w:t>
      </w:r>
    </w:p>
    <w:p>
      <w:pPr>
        <w:spacing w:after="0" w:line="157"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Section 6.            </w:t>
      </w:r>
      <w:r>
        <w:rPr>
          <w:rFonts w:ascii="Arial" w:cs="Arial" w:eastAsia="Arial" w:hAnsi="Arial"/>
          <w:sz w:val="16"/>
          <w:szCs w:val="16"/>
          <w:u w:val="single" w:color="auto"/>
          <w:color w:val="auto"/>
        </w:rPr>
        <w:t>  Notice</w:t>
      </w:r>
      <w:r>
        <w:rPr>
          <w:rFonts w:ascii="Arial" w:cs="Arial" w:eastAsia="Arial" w:hAnsi="Arial"/>
          <w:sz w:val="16"/>
          <w:szCs w:val="16"/>
          <w:color w:val="auto"/>
        </w:rPr>
        <w:t>. Whenever stockholders are required or permitted to take any action at a meeting, a notice of the meeting shall be given in accordance with Section 232 of the DGCL, and such notice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of Stockholders,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ind w:right="100" w:firstLine="1296"/>
        <w:spacing w:after="0" w:line="286" w:lineRule="auto"/>
        <w:rPr>
          <w:sz w:val="20"/>
          <w:szCs w:val="20"/>
          <w:color w:val="auto"/>
        </w:rPr>
      </w:pPr>
      <w:r>
        <w:rPr>
          <w:rFonts w:ascii="Arial" w:cs="Arial" w:eastAsia="Arial" w:hAnsi="Arial"/>
          <w:sz w:val="16"/>
          <w:szCs w:val="16"/>
          <w:color w:val="auto"/>
        </w:rPr>
        <w:t>Section 7.            </w:t>
      </w:r>
      <w:r>
        <w:rPr>
          <w:rFonts w:ascii="Arial" w:cs="Arial" w:eastAsia="Arial" w:hAnsi="Arial"/>
          <w:sz w:val="16"/>
          <w:szCs w:val="16"/>
          <w:u w:val="single" w:color="auto"/>
          <w:color w:val="auto"/>
        </w:rPr>
        <w:t>  Adjournments and Postponements</w:t>
      </w:r>
      <w:r>
        <w:rPr>
          <w:rFonts w:ascii="Arial" w:cs="Arial" w:eastAsia="Arial" w:hAnsi="Arial"/>
          <w:sz w:val="16"/>
          <w:szCs w:val="16"/>
          <w:color w:val="auto"/>
        </w:rPr>
        <w:t xml:space="preserve">. Any meeting of the stockholders may be adjourned or postponed from time to time by the chair of such meeting or by the Board of Directors, without the need for approval thereof by stockholders to reconvene or convene, respectively at the same or some other place. Notice need not be given of any such adjourned or postponed meeting (including an adjournment taken to address a technical failure to convene or continue a meeting using remote communication) if the time and place, if any, thereof, and the means of remote communications, if any, by which stockholders and proxy holders may be deemed to be present in person and vote at such adjourned or postponed meeting are (i) with respect to an adjourned meeting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given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(ii) with respect to a postponed meeting, are publicly announced. If the adjournment or postponement is for more than thirty (30) days, notice of the adjourned or postponed meeting in accordance with the requirements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be given to each stockholder of record entitled to vote at the meeting. If, after the adjournment or postponement, a new record date for stockholders entitled to vote is fixed for the adjourned or postponed meeting, the Board of Directors shall fix a new record date for notice of such adjourned or postponed meeting in accordance with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hereof, and shall give notice of the adjourned or postponed meeting to each stockholder of record entitled to vote at such adjourned or postponed meeting as of the record date fixed for notice of such adjourned or postponed meeting.</w:t>
      </w:r>
    </w:p>
    <w:p>
      <w:pPr>
        <w:spacing w:after="0" w:line="174"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Section 8.            </w:t>
      </w:r>
      <w:r>
        <w:rPr>
          <w:rFonts w:ascii="Arial" w:cs="Arial" w:eastAsia="Arial" w:hAnsi="Arial"/>
          <w:sz w:val="17"/>
          <w:szCs w:val="17"/>
          <w:u w:val="single" w:color="auto"/>
          <w:color w:val="auto"/>
        </w:rPr>
        <w:t>  Quorum</w:t>
      </w:r>
      <w:r>
        <w:rPr>
          <w:rFonts w:ascii="Arial" w:cs="Arial" w:eastAsia="Arial" w:hAnsi="Arial"/>
          <w:sz w:val="17"/>
          <w:szCs w:val="17"/>
          <w:color w:val="auto"/>
        </w:rPr>
        <w:t xml:space="preserve">. Unless otherwise required by the DGCL or other applicable law or the Certificate of Incorporation, the holders of thirty three and one-third percent (33⅓%)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until a quorum shall be present or represented.</w:t>
      </w:r>
    </w:p>
    <w:p>
      <w:pPr>
        <w:spacing w:after="0" w:line="178" w:lineRule="exact"/>
        <w:rPr>
          <w:sz w:val="20"/>
          <w:szCs w:val="20"/>
          <w:color w:val="auto"/>
        </w:rPr>
      </w:pPr>
    </w:p>
    <w:p>
      <w:pPr>
        <w:ind w:right="40" w:firstLine="1296"/>
        <w:spacing w:after="0" w:line="290" w:lineRule="auto"/>
        <w:rPr>
          <w:sz w:val="20"/>
          <w:szCs w:val="20"/>
          <w:color w:val="auto"/>
        </w:rPr>
      </w:pPr>
      <w:r>
        <w:rPr>
          <w:rFonts w:ascii="Arial" w:cs="Arial" w:eastAsia="Arial" w:hAnsi="Arial"/>
          <w:sz w:val="16"/>
          <w:szCs w:val="16"/>
          <w:color w:val="auto"/>
        </w:rPr>
        <w:t>Section 9.            </w:t>
      </w:r>
      <w:r>
        <w:rPr>
          <w:rFonts w:ascii="Arial" w:cs="Arial" w:eastAsia="Arial" w:hAnsi="Arial"/>
          <w:sz w:val="16"/>
          <w:szCs w:val="16"/>
          <w:u w:val="single" w:color="auto"/>
          <w:color w:val="auto"/>
        </w:rPr>
        <w:t>  Voting</w:t>
      </w:r>
      <w:r>
        <w:rPr>
          <w:rFonts w:ascii="Arial" w:cs="Arial" w:eastAsia="Arial" w:hAnsi="Arial"/>
          <w:sz w:val="16"/>
          <w:szCs w:val="16"/>
          <w:color w:val="auto"/>
        </w:rPr>
        <w:t xml:space="preserve">. Unless otherwise required by law, the Certificate of Incorporation or these Bylaws, or permitted by the rules and regulations of any securities exchange or quotation system on which the securities of the Corporation are listed or quoted for trading, any question brought before any meeting of the stockholders, other than the election of directors, shall be decided by the vote of the holders of a majority of the total number of votes of the Corporation’s capital stock present at the meeting in person or represented by proxy and entitled to vote on such question, voting as a single class. Subject to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each stockholder represented at a meeting of the stockholders shall be entitled to cast a vote or votes as set forth in the Certificate of Incorporation in respect of the shares of the capital stock entitled to vote thereat held by such stockholder. Such votes may be cast in person or by proxy as provided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II</w:t>
      </w:r>
      <w:r>
        <w:rPr>
          <w:rFonts w:ascii="Arial" w:cs="Arial" w:eastAsia="Arial" w:hAnsi="Arial"/>
          <w:sz w:val="16"/>
          <w:szCs w:val="16"/>
          <w:color w:val="auto"/>
        </w:rPr>
        <w:t>. The Board of Directors, in its discretion, or the chair of a meeting of the stockholders, in his or her discretion, may require that any votes cast at such meeting shall be cast by written ballot.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firstLine="1296"/>
        <w:spacing w:after="0" w:line="257" w:lineRule="auto"/>
        <w:rPr>
          <w:sz w:val="20"/>
          <w:szCs w:val="20"/>
          <w:color w:val="auto"/>
        </w:rPr>
      </w:pPr>
      <w:r>
        <w:rPr>
          <w:rFonts w:ascii="Arial" w:cs="Arial" w:eastAsia="Arial" w:hAnsi="Arial"/>
          <w:sz w:val="18"/>
          <w:szCs w:val="18"/>
          <w:color w:val="auto"/>
        </w:rPr>
        <w:t>Section 10.          </w:t>
      </w:r>
      <w:r>
        <w:rPr>
          <w:rFonts w:ascii="Arial" w:cs="Arial" w:eastAsia="Arial" w:hAnsi="Arial"/>
          <w:sz w:val="18"/>
          <w:szCs w:val="18"/>
          <w:u w:val="single" w:color="auto"/>
          <w:color w:val="auto"/>
        </w:rPr>
        <w:t>  Proxies</w:t>
      </w:r>
      <w:r>
        <w:rPr>
          <w:rFonts w:ascii="Arial" w:cs="Arial" w:eastAsia="Arial" w:hAnsi="Arial"/>
          <w:sz w:val="18"/>
          <w:szCs w:val="18"/>
          <w:color w:val="auto"/>
        </w:rPr>
        <w:t>. Each stockholder entitled to vote at a meeting of the stockholders or to express consent or dissent to corporate action in writing without a meeting to the extent authorized by the Certificate of Incorporation may authorize another person or persons to act for such stockholder as proxy, but no such proxy shall be voted upon after three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w:t>
      </w:r>
    </w:p>
    <w:p>
      <w:pPr>
        <w:spacing w:after="0" w:line="188" w:lineRule="exact"/>
        <w:rPr>
          <w:sz w:val="20"/>
          <w:szCs w:val="20"/>
          <w:color w:val="auto"/>
        </w:rPr>
      </w:pPr>
    </w:p>
    <w:p>
      <w:pPr>
        <w:ind w:left="660" w:right="720" w:firstLine="2268"/>
        <w:spacing w:after="0" w:line="342" w:lineRule="auto"/>
        <w:rPr>
          <w:sz w:val="20"/>
          <w:szCs w:val="20"/>
          <w:color w:val="auto"/>
        </w:rPr>
      </w:pPr>
      <w:r>
        <w:rPr>
          <w:rFonts w:ascii="Arial" w:cs="Arial" w:eastAsia="Arial" w:hAnsi="Arial"/>
          <w:sz w:val="16"/>
          <w:szCs w:val="16"/>
          <w:color w:val="auto"/>
        </w:rPr>
        <w:t>(i)            A stockholder, or such stockholder’s authorized officer, director, employee or agent, may execute a document (as defined by Section 116(a) of the DGCL) authorizing another person or persons to act for such stockholder as proxy.</w:t>
      </w:r>
    </w:p>
    <w:p>
      <w:pPr>
        <w:spacing w:after="0" w:line="124" w:lineRule="exact"/>
        <w:rPr>
          <w:sz w:val="20"/>
          <w:szCs w:val="20"/>
          <w:color w:val="auto"/>
        </w:rPr>
      </w:pPr>
    </w:p>
    <w:p>
      <w:pPr>
        <w:ind w:left="660" w:right="80" w:firstLine="2268"/>
        <w:spacing w:after="0" w:line="273" w:lineRule="auto"/>
        <w:rPr>
          <w:sz w:val="20"/>
          <w:szCs w:val="20"/>
          <w:color w:val="auto"/>
        </w:rPr>
      </w:pPr>
      <w:r>
        <w:rPr>
          <w:rFonts w:ascii="Arial" w:cs="Arial" w:eastAsia="Arial" w:hAnsi="Arial"/>
          <w:sz w:val="17"/>
          <w:szCs w:val="17"/>
          <w:color w:val="auto"/>
        </w:rPr>
        <w:t>(ii)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If it is determined that such transmissions are valid, the inspectors or, if there are no inspectors, such other persons making that determination shall specify the information on which they relied.</w:t>
      </w:r>
    </w:p>
    <w:p>
      <w:pPr>
        <w:spacing w:after="0" w:line="178" w:lineRule="exact"/>
        <w:rPr>
          <w:sz w:val="20"/>
          <w:szCs w:val="20"/>
          <w:color w:val="auto"/>
        </w:rPr>
      </w:pPr>
    </w:p>
    <w:p>
      <w:pPr>
        <w:ind w:left="660" w:firstLine="2268"/>
        <w:spacing w:after="0" w:line="263" w:lineRule="auto"/>
        <w:rPr>
          <w:sz w:val="20"/>
          <w:szCs w:val="20"/>
          <w:color w:val="auto"/>
        </w:rPr>
      </w:pPr>
      <w:r>
        <w:rPr>
          <w:rFonts w:ascii="Arial" w:cs="Arial" w:eastAsia="Arial" w:hAnsi="Arial"/>
          <w:sz w:val="18"/>
          <w:szCs w:val="18"/>
          <w:color w:val="auto"/>
        </w:rPr>
        <w:t>(iii)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copy, facsimile telecommunication or other reliable reproduction of the document (including any electronic transmission) authorizing another person or persons to act as proxy for a stockholder may be substituted or used in lieu of the original document for any and all purposes for which the original document could be used; provided, however, that such copy, facsimile telecommunication or other reproduction shall be a complete reproduction of the entire original document.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4" w:name="page35"/>
    <w:bookmarkEnd w:id="34"/>
    <w:p>
      <w:pPr>
        <w:ind w:right="20" w:firstLine="1296"/>
        <w:spacing w:after="0" w:line="285" w:lineRule="auto"/>
        <w:rPr>
          <w:sz w:val="20"/>
          <w:szCs w:val="20"/>
          <w:color w:val="auto"/>
        </w:rPr>
      </w:pPr>
      <w:r>
        <w:rPr>
          <w:rFonts w:ascii="Arial" w:cs="Arial" w:eastAsia="Arial" w:hAnsi="Arial"/>
          <w:sz w:val="16"/>
          <w:szCs w:val="16"/>
          <w:color w:val="auto"/>
        </w:rPr>
        <w:t>Section 11.          </w:t>
      </w:r>
      <w:r>
        <w:rPr>
          <w:rFonts w:ascii="Arial" w:cs="Arial" w:eastAsia="Arial" w:hAnsi="Arial"/>
          <w:sz w:val="16"/>
          <w:szCs w:val="16"/>
          <w:u w:val="single" w:color="auto"/>
          <w:color w:val="auto"/>
        </w:rPr>
        <w:t>  Consent of Stockholders in Lieu of Meeting</w:t>
      </w:r>
      <w:r>
        <w:rPr>
          <w:rFonts w:ascii="Arial" w:cs="Arial" w:eastAsia="Arial" w:hAnsi="Arial"/>
          <w:sz w:val="16"/>
          <w:szCs w:val="16"/>
          <w:color w:val="auto"/>
        </w:rPr>
        <w:t xml:space="preserve">. Unless otherwise provided in the Certificate of Incorporation, any action required or permitted to be taken at any Annual or Special Meeting of Stockholders of the Corporation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in accordance with Section 228(d) of the DGCL. A consent must be set forth in writing or in an electronic transmission. No consent shall be effective to take the corporate action referred to therein unless consents signed by a sufficient number of holders to take action are delivered to the Corporation in the manner required by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within sixty (60) days of the first date on which a consent is so delivered to the Corporation. Any person executing a consent may provide, whether through instruction to an agent or otherwise, that such a consent will be effective at a future time (including a time determined upon the happening of an event), occurring not later than sixty (60) days after such instruction is given or such provision is made, if evidence of such instruction or provision is provided to the Corporation. If the person is not a stockholder of record when the consent is executed, the consent shall not be valid unless the person is a stockholder of record as of the record date for determining stockholders entitled to consent to the action. Unless otherwise provided, any such consent shall be revocable prior to its becoming effective.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consent shall be given to those stockholders who have not consented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above in this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74"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Section 12.          </w:t>
      </w:r>
      <w:r>
        <w:rPr>
          <w:rFonts w:ascii="Arial" w:cs="Arial" w:eastAsia="Arial" w:hAnsi="Arial"/>
          <w:sz w:val="17"/>
          <w:szCs w:val="17"/>
          <w:u w:val="single" w:color="auto"/>
          <w:color w:val="auto"/>
        </w:rPr>
        <w:t>  List of Stockholders Entitled to Vote</w:t>
      </w:r>
      <w:r>
        <w:rPr>
          <w:rFonts w:ascii="Arial" w:cs="Arial" w:eastAsia="Arial" w:hAnsi="Arial"/>
          <w:sz w:val="17"/>
          <w:szCs w:val="17"/>
          <w:color w:val="auto"/>
        </w:rPr>
        <w:t>. The Corporation shall prepare, not later than the tenth (10th) day before each meeting of the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provided, that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1300"/>
        <w:spacing w:after="0"/>
        <w:rPr>
          <w:sz w:val="20"/>
          <w:szCs w:val="20"/>
          <w:color w:val="auto"/>
        </w:rPr>
      </w:pPr>
      <w:r>
        <w:rPr>
          <w:rFonts w:ascii="Arial" w:cs="Arial" w:eastAsia="Arial" w:hAnsi="Arial"/>
          <w:sz w:val="18"/>
          <w:szCs w:val="18"/>
          <w:color w:val="auto"/>
        </w:rPr>
        <w:t>Section 13.          </w:t>
      </w:r>
      <w:r>
        <w:rPr>
          <w:rFonts w:ascii="Arial" w:cs="Arial" w:eastAsia="Arial" w:hAnsi="Arial"/>
          <w:sz w:val="18"/>
          <w:szCs w:val="18"/>
          <w:u w:val="single" w:color="auto"/>
          <w:color w:val="auto"/>
        </w:rPr>
        <w:t>  Record Date</w:t>
      </w:r>
      <w:r>
        <w:rPr>
          <w:rFonts w:ascii="Arial" w:cs="Arial" w:eastAsia="Arial" w:hAnsi="Arial"/>
          <w:sz w:val="18"/>
          <w:szCs w:val="18"/>
          <w:color w:val="auto"/>
        </w:rPr>
        <w:t>.</w:t>
      </w:r>
    </w:p>
    <w:p>
      <w:pPr>
        <w:spacing w:after="0" w:line="225" w:lineRule="exact"/>
        <w:rPr>
          <w:sz w:val="20"/>
          <w:szCs w:val="20"/>
          <w:color w:val="auto"/>
        </w:rPr>
      </w:pPr>
    </w:p>
    <w:p>
      <w:pPr>
        <w:ind w:right="60" w:firstLine="1296"/>
        <w:spacing w:after="0" w:line="269" w:lineRule="auto"/>
        <w:rPr>
          <w:sz w:val="20"/>
          <w:szCs w:val="20"/>
          <w:color w:val="auto"/>
        </w:rPr>
      </w:pPr>
      <w:r>
        <w:rPr>
          <w:rFonts w:ascii="Arial" w:cs="Arial" w:eastAsia="Arial" w:hAnsi="Arial"/>
          <w:sz w:val="17"/>
          <w:szCs w:val="17"/>
          <w:color w:val="auto"/>
        </w:rPr>
        <w:t xml:space="preserve">(a)           In order that the Corporation may determine the stockholders entitled to notice of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 in accordance with the foregoing provisions of this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179"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(b)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2"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Section 14.          </w:t>
      </w:r>
      <w:r>
        <w:rPr>
          <w:rFonts w:ascii="Arial" w:cs="Arial" w:eastAsia="Arial" w:hAnsi="Arial"/>
          <w:sz w:val="17"/>
          <w:szCs w:val="17"/>
          <w:u w:val="single" w:color="auto"/>
          <w:color w:val="auto"/>
        </w:rPr>
        <w:t>  Stock Ledger</w:t>
      </w:r>
      <w:r>
        <w:rPr>
          <w:rFonts w:ascii="Arial" w:cs="Arial" w:eastAsia="Arial" w:hAnsi="Arial"/>
          <w:sz w:val="17"/>
          <w:szCs w:val="17"/>
          <w:color w:val="auto"/>
        </w:rPr>
        <w:t xml:space="preserve">. The stock ledger of the Corporation shall be the only evidence as to who are the stockholders entitled to examine the list of stockholders required by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the books and records of the Corporation, or to vote in person or by proxy at any meeting of stockholders. As used herein, the stock ledger of the Corporation shall refer to one (1)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 w:name="page37"/>
    <w:bookmarkEnd w:id="36"/>
    <w:p>
      <w:pPr>
        <w:ind w:right="40" w:firstLine="1296"/>
        <w:spacing w:after="0" w:line="283" w:lineRule="auto"/>
        <w:rPr>
          <w:sz w:val="20"/>
          <w:szCs w:val="20"/>
          <w:color w:val="auto"/>
        </w:rPr>
      </w:pPr>
      <w:r>
        <w:rPr>
          <w:rFonts w:ascii="Arial" w:cs="Arial" w:eastAsia="Arial" w:hAnsi="Arial"/>
          <w:sz w:val="16"/>
          <w:szCs w:val="16"/>
          <w:color w:val="auto"/>
        </w:rPr>
        <w:t>Section 15.          </w:t>
      </w:r>
      <w:r>
        <w:rPr>
          <w:rFonts w:ascii="Arial" w:cs="Arial" w:eastAsia="Arial" w:hAnsi="Arial"/>
          <w:sz w:val="16"/>
          <w:szCs w:val="16"/>
          <w:u w:val="single" w:color="auto"/>
          <w:color w:val="auto"/>
        </w:rPr>
        <w:t>  Conduct of Meetings</w:t>
      </w:r>
      <w:r>
        <w:rPr>
          <w:rFonts w:ascii="Arial" w:cs="Arial" w:eastAsia="Arial" w:hAnsi="Arial"/>
          <w:sz w:val="16"/>
          <w:szCs w:val="16"/>
          <w:color w:val="auto"/>
        </w:rPr>
        <w:t>. The Board of Directors of the Corporation may adopt by resolution such rules and regulations for the conduct of any meeting of the stockholders as it shall deem appropriate. Meetings of stockholders shall be presided over by the Chair of the Board of Directors, or in his or her absence, the Chief Executive Officer. The Board of Directors shall have the authority to appoint a temporary chair to serve at any meeting of the stockholders if the Chair of the Board of Directors or the Chief Executive Officer is unable to do so for any reason. Except to the extent inconsistent with any rules and regulations adopted by the Board of Directors, the chair of any meeting of the stockholders shall have the right and authority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w:t>
      </w:r>
    </w:p>
    <w:p>
      <w:pPr>
        <w:spacing w:after="0" w:line="6" w:lineRule="exact"/>
        <w:rPr>
          <w:sz w:val="20"/>
          <w:szCs w:val="20"/>
          <w:color w:val="auto"/>
        </w:rPr>
      </w:pPr>
    </w:p>
    <w:p>
      <w:pPr>
        <w:ind w:firstLine="8"/>
        <w:spacing w:after="0" w:line="255" w:lineRule="auto"/>
        <w:tabs>
          <w:tab w:leader="none" w:pos="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attendance at or participation in the meeting to stockholders of record of the Corporation, their duly authorized and constituted proxies or such other persons as the chair of the meeting shall determine; (v) restrictions on entry to the meeting after the time fixed for the commencement thereof; and (vi) limitations on the time allotted to questions or comments by stockholders.</w:t>
      </w:r>
    </w:p>
    <w:p>
      <w:pPr>
        <w:spacing w:after="0" w:line="190" w:lineRule="exact"/>
        <w:rPr>
          <w:sz w:val="20"/>
          <w:szCs w:val="20"/>
          <w:color w:val="auto"/>
        </w:rPr>
      </w:pPr>
    </w:p>
    <w:p>
      <w:pPr>
        <w:ind w:right="60" w:firstLine="1296"/>
        <w:spacing w:after="0" w:line="271" w:lineRule="auto"/>
        <w:rPr>
          <w:sz w:val="20"/>
          <w:szCs w:val="20"/>
          <w:color w:val="auto"/>
        </w:rPr>
      </w:pPr>
      <w:r>
        <w:rPr>
          <w:rFonts w:ascii="Arial" w:cs="Arial" w:eastAsia="Arial" w:hAnsi="Arial"/>
          <w:sz w:val="17"/>
          <w:szCs w:val="17"/>
          <w:color w:val="auto"/>
        </w:rPr>
        <w:t>Section 16.          </w:t>
      </w:r>
      <w:r>
        <w:rPr>
          <w:rFonts w:ascii="Arial" w:cs="Arial" w:eastAsia="Arial" w:hAnsi="Arial"/>
          <w:sz w:val="17"/>
          <w:szCs w:val="17"/>
          <w:u w:val="single" w:color="auto"/>
          <w:color w:val="auto"/>
        </w:rPr>
        <w:t>  Inspectors of Election</w:t>
      </w:r>
      <w:r>
        <w:rPr>
          <w:rFonts w:ascii="Arial" w:cs="Arial" w:eastAsia="Arial" w:hAnsi="Arial"/>
          <w:sz w:val="17"/>
          <w:szCs w:val="17"/>
          <w:color w:val="auto"/>
        </w:rPr>
        <w:t>. In advance of any meeting of the stockholders, the Board of Directors, by resolution, the Chair of the Board of Directors or the Chief Executive Officer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execute and deliver to the Corporation a certificate of the result of the vote taken and of such other facts as may be required by applicable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Section 1.            </w:t>
      </w:r>
      <w:r>
        <w:rPr>
          <w:rFonts w:ascii="Arial" w:cs="Arial" w:eastAsia="Arial" w:hAnsi="Arial"/>
          <w:sz w:val="18"/>
          <w:szCs w:val="18"/>
          <w:u w:val="single" w:color="auto"/>
          <w:color w:val="auto"/>
        </w:rPr>
        <w:t>  Number and Election of Directors</w:t>
      </w:r>
      <w:r>
        <w:rPr>
          <w:rFonts w:ascii="Arial" w:cs="Arial" w:eastAsia="Arial" w:hAnsi="Arial"/>
          <w:sz w:val="18"/>
          <w:szCs w:val="18"/>
          <w:color w:val="auto"/>
        </w:rPr>
        <w:t xml:space="preserve">. The number of directors which shall constitute the whole Board of Directors shall be fixed from time to time by a duly adopted resolution of the Board of Directors. Except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directors shall be elected by a plurality of the votes cast at each Annual Meeting of Stockholders and each director so elected shall hold office until the next Annual Meeting of Stockholders and until such director’s successor is duly elected and qualified, or until such director’s earlier death, resignation or removal. Each director shall be a natural person and need not be a stockholder.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right="20" w:firstLine="1296"/>
        <w:spacing w:after="0" w:line="254"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u w:val="single" w:color="auto"/>
          <w:color w:val="auto"/>
        </w:rPr>
        <w:t>  Vacancies</w:t>
      </w:r>
      <w:r>
        <w:rPr>
          <w:rFonts w:ascii="Arial" w:cs="Arial" w:eastAsia="Arial" w:hAnsi="Arial"/>
          <w:sz w:val="18"/>
          <w:szCs w:val="18"/>
          <w:color w:val="auto"/>
        </w:rPr>
        <w:t>. Unless otherwise required by law or the Certificate of Incorporation, vacancies on the Board of Directors or any committee thereof resulting from the death, resignation or removal of a director, or from an increase in the number of directors constituting the Board of Directors or such committee or otherwise, may be filled only by a majority of the directors then in office, though less than a quorum, or by a sole remaining director. The directors so chosen shall, in the case of the Board of Directors, hold office until the annual election in which their term expires pursuant to the Certificate of Incorporation and until their successors are duly elected and qualified, or until their earlier death, resignation or removal and, in the case of any committee of the Board of Directors, shall hold office until their successors are duly appointed by the Board of Directors or until their earlier death, resignation or removal.</w:t>
      </w:r>
    </w:p>
    <w:p>
      <w:pPr>
        <w:spacing w:after="0" w:line="195"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Section 3.            </w:t>
      </w:r>
      <w:r>
        <w:rPr>
          <w:rFonts w:ascii="Arial" w:cs="Arial" w:eastAsia="Arial" w:hAnsi="Arial"/>
          <w:sz w:val="18"/>
          <w:szCs w:val="18"/>
          <w:u w:val="single" w:color="auto"/>
          <w:color w:val="auto"/>
        </w:rPr>
        <w:t>  Duties and 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except as may be otherwise provided in the DGCL, the Certificate of Incorporation, these Bylaws or required by the rules and regulations of any securities exchange or quotation system on which the securities of the Corporation are listed or quoted for trading.</w:t>
      </w:r>
    </w:p>
    <w:p>
      <w:pPr>
        <w:spacing w:after="0" w:line="187"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Section 4.            </w:t>
      </w:r>
      <w:r>
        <w:rPr>
          <w:rFonts w:ascii="Arial" w:cs="Arial" w:eastAsia="Arial" w:hAnsi="Arial"/>
          <w:sz w:val="16"/>
          <w:szCs w:val="16"/>
          <w:u w:val="single" w:color="auto"/>
          <w:color w:val="auto"/>
        </w:rPr>
        <w:t>  Meetings</w:t>
      </w:r>
      <w:r>
        <w:rPr>
          <w:rFonts w:ascii="Arial" w:cs="Arial" w:eastAsia="Arial" w:hAnsi="Arial"/>
          <w:sz w:val="16"/>
          <w:szCs w:val="16"/>
          <w:color w:val="auto"/>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 of the Board of Directors, the Chief Executive Officer or by a majority of the Board of Directors then in office. Special meetings of any committee of the Board of Directors may be called by the chair of such committee, the Chief Executive Officer or a majority of such committee. Notice of any special meeting stating the place, date and hour of the meeting shall be given to each director (or, in the case of a committee, to each member of such committee) not less than twenty-four hours before the date of the meeting, by telephone, or in the form of a writing or electronic transmission, or on such shorter notice as the person or persons calling such meeting may deem necessary or appropriate in the circumstances.</w:t>
      </w:r>
    </w:p>
    <w:p>
      <w:pPr>
        <w:spacing w:after="0" w:line="16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Section 5.            </w:t>
      </w:r>
      <w:r>
        <w:rPr>
          <w:rFonts w:ascii="Arial" w:cs="Arial" w:eastAsia="Arial" w:hAnsi="Arial"/>
          <w:sz w:val="17"/>
          <w:szCs w:val="17"/>
          <w:u w:val="single" w:color="auto"/>
          <w:color w:val="auto"/>
        </w:rPr>
        <w:t>  Organization</w:t>
      </w:r>
      <w:r>
        <w:rPr>
          <w:rFonts w:ascii="Arial" w:cs="Arial" w:eastAsia="Arial" w:hAnsi="Arial"/>
          <w:sz w:val="17"/>
          <w:szCs w:val="17"/>
          <w:color w:val="auto"/>
        </w:rPr>
        <w:t>. At each meeting of the Board of Directors or any committee thereof, the Chair of the Board of Directors or the chair of such committee, as the case may be, shall act as chair of such meeting. At each meeting of the Board of Directors in the absence or disability of the Chair of the Board of Directors, if the Chief Executive Officer is also a director, then the Chief Executive Officer shall act as chair of such meeting. At each meeting of the Board of Directors in the absence or disability of the Chair of the Board of Directors and the Chief Executive Officer, or if the Chief Executive Officer is not a director, and in each meeting of a committee of the Board of Directors in the absence or disability of the chair of such committee, a director chosen by a majority of the directors present shall act as chair of such meeting. Except as provided below, the Secretary of the Corporation shall act as secretary at each meeting of the Board of Directors and of each committee thereof. In case the Secretary shall be absent from any meeting of the Board of Directors or of any committee thereof, an Assistant Secretary, if there by any,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right="20" w:firstLine="1296"/>
        <w:spacing w:after="0" w:line="253" w:lineRule="auto"/>
        <w:rPr>
          <w:sz w:val="20"/>
          <w:szCs w:val="20"/>
          <w:color w:val="auto"/>
        </w:rPr>
      </w:pPr>
      <w:r>
        <w:rPr>
          <w:rFonts w:ascii="Arial" w:cs="Arial" w:eastAsia="Arial" w:hAnsi="Arial"/>
          <w:sz w:val="18"/>
          <w:szCs w:val="18"/>
          <w:color w:val="auto"/>
        </w:rPr>
        <w:t>Section 6.            </w:t>
      </w:r>
      <w:r>
        <w:rPr>
          <w:rFonts w:ascii="Arial" w:cs="Arial" w:eastAsia="Arial" w:hAnsi="Arial"/>
          <w:sz w:val="18"/>
          <w:szCs w:val="18"/>
          <w:u w:val="single" w:color="auto"/>
          <w:color w:val="auto"/>
        </w:rPr>
        <w:t>  Resignations and Removals of Directors</w:t>
      </w:r>
      <w:r>
        <w:rPr>
          <w:rFonts w:ascii="Arial" w:cs="Arial" w:eastAsia="Arial" w:hAnsi="Arial"/>
          <w:sz w:val="18"/>
          <w:szCs w:val="18"/>
          <w:color w:val="auto"/>
        </w:rPr>
        <w:t>. Any director of the Corporation may resign from the Board of Directors or any committee thereof at any time, by giving notice in writing or by electronic transmission to the Chair of the Board of Directors, the Chief Executive Officer or the Secretary of the Corporation and, in the case of a committee, to the chair of such committee, if there be one. Such resignation shall take effect when delivered or, if such resignation specifies a later effective time or an effective time, determined upon the happening of an event or events, in which case, such resignation takes effect upon such effective time. Unless otherwise specified in such resignation, the acceptance of such resignation shall not be necessary to make it effective. A resignation which is conditioned upon the director failing to receive a specified vote for reelection as a director may provide that it is irrevocable. Except as otherwise required by applicable law and subject to the rights, if any, of the holders of shares of preferred stock then outstanding, any director or the entire Board of Directors may be removed from office at any time pursuant to the Certificate of Incorporation by the affirmative vote of the holders of at least a majority in voting power of the issued and outstanding capital stock of the Corporation entitled to vote in the election of directors. Any director serving on a committee of the Board of Directors may be removed from such committee at any time by the Board of Directors.</w:t>
      </w:r>
    </w:p>
    <w:p>
      <w:pPr>
        <w:spacing w:after="0" w:line="192"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Section 7.            </w:t>
      </w:r>
      <w:r>
        <w:rPr>
          <w:rFonts w:ascii="Arial" w:cs="Arial" w:eastAsia="Arial" w:hAnsi="Arial"/>
          <w:sz w:val="17"/>
          <w:szCs w:val="17"/>
          <w:u w:val="single" w:color="auto"/>
          <w:color w:val="auto"/>
        </w:rPr>
        <w:t>  Quorum</w:t>
      </w:r>
      <w:r>
        <w:rPr>
          <w:rFonts w:ascii="Arial" w:cs="Arial" w:eastAsia="Arial" w:hAnsi="Arial"/>
          <w:sz w:val="17"/>
          <w:szCs w:val="17"/>
          <w:color w:val="auto"/>
        </w:rPr>
        <w:t>. Except as otherwise required by law, or the Certificate of Incorporation or the rules and regulations of any securities exchange or quotation system on which the securities of the Corporation are listed or quoted for trading, at all meetings of the Board of Directors or any committee thereof, a majority of the entire Board of Directors or a majority of the directors constituting such committee, as the case may be, shall constitute a quorum for the transaction of business and the vote of a majority of the directors or committee members, as applicable, present at any meeting at which there is a quorum shall be the act of the Board of Directors or such committee, as applicable. If a quorum shall not be present at any meeting of the Board of Directors or any committee thereof, the directors present thereat may adjourn the meeting from time to time, without notice other than announcement at the meeting of the time and place of the adjourned meeting, until a quorum shall be present.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8.            </w:t>
      </w:r>
      <w:r>
        <w:rPr>
          <w:rFonts w:ascii="Arial" w:cs="Arial" w:eastAsia="Arial" w:hAnsi="Arial"/>
          <w:sz w:val="18"/>
          <w:szCs w:val="18"/>
          <w:u w:val="single" w:color="auto"/>
          <w:color w:val="auto"/>
        </w:rPr>
        <w:t>  Emergency Powers</w:t>
      </w:r>
      <w:r>
        <w:rPr>
          <w:rFonts w:ascii="Arial" w:cs="Arial" w:eastAsia="Arial" w:hAnsi="Arial"/>
          <w:sz w:val="18"/>
          <w:szCs w:val="18"/>
          <w:color w:val="auto"/>
        </w:rPr>
        <w:t>.</w:t>
      </w:r>
    </w:p>
    <w:p>
      <w:pPr>
        <w:spacing w:after="0" w:line="225" w:lineRule="exact"/>
        <w:rPr>
          <w:sz w:val="20"/>
          <w:szCs w:val="20"/>
          <w:color w:val="auto"/>
        </w:rPr>
      </w:pPr>
    </w:p>
    <w:p>
      <w:pPr>
        <w:ind w:right="140" w:firstLine="1296"/>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  Emergency Provisions</w:t>
      </w:r>
      <w:r>
        <w:rPr>
          <w:rFonts w:ascii="Arial" w:cs="Arial" w:eastAsia="Arial" w:hAnsi="Arial"/>
          <w:sz w:val="18"/>
          <w:szCs w:val="18"/>
          <w:color w:val="auto"/>
        </w:rPr>
        <w:t xml:space="preserve">. Notwithstanding any different provision elsewhere in the Certificate of Incorporation or these Bylaws, the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operative during any emergency resulting from an attack on the United States, Israel or other locality in which the corporation conducts its business or customarily holds meetings of its Board of Directors or its stockholders, or during any nuclear or atomic disaster, or during the existence of any catastrophe, including, but not limited to, an epidemic or pandemic, and a declaration of a national emergency by the United States or Israeli government, or other similar emergency condition, irrespective of whether a quorum of the Board of Directors or a standing committee of the Board of Directors can readily be convened for action.</w:t>
      </w:r>
    </w:p>
    <w:p>
      <w:pPr>
        <w:spacing w:after="0" w:line="192"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  Call and Notice of Directors’ Meetings</w:t>
      </w:r>
      <w:r>
        <w:rPr>
          <w:rFonts w:ascii="Arial" w:cs="Arial" w:eastAsia="Arial" w:hAnsi="Arial"/>
          <w:sz w:val="18"/>
          <w:szCs w:val="18"/>
          <w:color w:val="auto"/>
        </w:rPr>
        <w:t>. A meeting of the Board of Directors or a committee of the Board of Directors may be called at any time by any officer or director. Notice of any such meeting shall be given at least eight (8) hours prior to the time set for the meeting, but need be given only to such of the directors as it may be feasible to reach at the time and by such means as may be feasible at the time, including publication or radio.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right="40" w:firstLine="1296"/>
        <w:spacing w:after="0" w:line="263"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  Quorum of Directors</w:t>
      </w:r>
      <w:r>
        <w:rPr>
          <w:rFonts w:ascii="Arial" w:cs="Arial" w:eastAsia="Arial" w:hAnsi="Arial"/>
          <w:sz w:val="18"/>
          <w:szCs w:val="18"/>
          <w:color w:val="auto"/>
        </w:rPr>
        <w:t>. The director or directors in attendance at the meeting shall constitute a quorum. The officers and the members of the management of the corporation who are present shall, to the extent required to provide a quorum at any meeting of the Board of Directors, be deemed, in order of rank and within the same rank in order of seniority, directors for such meeting.</w:t>
      </w:r>
    </w:p>
    <w:p>
      <w:pPr>
        <w:spacing w:after="0" w:line="184" w:lineRule="exact"/>
        <w:rPr>
          <w:sz w:val="20"/>
          <w:szCs w:val="20"/>
          <w:color w:val="auto"/>
        </w:rPr>
      </w:pPr>
    </w:p>
    <w:p>
      <w:pPr>
        <w:jc w:val="both"/>
        <w:ind w:right="60" w:firstLine="1296"/>
        <w:spacing w:after="0" w:line="263"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  Officers’ Succession</w:t>
      </w:r>
      <w:r>
        <w:rPr>
          <w:rFonts w:ascii="Arial" w:cs="Arial" w:eastAsia="Arial" w:hAnsi="Arial"/>
          <w:sz w:val="18"/>
          <w:szCs w:val="18"/>
          <w:color w:val="auto"/>
        </w:rPr>
        <w:t>. The Board of Directors, either before or during the emergency, may provide, and from time to time modify, lines of succession in the event that during such emergency any or all officers or other agents of the corporation shall for any reason be rendered incapable of discharging their duties.</w:t>
      </w:r>
    </w:p>
    <w:p>
      <w:pPr>
        <w:spacing w:after="0" w:line="184"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(e)         </w:t>
      </w:r>
      <w:r>
        <w:rPr>
          <w:rFonts w:ascii="Arial" w:cs="Arial" w:eastAsia="Arial" w:hAnsi="Arial"/>
          <w:sz w:val="18"/>
          <w:szCs w:val="18"/>
          <w:u w:val="single" w:color="auto"/>
          <w:color w:val="auto"/>
        </w:rPr>
        <w:t>  Change of Office</w:t>
      </w:r>
      <w:r>
        <w:rPr>
          <w:rFonts w:ascii="Arial" w:cs="Arial" w:eastAsia="Arial" w:hAnsi="Arial"/>
          <w:sz w:val="18"/>
          <w:szCs w:val="18"/>
          <w:color w:val="auto"/>
        </w:rPr>
        <w:t>. The Board of Directors, either before or during the emergency, may, effective in the emergency, change the head office or designate several alternative head offices or regional offices, or authorize the officers to do so.</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(f)          </w:t>
      </w:r>
      <w:r>
        <w:rPr>
          <w:rFonts w:ascii="Arial" w:cs="Arial" w:eastAsia="Arial" w:hAnsi="Arial"/>
          <w:sz w:val="17"/>
          <w:szCs w:val="17"/>
          <w:u w:val="single" w:color="auto"/>
          <w:color w:val="auto"/>
        </w:rPr>
        <w:t>  Other Actions</w:t>
      </w:r>
      <w:r>
        <w:rPr>
          <w:rFonts w:ascii="Arial" w:cs="Arial" w:eastAsia="Arial" w:hAnsi="Arial"/>
          <w:sz w:val="17"/>
          <w:szCs w:val="17"/>
          <w:color w:val="auto"/>
        </w:rPr>
        <w:t>. During any emergency condition of a type described in Section 110(a) of the DGCL, the Board of Directors (or, if a quorum cannot be readily convened for a meeting, a majority of the directors present) may, pursuant to Section 110 of the DGCL:</w:t>
      </w:r>
    </w:p>
    <w:p>
      <w:pPr>
        <w:spacing w:after="0" w:line="146" w:lineRule="exact"/>
        <w:rPr>
          <w:sz w:val="20"/>
          <w:szCs w:val="20"/>
          <w:color w:val="auto"/>
        </w:rPr>
      </w:pPr>
    </w:p>
    <w:p>
      <w:pPr>
        <w:ind w:left="660" w:right="40" w:firstLine="2268"/>
        <w:spacing w:after="0" w:line="296" w:lineRule="auto"/>
        <w:rPr>
          <w:sz w:val="20"/>
          <w:szCs w:val="20"/>
          <w:color w:val="auto"/>
        </w:rPr>
      </w:pPr>
      <w:r>
        <w:rPr>
          <w:rFonts w:ascii="Arial" w:cs="Arial" w:eastAsia="Arial" w:hAnsi="Arial"/>
          <w:sz w:val="16"/>
          <w:szCs w:val="16"/>
          <w:color w:val="auto"/>
        </w:rPr>
        <w:t>(i)            take any action that it determines to be practical and necessary to address the circumstances of such emergency condition with respect to a meeting of the stockholders, including but not limited to, to postpone any stockholder meeting to a later time or date, or make a change to hold the meeting solely by means of remote communication, and notify stockholders of any postponement or change of place of meeting or a change to hold the meeting solely by means of remote communication, solely by a document publicly filed by the Corporation with the Securities and Exchange Commission (the “SEC”) pursuant to Section 13, 14, or 15(d) of the Exchange Act, and</w:t>
      </w:r>
    </w:p>
    <w:p>
      <w:pPr>
        <w:spacing w:after="0" w:line="161" w:lineRule="exact"/>
        <w:rPr>
          <w:sz w:val="20"/>
          <w:szCs w:val="20"/>
          <w:color w:val="auto"/>
        </w:rPr>
      </w:pPr>
    </w:p>
    <w:p>
      <w:pPr>
        <w:ind w:left="660" w:right="80" w:firstLine="2268"/>
        <w:spacing w:after="0" w:line="279" w:lineRule="auto"/>
        <w:rPr>
          <w:sz w:val="20"/>
          <w:szCs w:val="20"/>
          <w:color w:val="auto"/>
        </w:rPr>
      </w:pPr>
      <w:r>
        <w:rPr>
          <w:rFonts w:ascii="Arial" w:cs="Arial" w:eastAsia="Arial" w:hAnsi="Arial"/>
          <w:sz w:val="17"/>
          <w:szCs w:val="17"/>
          <w:color w:val="auto"/>
        </w:rPr>
        <w:t>(ii)           for any dividend that has been declared but which record date has not occurred, change the record date or payment date or both to a later date or dates. The payment date as so changed may not be more than sixty (60) days after the record date as so changed. Notice of the change must be given to stockholders as promptly as practicable, which may be given solely by a document publicly filed by the Corporation with the SEC pursuant to Section 13, 14, or 15(d) of the Exchange Act.</w:t>
      </w:r>
    </w:p>
    <w:p>
      <w:pPr>
        <w:spacing w:after="0" w:line="171"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(g)         </w:t>
      </w:r>
      <w:r>
        <w:rPr>
          <w:rFonts w:ascii="Arial" w:cs="Arial" w:eastAsia="Arial" w:hAnsi="Arial"/>
          <w:sz w:val="18"/>
          <w:szCs w:val="18"/>
          <w:u w:val="single" w:color="auto"/>
          <w:color w:val="auto"/>
        </w:rPr>
        <w:t>  Liability</w:t>
      </w:r>
      <w:r>
        <w:rPr>
          <w:rFonts w:ascii="Arial" w:cs="Arial" w:eastAsia="Arial" w:hAnsi="Arial"/>
          <w:sz w:val="18"/>
          <w:szCs w:val="18"/>
          <w:color w:val="auto"/>
        </w:rPr>
        <w:t>. No officer, director, or employee acting in accordance with any emergency Bylaw provision shall be liable except for willful misconduct.</w:t>
      </w:r>
    </w:p>
    <w:p>
      <w:pPr>
        <w:spacing w:after="0" w:line="170"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(h)         </w:t>
      </w:r>
      <w:r>
        <w:rPr>
          <w:rFonts w:ascii="Arial" w:cs="Arial" w:eastAsia="Arial" w:hAnsi="Arial"/>
          <w:sz w:val="18"/>
          <w:szCs w:val="18"/>
          <w:u w:val="single" w:color="auto"/>
          <w:color w:val="auto"/>
        </w:rPr>
        <w:t>  Termination</w:t>
      </w:r>
      <w:r>
        <w:rPr>
          <w:rFonts w:ascii="Arial" w:cs="Arial" w:eastAsia="Arial" w:hAnsi="Arial"/>
          <w:sz w:val="18"/>
          <w:szCs w:val="18"/>
          <w:color w:val="auto"/>
        </w:rPr>
        <w:t>. These Bylaws shall remain in effect during any emergency and upon its termination the foregoing emergency Bylaw provisions shall cease to be operative. All emergency Bylaw provisions may be terminated at any time by the consent or direction of a majority of a quorum of the Board of Directors.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0" w:name="page41"/>
    <w:bookmarkEnd w:id="40"/>
    <w:p>
      <w:pPr>
        <w:ind w:left="1300"/>
        <w:spacing w:after="0"/>
        <w:rPr>
          <w:sz w:val="20"/>
          <w:szCs w:val="20"/>
          <w:color w:val="auto"/>
        </w:rPr>
      </w:pPr>
      <w:r>
        <w:rPr>
          <w:rFonts w:ascii="Arial" w:cs="Arial" w:eastAsia="Arial" w:hAnsi="Arial"/>
          <w:sz w:val="16"/>
          <w:szCs w:val="16"/>
          <w:color w:val="auto"/>
        </w:rPr>
        <w:t>Section 9.            </w:t>
      </w:r>
      <w:r>
        <w:rPr>
          <w:rFonts w:ascii="Arial" w:cs="Arial" w:eastAsia="Arial" w:hAnsi="Arial"/>
          <w:sz w:val="16"/>
          <w:szCs w:val="16"/>
          <w:u w:val="single" w:color="auto"/>
          <w:color w:val="auto"/>
        </w:rPr>
        <w:t>  Actions of the Board by Written Consent</w:t>
      </w:r>
      <w:r>
        <w:rPr>
          <w:rFonts w:ascii="Arial" w:cs="Arial" w:eastAsia="Arial" w:hAnsi="Arial"/>
          <w:sz w:val="16"/>
          <w:szCs w:val="16"/>
          <w:color w:val="auto"/>
        </w:rPr>
        <w:t>. Unless otherwise provided in the Certificate of Incorporation or these Bylaws,</w:t>
      </w:r>
    </w:p>
    <w:p>
      <w:pPr>
        <w:spacing w:after="0" w:line="46" w:lineRule="exact"/>
        <w:rPr>
          <w:sz w:val="20"/>
          <w:szCs w:val="20"/>
          <w:color w:val="auto"/>
        </w:rPr>
      </w:pPr>
    </w:p>
    <w:p>
      <w:pPr>
        <w:ind w:right="20" w:firstLine="8"/>
        <w:spacing w:after="0" w:line="268"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and (b) a consent may be documented, signed and delivered in any manner permitted by Section 116 of the DGCL. Any person, whether or not then a director, may provide,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83" w:lineRule="exact"/>
        <w:rPr>
          <w:sz w:val="20"/>
          <w:szCs w:val="20"/>
          <w:color w:val="auto"/>
        </w:rPr>
      </w:pPr>
    </w:p>
    <w:p>
      <w:pPr>
        <w:ind w:right="240" w:firstLine="1296"/>
        <w:spacing w:after="0" w:line="279" w:lineRule="auto"/>
        <w:rPr>
          <w:sz w:val="20"/>
          <w:szCs w:val="20"/>
          <w:color w:val="auto"/>
        </w:rPr>
      </w:pPr>
      <w:r>
        <w:rPr>
          <w:rFonts w:ascii="Arial" w:cs="Arial" w:eastAsia="Arial" w:hAnsi="Arial"/>
          <w:sz w:val="17"/>
          <w:szCs w:val="17"/>
          <w:color w:val="auto"/>
        </w:rPr>
        <w:t>Section 10.          </w:t>
      </w:r>
      <w:r>
        <w:rPr>
          <w:rFonts w:ascii="Arial" w:cs="Arial" w:eastAsia="Arial" w:hAnsi="Arial"/>
          <w:sz w:val="17"/>
          <w:szCs w:val="17"/>
          <w:u w:val="single" w:color="auto"/>
          <w:color w:val="auto"/>
        </w:rPr>
        <w:t>  Meetings by Means of Conference Telephone</w:t>
      </w:r>
      <w:r>
        <w:rPr>
          <w:rFonts w:ascii="Arial" w:cs="Arial" w:eastAsia="Arial" w:hAnsi="Arial"/>
          <w:sz w:val="17"/>
          <w:szCs w:val="17"/>
          <w:color w:val="auto"/>
        </w:rPr>
        <w:t xml:space="preserve">.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constitute presence in person at such meeting.</w:t>
      </w:r>
    </w:p>
    <w:p>
      <w:pPr>
        <w:spacing w:after="0" w:line="171" w:lineRule="exact"/>
        <w:rPr>
          <w:sz w:val="20"/>
          <w:szCs w:val="20"/>
          <w:color w:val="auto"/>
        </w:rPr>
      </w:pPr>
    </w:p>
    <w:p>
      <w:pPr>
        <w:ind w:firstLine="1296"/>
        <w:spacing w:after="0" w:line="267" w:lineRule="auto"/>
        <w:rPr>
          <w:sz w:val="20"/>
          <w:szCs w:val="20"/>
          <w:color w:val="auto"/>
        </w:rPr>
      </w:pPr>
      <w:r>
        <w:rPr>
          <w:rFonts w:ascii="Arial" w:cs="Arial" w:eastAsia="Arial" w:hAnsi="Arial"/>
          <w:sz w:val="17"/>
          <w:szCs w:val="17"/>
          <w:color w:val="auto"/>
        </w:rPr>
        <w:t>Section 11.          </w:t>
      </w:r>
      <w:r>
        <w:rPr>
          <w:rFonts w:ascii="Arial" w:cs="Arial" w:eastAsia="Arial" w:hAnsi="Arial"/>
          <w:sz w:val="17"/>
          <w:szCs w:val="17"/>
          <w:u w:val="single" w:color="auto"/>
          <w:color w:val="auto"/>
        </w:rPr>
        <w:t>  Committees</w:t>
      </w:r>
      <w:r>
        <w:rPr>
          <w:rFonts w:ascii="Arial" w:cs="Arial" w:eastAsia="Arial" w:hAnsi="Arial"/>
          <w:sz w:val="17"/>
          <w:szCs w:val="17"/>
          <w:color w:val="auto"/>
        </w:rPr>
        <w:t xml:space="preserve">. The Board of Directors may designate one or more committees, each committee to consist of one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of Directors may designate one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qualified member of the Board of Directors to act at the meeting in the place of any absent or disqualified member. Any such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provided, however, that no such committee shall have the power or authority to (i) approve, adopt, or recommend to the stockholders any action or matter (other than the election or removal of directors) expressly required by the DGCL to be submitted to stockholders for approval, or (ii) adopt, amend, or repeal any of these Bylaws. Each committee shall keep regular minutes and report to the Board of Directors when required. Notwithstanding anything to the contrary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firstLine="1296"/>
        <w:spacing w:after="0" w:line="275" w:lineRule="auto"/>
        <w:rPr>
          <w:sz w:val="20"/>
          <w:szCs w:val="20"/>
          <w:color w:val="auto"/>
        </w:rPr>
      </w:pPr>
      <w:r>
        <w:rPr>
          <w:rFonts w:ascii="Arial" w:cs="Arial" w:eastAsia="Arial" w:hAnsi="Arial"/>
          <w:sz w:val="17"/>
          <w:szCs w:val="17"/>
          <w:color w:val="auto"/>
        </w:rPr>
        <w:t>Section 12.          </w:t>
      </w:r>
      <w:r>
        <w:rPr>
          <w:rFonts w:ascii="Arial" w:cs="Arial" w:eastAsia="Arial" w:hAnsi="Arial"/>
          <w:sz w:val="17"/>
          <w:szCs w:val="17"/>
          <w:u w:val="single" w:color="auto"/>
          <w:color w:val="auto"/>
        </w:rPr>
        <w:t>  Subcommittees</w:t>
      </w:r>
      <w:r>
        <w:rPr>
          <w:rFonts w:ascii="Arial" w:cs="Arial" w:eastAsia="Arial" w:hAnsi="Arial"/>
          <w:sz w:val="17"/>
          <w:szCs w:val="17"/>
          <w:color w:val="auto"/>
        </w:rPr>
        <w:t xml:space="preserve">. Unless otherwise provided in the Certificate of Incorporation, these Bylaws, or the resolution of the Board of Directors designating a committee, such committee may create one or more subcommittees, each subcommittee to consist of one or more members of the committee, and delegate to a subcommittee any or all of the powers and authority of the committee. Except for references to committees and members of committees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every reference in these Bylaws to a committee of the Board of Directors or a member of a committee shall be deemed to include a reference to a subcommittee or member of a subcommittee.</w:t>
      </w:r>
    </w:p>
    <w:p>
      <w:pPr>
        <w:spacing w:after="0" w:line="176"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color w:val="auto"/>
        </w:rPr>
        <w:t>Section 13.          </w:t>
      </w:r>
      <w:r>
        <w:rPr>
          <w:rFonts w:ascii="Arial" w:cs="Arial" w:eastAsia="Arial" w:hAnsi="Arial"/>
          <w:sz w:val="17"/>
          <w:szCs w:val="17"/>
          <w:u w:val="single" w:color="auto"/>
          <w:color w:val="auto"/>
        </w:rPr>
        <w:t>  Compensation</w:t>
      </w:r>
      <w:r>
        <w:rPr>
          <w:rFonts w:ascii="Arial" w:cs="Arial" w:eastAsia="Arial" w:hAnsi="Arial"/>
          <w:sz w:val="17"/>
          <w:szCs w:val="17"/>
          <w:color w:val="auto"/>
        </w:rPr>
        <w:t>. The directors may be paid their expenses, if any, of attendance at each meeting of the Board of Directors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171" w:lineRule="exact"/>
        <w:rPr>
          <w:sz w:val="20"/>
          <w:szCs w:val="20"/>
          <w:color w:val="auto"/>
        </w:rPr>
      </w:pPr>
    </w:p>
    <w:p>
      <w:pPr>
        <w:ind w:right="80" w:firstLine="1296"/>
        <w:spacing w:after="0" w:line="284" w:lineRule="auto"/>
        <w:rPr>
          <w:sz w:val="20"/>
          <w:szCs w:val="20"/>
          <w:color w:val="auto"/>
        </w:rPr>
      </w:pPr>
      <w:r>
        <w:rPr>
          <w:rFonts w:ascii="Arial" w:cs="Arial" w:eastAsia="Arial" w:hAnsi="Arial"/>
          <w:sz w:val="16"/>
          <w:szCs w:val="16"/>
          <w:color w:val="auto"/>
        </w:rPr>
        <w:t>Section 14.          </w:t>
      </w:r>
      <w:r>
        <w:rPr>
          <w:rFonts w:ascii="Arial" w:cs="Arial" w:eastAsia="Arial" w:hAnsi="Arial"/>
          <w:sz w:val="16"/>
          <w:szCs w:val="16"/>
          <w:u w:val="single" w:color="auto"/>
          <w:color w:val="auto"/>
        </w:rPr>
        <w:t>  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w:t>
      </w:r>
    </w:p>
    <w:p>
      <w:pPr>
        <w:spacing w:after="0" w:line="2" w:lineRule="exact"/>
        <w:rPr>
          <w:sz w:val="20"/>
          <w:szCs w:val="20"/>
          <w:color w:val="auto"/>
        </w:rPr>
      </w:pPr>
    </w:p>
    <w:p>
      <w:pPr>
        <w:ind w:right="180" w:firstLine="8"/>
        <w:spacing w:after="0" w:line="253"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such contract or transaction.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Section 1.            </w:t>
      </w:r>
      <w:r>
        <w:rPr>
          <w:rFonts w:ascii="Arial" w:cs="Arial" w:eastAsia="Arial" w:hAnsi="Arial"/>
          <w:sz w:val="18"/>
          <w:szCs w:val="18"/>
          <w:u w:val="single" w:color="auto"/>
          <w:color w:val="auto"/>
        </w:rPr>
        <w:t>  General</w:t>
      </w:r>
      <w:r>
        <w:rPr>
          <w:rFonts w:ascii="Arial" w:cs="Arial" w:eastAsia="Arial" w:hAnsi="Arial"/>
          <w:sz w:val="18"/>
          <w:szCs w:val="18"/>
          <w:color w:val="auto"/>
        </w:rPr>
        <w:t>. The officers of the Corporation shall be chosen by the Board of Directors and shall be a Chair of the Board of Directors (who must be a director), Chief Executive Officer, Chief Financial Officer and Secretary. The Board of Directors may also choose one or more other officers in its discretion. Any number of offices may be held by the same person, unless otherwise prohibited by law, the Certificate of Incorporation or these Bylaws. The officers of the Corporation need not be stockholders of the Corporation nor, except in the case of the Chair of the Board of Directors, directors of the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right="100" w:firstLine="1296"/>
        <w:spacing w:after="0" w:line="255"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u w:val="single" w:color="auto"/>
          <w:color w:val="auto"/>
        </w:rPr>
        <w:t>  Election</w:t>
      </w:r>
      <w:r>
        <w:rPr>
          <w:rFonts w:ascii="Arial" w:cs="Arial" w:eastAsia="Arial" w:hAnsi="Arial"/>
          <w:sz w:val="18"/>
          <w:szCs w:val="18"/>
          <w:color w:val="auto"/>
        </w:rPr>
        <w:t>. The Board of Directors shall elect any officers to fill new positions or vacancies in existing positions of the Corporation. Such officers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 The salaries of all officers of the Corporation shall be fixed by the Board of Directors.</w:t>
      </w:r>
    </w:p>
    <w:p>
      <w:pPr>
        <w:spacing w:after="0" w:line="192" w:lineRule="exact"/>
        <w:rPr>
          <w:sz w:val="20"/>
          <w:szCs w:val="20"/>
          <w:color w:val="auto"/>
        </w:rPr>
      </w:pPr>
    </w:p>
    <w:p>
      <w:pPr>
        <w:ind w:right="60" w:firstLine="1296"/>
        <w:spacing w:after="0" w:line="254" w:lineRule="auto"/>
        <w:rPr>
          <w:sz w:val="20"/>
          <w:szCs w:val="20"/>
          <w:color w:val="auto"/>
        </w:rPr>
      </w:pPr>
      <w:r>
        <w:rPr>
          <w:rFonts w:ascii="Arial" w:cs="Arial" w:eastAsia="Arial" w:hAnsi="Arial"/>
          <w:sz w:val="18"/>
          <w:szCs w:val="18"/>
          <w:color w:val="auto"/>
        </w:rPr>
        <w:t>Section 3.            </w:t>
      </w:r>
      <w:r>
        <w:rPr>
          <w:rFonts w:ascii="Arial" w:cs="Arial" w:eastAsia="Arial" w:hAnsi="Arial"/>
          <w:sz w:val="18"/>
          <w:szCs w:val="18"/>
          <w:u w:val="single" w:color="auto"/>
          <w:color w:val="auto"/>
        </w:rPr>
        <w:t>  Voting Securities Owned by the Corporation</w:t>
      </w:r>
      <w:r>
        <w:rPr>
          <w:rFonts w:ascii="Arial" w:cs="Arial" w:eastAsia="Arial" w:hAnsi="Arial"/>
          <w:sz w:val="18"/>
          <w:szCs w:val="18"/>
          <w:color w:val="auto"/>
        </w:rPr>
        <w:t>. Powers of attorney, proxies, waivers of notice of meeting, consents and other instruments relating to securities owned by the Corporation may be executed in the name of and on behalf of the Corporation by any officer authorized to do so by the Board of Directors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Section 4.            </w:t>
      </w:r>
      <w:r>
        <w:rPr>
          <w:rFonts w:ascii="Arial" w:cs="Arial" w:eastAsia="Arial" w:hAnsi="Arial"/>
          <w:sz w:val="18"/>
          <w:szCs w:val="18"/>
          <w:u w:val="single" w:color="auto"/>
          <w:color w:val="auto"/>
        </w:rPr>
        <w:t>  Chair of the Board of Directors</w:t>
      </w:r>
      <w:r>
        <w:rPr>
          <w:rFonts w:ascii="Arial" w:cs="Arial" w:eastAsia="Arial" w:hAnsi="Arial"/>
          <w:sz w:val="18"/>
          <w:szCs w:val="18"/>
          <w:color w:val="auto"/>
        </w:rPr>
        <w:t>. The Chair of the Board of Directors shall preside at all meetings of the stockholders and of the Board of Directors. During the absence or disability of the Chief Executive Officer, the Chair of the Board of Directors shall exercise all the powers and discharge all the duties of the Chief Executive Officer. The Chair of the Board of Directors shall also perform such other duties and may exercise such other powers as may from time to time be assigned by these Bylaws or by the Board of Directors.</w:t>
      </w:r>
    </w:p>
    <w:p>
      <w:pPr>
        <w:spacing w:after="0" w:line="18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Section 5.            </w:t>
      </w:r>
      <w:r>
        <w:rPr>
          <w:rFonts w:ascii="Arial" w:cs="Arial" w:eastAsia="Arial" w:hAnsi="Arial"/>
          <w:sz w:val="17"/>
          <w:szCs w:val="17"/>
          <w:u w:val="single" w:color="auto"/>
          <w:color w:val="auto"/>
        </w:rPr>
        <w:t>  Chief Executive Officer</w:t>
      </w:r>
      <w:r>
        <w:rPr>
          <w:rFonts w:ascii="Arial" w:cs="Arial" w:eastAsia="Arial" w:hAnsi="Arial"/>
          <w:sz w:val="17"/>
          <w:szCs w:val="17"/>
          <w:color w:val="auto"/>
        </w:rPr>
        <w:t xml:space="preserve">. The Chief Executive Officer shall, subject to the oversight and control of the Board of Directors, have general supervision of the business of the Corporation and shall see that all orders and resolutions of the Board of Directors are carried into effect. The Chief Executive Officer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Chief Executive Officer. In the absence or disability of the Chair of the Board of Directors, the Chief Executive Officer shall preside at all meetings of the stockholders and, if the Chief Executive Officer is also a director, the Board of Directors. In the absence or disability of the Chair of the Board of Directors and the Chief Executive Officer, meetings of the stockholders and of the Board of Directors shall be presided in accordance with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III</w:t>
      </w:r>
      <w:r>
        <w:rPr>
          <w:rFonts w:ascii="Arial" w:cs="Arial" w:eastAsia="Arial" w:hAnsi="Arial"/>
          <w:sz w:val="17"/>
          <w:szCs w:val="17"/>
          <w:color w:val="auto"/>
        </w:rPr>
        <w:t>, respectively. The Chief Executive Officer shall also perform such other duties and may exercise such other powers as may from time to time be assigned to such officer by these Bylaws or by the Board of Directors.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right="40" w:firstLine="1296"/>
        <w:spacing w:after="0" w:line="288" w:lineRule="auto"/>
        <w:rPr>
          <w:sz w:val="20"/>
          <w:szCs w:val="20"/>
          <w:color w:val="auto"/>
        </w:rPr>
      </w:pPr>
      <w:r>
        <w:rPr>
          <w:rFonts w:ascii="Arial" w:cs="Arial" w:eastAsia="Arial" w:hAnsi="Arial"/>
          <w:sz w:val="16"/>
          <w:szCs w:val="16"/>
          <w:color w:val="auto"/>
        </w:rPr>
        <w:t>Section 6.            </w:t>
      </w:r>
      <w:r>
        <w:rPr>
          <w:rFonts w:ascii="Arial" w:cs="Arial" w:eastAsia="Arial" w:hAnsi="Arial"/>
          <w:sz w:val="16"/>
          <w:szCs w:val="16"/>
          <w:u w:val="single" w:color="auto"/>
          <w:color w:val="auto"/>
        </w:rPr>
        <w:t>  Secretary</w:t>
      </w:r>
      <w:r>
        <w:rPr>
          <w:rFonts w:ascii="Arial" w:cs="Arial" w:eastAsia="Arial" w:hAnsi="Arial"/>
          <w:sz w:val="16"/>
          <w:szCs w:val="16"/>
          <w:color w:val="auto"/>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 of the Board of Directors or the Chief Executive Officer, under whose supervision the Secretary shall be. If the Secretary shall be unable or shall refuse to cause to be given notice of all meetings of the stockholders and special meetings of the Board of Directors, then either the Board of Directors or the Chief Executive Officer may choose another officer to cause such notice to be given. The Secretary shall have custody of the seal of the Corporation and the Secretary shall have authority to affix the same to any instrument requiring it and when so affixed, it may be attested by the signature of the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68" w:lineRule="exact"/>
        <w:rPr>
          <w:sz w:val="20"/>
          <w:szCs w:val="20"/>
          <w:color w:val="auto"/>
        </w:rPr>
      </w:pPr>
    </w:p>
    <w:p>
      <w:pPr>
        <w:ind w:right="160" w:firstLine="1296"/>
        <w:spacing w:after="0" w:line="293" w:lineRule="auto"/>
        <w:rPr>
          <w:sz w:val="20"/>
          <w:szCs w:val="20"/>
          <w:color w:val="auto"/>
        </w:rPr>
      </w:pPr>
      <w:r>
        <w:rPr>
          <w:rFonts w:ascii="Arial" w:cs="Arial" w:eastAsia="Arial" w:hAnsi="Arial"/>
          <w:sz w:val="16"/>
          <w:szCs w:val="16"/>
          <w:color w:val="auto"/>
        </w:rPr>
        <w:t>Section 7.            </w:t>
      </w:r>
      <w:r>
        <w:rPr>
          <w:rFonts w:ascii="Arial" w:cs="Arial" w:eastAsia="Arial" w:hAnsi="Arial"/>
          <w:sz w:val="16"/>
          <w:szCs w:val="16"/>
          <w:u w:val="single" w:color="auto"/>
          <w:color w:val="auto"/>
        </w:rPr>
        <w:t>  Chief Financial Officer</w:t>
      </w:r>
      <w:r>
        <w:rPr>
          <w:rFonts w:ascii="Arial" w:cs="Arial" w:eastAsia="Arial" w:hAnsi="Arial"/>
          <w:sz w:val="16"/>
          <w:szCs w:val="16"/>
          <w:color w:val="auto"/>
        </w:rPr>
        <w:t>. The Chief Financial Officer shall have the custody of the Corporation’s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Chief Financial Officer shall disburse the funds of the Corporation as may be ordered by the Board of Directors or the Chief Executive Officer taking proper vouchers for such disbursements, and shall render to the Chief Executive Officer and the Board of Directors, at its regular meetings, or when the Board of Directors so requires, an account of all transactions as Chief Financial Officer and of the financial condition of the Corporation.</w:t>
      </w:r>
    </w:p>
    <w:p>
      <w:pPr>
        <w:spacing w:after="0" w:line="164" w:lineRule="exact"/>
        <w:rPr>
          <w:sz w:val="20"/>
          <w:szCs w:val="20"/>
          <w:color w:val="auto"/>
        </w:rPr>
      </w:pPr>
    </w:p>
    <w:p>
      <w:pPr>
        <w:jc w:val="both"/>
        <w:ind w:right="160" w:firstLine="1296"/>
        <w:spacing w:after="0" w:line="263" w:lineRule="auto"/>
        <w:rPr>
          <w:sz w:val="20"/>
          <w:szCs w:val="20"/>
          <w:color w:val="auto"/>
        </w:rPr>
      </w:pPr>
      <w:r>
        <w:rPr>
          <w:rFonts w:ascii="Arial" w:cs="Arial" w:eastAsia="Arial" w:hAnsi="Arial"/>
          <w:sz w:val="18"/>
          <w:szCs w:val="18"/>
          <w:color w:val="auto"/>
        </w:rPr>
        <w:t>Section 8.            </w:t>
      </w:r>
      <w:r>
        <w:rPr>
          <w:rFonts w:ascii="Arial" w:cs="Arial" w:eastAsia="Arial" w:hAnsi="Arial"/>
          <w:sz w:val="18"/>
          <w:szCs w:val="18"/>
          <w:u w:val="single" w:color="auto"/>
          <w:color w:val="auto"/>
        </w:rPr>
        <w:t>  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Section 1.            </w:t>
      </w:r>
      <w:r>
        <w:rPr>
          <w:rFonts w:ascii="Arial" w:cs="Arial" w:eastAsia="Arial" w:hAnsi="Arial"/>
          <w:sz w:val="18"/>
          <w:szCs w:val="18"/>
          <w:u w:val="single" w:color="auto"/>
          <w:color w:val="auto"/>
        </w:rPr>
        <w:t>  Form of Certificates</w:t>
      </w:r>
      <w:r>
        <w:rPr>
          <w:rFonts w:ascii="Arial" w:cs="Arial" w:eastAsia="Arial" w:hAnsi="Arial"/>
          <w:sz w:val="18"/>
          <w:szCs w:val="18"/>
          <w:color w:val="auto"/>
        </w:rPr>
        <w:t>. Except as otherwise provided in a resolution approved by the Board of Directors, all shares of capital stock of the Corporation shall be uncertificated shares.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firstLine="1296"/>
        <w:spacing w:after="0" w:line="272" w:lineRule="auto"/>
        <w:rPr>
          <w:sz w:val="20"/>
          <w:szCs w:val="20"/>
          <w:color w:val="auto"/>
        </w:rPr>
      </w:pPr>
      <w:r>
        <w:rPr>
          <w:rFonts w:ascii="Arial" w:cs="Arial" w:eastAsia="Arial" w:hAnsi="Arial"/>
          <w:sz w:val="17"/>
          <w:szCs w:val="17"/>
          <w:color w:val="auto"/>
        </w:rPr>
        <w:t>Section 2.            </w:t>
      </w:r>
      <w:r>
        <w:rPr>
          <w:rFonts w:ascii="Arial" w:cs="Arial" w:eastAsia="Arial" w:hAnsi="Arial"/>
          <w:sz w:val="17"/>
          <w:szCs w:val="17"/>
          <w:u w:val="single" w:color="auto"/>
          <w:color w:val="auto"/>
        </w:rPr>
        <w:t>  Lost Certificates</w:t>
      </w:r>
      <w:r>
        <w:rPr>
          <w:rFonts w:ascii="Arial" w:cs="Arial" w:eastAsia="Arial" w:hAnsi="Arial"/>
          <w:sz w:val="17"/>
          <w:szCs w:val="17"/>
          <w:color w:val="auto"/>
        </w:rPr>
        <w:t>. The Board of Directors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177" w:lineRule="exact"/>
        <w:rPr>
          <w:sz w:val="20"/>
          <w:szCs w:val="20"/>
          <w:color w:val="auto"/>
        </w:rPr>
      </w:pPr>
    </w:p>
    <w:p>
      <w:pPr>
        <w:ind w:right="40" w:firstLine="1296"/>
        <w:spacing w:after="0" w:line="288" w:lineRule="auto"/>
        <w:rPr>
          <w:sz w:val="20"/>
          <w:szCs w:val="20"/>
          <w:color w:val="auto"/>
        </w:rPr>
      </w:pPr>
      <w:r>
        <w:rPr>
          <w:rFonts w:ascii="Arial" w:cs="Arial" w:eastAsia="Arial" w:hAnsi="Arial"/>
          <w:sz w:val="16"/>
          <w:szCs w:val="16"/>
          <w:color w:val="auto"/>
        </w:rPr>
        <w:t>Section 3.            </w:t>
      </w:r>
      <w:r>
        <w:rPr>
          <w:rFonts w:ascii="Arial" w:cs="Arial" w:eastAsia="Arial" w:hAnsi="Arial"/>
          <w:sz w:val="16"/>
          <w:szCs w:val="16"/>
          <w:u w:val="single" w:color="auto"/>
          <w:color w:val="auto"/>
        </w:rPr>
        <w:t>  Transfers</w:t>
      </w:r>
      <w:r>
        <w:rPr>
          <w:rFonts w:ascii="Arial" w:cs="Arial" w:eastAsia="Arial" w:hAnsi="Arial"/>
          <w:sz w:val="16"/>
          <w:szCs w:val="16"/>
          <w:color w:val="auto"/>
        </w:rPr>
        <w:t>.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68"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Section 4.            </w:t>
      </w:r>
      <w:r>
        <w:rPr>
          <w:rFonts w:ascii="Arial" w:cs="Arial" w:eastAsia="Arial" w:hAnsi="Arial"/>
          <w:sz w:val="18"/>
          <w:szCs w:val="18"/>
          <w:u w:val="single" w:color="auto"/>
          <w:color w:val="auto"/>
        </w:rPr>
        <w:t>  Dividend Record Date</w:t>
      </w:r>
      <w:r>
        <w:rPr>
          <w:rFonts w:ascii="Arial" w:cs="Arial" w:eastAsia="Arial" w:hAnsi="Arial"/>
          <w:sz w:val="18"/>
          <w:szCs w:val="18"/>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92"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Section 5.            </w:t>
      </w:r>
      <w:r>
        <w:rPr>
          <w:rFonts w:ascii="Arial" w:cs="Arial" w:eastAsia="Arial" w:hAnsi="Arial"/>
          <w:sz w:val="18"/>
          <w:szCs w:val="18"/>
          <w:u w:val="single" w:color="auto"/>
          <w:color w:val="auto"/>
        </w:rPr>
        <w:t>  Record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87" w:lineRule="exact"/>
        <w:rPr>
          <w:sz w:val="20"/>
          <w:szCs w:val="20"/>
          <w:color w:val="auto"/>
        </w:rPr>
      </w:pPr>
    </w:p>
    <w:p>
      <w:pPr>
        <w:ind w:right="260" w:firstLine="1296"/>
        <w:spacing w:after="0" w:line="308" w:lineRule="auto"/>
        <w:rPr>
          <w:sz w:val="20"/>
          <w:szCs w:val="20"/>
          <w:color w:val="auto"/>
        </w:rPr>
      </w:pPr>
      <w:r>
        <w:rPr>
          <w:rFonts w:ascii="Arial" w:cs="Arial" w:eastAsia="Arial" w:hAnsi="Arial"/>
          <w:sz w:val="17"/>
          <w:szCs w:val="17"/>
          <w:color w:val="auto"/>
        </w:rPr>
        <w:t>Section 6.            </w:t>
      </w:r>
      <w:r>
        <w:rPr>
          <w:rFonts w:ascii="Arial" w:cs="Arial" w:eastAsia="Arial" w:hAnsi="Arial"/>
          <w:sz w:val="17"/>
          <w:szCs w:val="17"/>
          <w:u w:val="single" w:color="auto"/>
          <w:color w:val="auto"/>
        </w:rPr>
        <w:t>  Transfer and Registry Agents</w:t>
      </w:r>
      <w:r>
        <w:rPr>
          <w:rFonts w:ascii="Arial" w:cs="Arial" w:eastAsia="Arial" w:hAnsi="Arial"/>
          <w:sz w:val="17"/>
          <w:szCs w:val="17"/>
          <w:color w:val="auto"/>
        </w:rPr>
        <w:t>. The Corporation may from time to time maintain one or more transfer offices or agencies and registry offices or agencies at such place or places as may be determined from time to time by the Board of Directors.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firstLine="1296"/>
        <w:spacing w:after="0" w:line="283" w:lineRule="auto"/>
        <w:rPr>
          <w:sz w:val="20"/>
          <w:szCs w:val="20"/>
          <w:color w:val="auto"/>
        </w:rPr>
      </w:pPr>
      <w:r>
        <w:rPr>
          <w:rFonts w:ascii="Arial" w:cs="Arial" w:eastAsia="Arial" w:hAnsi="Arial"/>
          <w:sz w:val="16"/>
          <w:szCs w:val="16"/>
          <w:color w:val="auto"/>
        </w:rPr>
        <w:t>Section 1.            </w:t>
      </w:r>
      <w:r>
        <w:rPr>
          <w:rFonts w:ascii="Arial" w:cs="Arial" w:eastAsia="Arial" w:hAnsi="Arial"/>
          <w:sz w:val="16"/>
          <w:szCs w:val="16"/>
          <w:u w:val="single" w:color="auto"/>
          <w:color w:val="auto"/>
        </w:rPr>
        <w:t>  Notices</w:t>
      </w:r>
      <w:r>
        <w:rPr>
          <w:rFonts w:ascii="Arial" w:cs="Arial" w:eastAsia="Arial" w:hAnsi="Arial"/>
          <w:sz w:val="16"/>
          <w:szCs w:val="16"/>
          <w:color w:val="auto"/>
        </w:rPr>
        <w:t xml:space="preserve">. Whenever written notice is required by law, the Certificate of Incorporation or these Bylaws, to be given to any director, member of a committee or stockholder, such notice may be given in writing directed to such director’s, committee member’s or stockholder’s mailing address (or by electronic transmission directed to such director’s, committee member’s or stockholder’ electronic mail address, as applicable) as it appears on the records of the Corporation and shall be given: (a) if mailed, when the notice is deposited in the United States mail, postage prepaid, (b) if delivered by courier service, the earlier of when the notice is received or left at such director’s, committee member’s or stockholder’s address or (c) if given by electronic mail, when directed to such director’s, committee member’s or stockholder’s electronic mail address unless such director, committee member or stockholder has notified the corporation in writing or by electronic transmission of an objection to receiving notice by electronic mail or such notice is prohibited by the under applicable law, the Certificate of Incorporation or these Bylaws. Without limiting the manner by which notice otherwise may be given effectively to stockholders, but subject to Section 232(e) of the DGCL, any notice to stockholders given by the Corporation under applicable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The Corporation may give notice by electronic mail in accordance with the first sentence of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without obtaining the consent required by the second sentence of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w:t>
      </w:r>
      <w:r>
        <w:rPr>
          <w:rFonts w:ascii="Arial" w:cs="Arial" w:eastAsia="Arial" w:hAnsi="Arial"/>
          <w:sz w:val="16"/>
          <w:szCs w:val="16"/>
          <w:color w:val="auto"/>
        </w:rPr>
        <w:t>. Notice given by electronic transmission, as described above,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w:t>
      </w:r>
    </w:p>
    <w:p>
      <w:pPr>
        <w:ind w:right="200" w:firstLine="8"/>
        <w:spacing w:after="0" w:line="253"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if by any other form of electronic transmission, when directed to the stockholder. Notwithstanding the foregoing, a notice may not be given by an electronic transmission from and after the time that (i) the Corporation is unable to deliver by such electronic transmission two consecutive notices given by the Corporation and (ii) such inability becomes known to the Secretary or an Assistant Secretary of the Corporation or to the transfer agent, or other person responsible for the giving of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inadvertent failure to discover such inability shall not invalidate any meeting or other action.</w:t>
      </w:r>
    </w:p>
    <w:p>
      <w:pPr>
        <w:spacing w:after="0" w:line="191" w:lineRule="exact"/>
        <w:rPr>
          <w:sz w:val="20"/>
          <w:szCs w:val="20"/>
          <w:color w:val="auto"/>
        </w:rPr>
      </w:pPr>
    </w:p>
    <w:p>
      <w:pPr>
        <w:jc w:val="both"/>
        <w:ind w:right="40" w:firstLine="1296"/>
        <w:spacing w:after="0" w:line="287" w:lineRule="auto"/>
        <w:rPr>
          <w:sz w:val="20"/>
          <w:szCs w:val="20"/>
          <w:color w:val="auto"/>
        </w:rPr>
      </w:pPr>
      <w:r>
        <w:rPr>
          <w:rFonts w:ascii="Arial" w:cs="Arial" w:eastAsia="Arial" w:hAnsi="Arial"/>
          <w:sz w:val="16"/>
          <w:szCs w:val="16"/>
          <w:color w:val="auto"/>
        </w:rPr>
        <w:t>Section 2.            </w:t>
      </w:r>
      <w:r>
        <w:rPr>
          <w:rFonts w:ascii="Arial" w:cs="Arial" w:eastAsia="Arial" w:hAnsi="Arial"/>
          <w:sz w:val="16"/>
          <w:szCs w:val="16"/>
          <w:u w:val="single" w:color="auto"/>
          <w:color w:val="auto"/>
        </w:rPr>
        <w:t>  Waivers of Notice</w:t>
      </w:r>
      <w:r>
        <w:rPr>
          <w:rFonts w:ascii="Arial" w:cs="Arial" w:eastAsia="Arial" w:hAnsi="Arial"/>
          <w:sz w:val="16"/>
          <w:szCs w:val="16"/>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or any waiver by electronic transmission unless so required by law, the Certificate of Incorporation or these Bylaws.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right="60" w:firstLine="1296"/>
        <w:spacing w:after="0" w:line="254" w:lineRule="auto"/>
        <w:rPr>
          <w:sz w:val="20"/>
          <w:szCs w:val="20"/>
          <w:color w:val="auto"/>
        </w:rPr>
      </w:pPr>
      <w:r>
        <w:rPr>
          <w:rFonts w:ascii="Arial" w:cs="Arial" w:eastAsia="Arial" w:hAnsi="Arial"/>
          <w:sz w:val="18"/>
          <w:szCs w:val="18"/>
          <w:color w:val="auto"/>
        </w:rPr>
        <w:t>Section 1.            </w:t>
      </w:r>
      <w:r>
        <w:rPr>
          <w:rFonts w:ascii="Arial" w:cs="Arial" w:eastAsia="Arial" w:hAnsi="Arial"/>
          <w:sz w:val="18"/>
          <w:szCs w:val="18"/>
          <w:u w:val="single" w:color="auto"/>
          <w:color w:val="auto"/>
        </w:rPr>
        <w:t>  Dividends</w:t>
      </w:r>
      <w:r>
        <w:rPr>
          <w:rFonts w:ascii="Arial" w:cs="Arial" w:eastAsia="Arial" w:hAnsi="Arial"/>
          <w:sz w:val="18"/>
          <w:szCs w:val="18"/>
          <w:color w:val="auto"/>
        </w:rPr>
        <w:t xml:space="preserve">.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92"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u w:val="single" w:color="auto"/>
          <w:color w:val="auto"/>
        </w:rPr>
        <w:t>  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3.            </w:t>
      </w:r>
      <w:r>
        <w:rPr>
          <w:rFonts w:ascii="Arial" w:cs="Arial" w:eastAsia="Arial" w:hAnsi="Arial"/>
          <w:sz w:val="18"/>
          <w:szCs w:val="18"/>
          <w:u w:val="single" w:color="auto"/>
          <w:color w:val="auto"/>
        </w:rPr>
        <w:t>  Fiscal Year</w:t>
      </w:r>
      <w:r>
        <w:rPr>
          <w:rFonts w:ascii="Arial" w:cs="Arial" w:eastAsia="Arial" w:hAnsi="Arial"/>
          <w:sz w:val="18"/>
          <w:szCs w:val="18"/>
          <w:color w:val="auto"/>
        </w:rPr>
        <w:t>. The fiscal year of the Corporation shall be fixed by resolution of the Board of Directors.</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Section 4.            </w:t>
      </w:r>
      <w:r>
        <w:rPr>
          <w:rFonts w:ascii="Arial" w:cs="Arial" w:eastAsia="Arial" w:hAnsi="Arial"/>
          <w:sz w:val="16"/>
          <w:szCs w:val="16"/>
          <w:u w:val="single" w:color="auto"/>
          <w:color w:val="auto"/>
        </w:rPr>
        <w:t>  Corporate Seal</w:t>
      </w:r>
      <w:r>
        <w:rPr>
          <w:rFonts w:ascii="Arial" w:cs="Arial" w:eastAsia="Arial" w:hAnsi="Arial"/>
          <w:sz w:val="16"/>
          <w:szCs w:val="16"/>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24"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Section 5.            </w:t>
      </w:r>
      <w:r>
        <w:rPr>
          <w:rFonts w:ascii="Arial" w:cs="Arial" w:eastAsia="Arial" w:hAnsi="Arial"/>
          <w:sz w:val="18"/>
          <w:szCs w:val="18"/>
          <w:u w:val="single" w:color="auto"/>
          <w:color w:val="auto"/>
        </w:rPr>
        <w:t>  Contributions</w:t>
      </w:r>
      <w:r>
        <w:rPr>
          <w:rFonts w:ascii="Arial" w:cs="Arial" w:eastAsia="Arial" w:hAnsi="Arial"/>
          <w:sz w:val="18"/>
          <w:szCs w:val="18"/>
          <w:color w:val="auto"/>
        </w:rPr>
        <w:t>. The Board of Directors shall have the authority from time to time to make such contributions as the Board of Directors in its discretion shall determine, for public and charitable purposes.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20" w:firstLine="1296"/>
        <w:spacing w:after="0" w:line="287" w:lineRule="auto"/>
        <w:rPr>
          <w:sz w:val="20"/>
          <w:szCs w:val="20"/>
          <w:color w:val="auto"/>
        </w:rPr>
      </w:pPr>
      <w:r>
        <w:rPr>
          <w:rFonts w:ascii="Arial" w:cs="Arial" w:eastAsia="Arial" w:hAnsi="Arial"/>
          <w:sz w:val="16"/>
          <w:szCs w:val="16"/>
          <w:color w:val="auto"/>
        </w:rPr>
        <w:t>Section 1.            </w:t>
      </w:r>
      <w:r>
        <w:rPr>
          <w:rFonts w:ascii="Arial" w:cs="Arial" w:eastAsia="Arial" w:hAnsi="Arial"/>
          <w:sz w:val="16"/>
          <w:szCs w:val="16"/>
          <w:u w:val="single" w:color="auto"/>
          <w:color w:val="auto"/>
        </w:rPr>
        <w:t>  Power to Indemnify in Actions, Suits or Proceedings other than Those by or in the Right of the Corporation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72" w:lineRule="exact"/>
        <w:rPr>
          <w:sz w:val="20"/>
          <w:szCs w:val="20"/>
          <w:color w:val="auto"/>
        </w:rPr>
      </w:pPr>
    </w:p>
    <w:p>
      <w:pPr>
        <w:ind w:firstLine="1296"/>
        <w:spacing w:after="0" w:line="288" w:lineRule="auto"/>
        <w:rPr>
          <w:sz w:val="20"/>
          <w:szCs w:val="20"/>
          <w:color w:val="auto"/>
        </w:rPr>
      </w:pPr>
      <w:r>
        <w:rPr>
          <w:rFonts w:ascii="Arial" w:cs="Arial" w:eastAsia="Arial" w:hAnsi="Arial"/>
          <w:sz w:val="16"/>
          <w:szCs w:val="16"/>
          <w:color w:val="auto"/>
        </w:rPr>
        <w:t>Section 2.            </w:t>
      </w:r>
      <w:r>
        <w:rPr>
          <w:rFonts w:ascii="Arial" w:cs="Arial" w:eastAsia="Arial" w:hAnsi="Arial"/>
          <w:sz w:val="16"/>
          <w:szCs w:val="16"/>
          <w:u w:val="single" w:color="auto"/>
          <w:color w:val="auto"/>
        </w:rPr>
        <w:t>  Power to Indemnify in Actions, Suits or Proceedings by or in the Right of the Corporation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sz w:val="20"/>
          <w:szCs w:val="20"/>
          <w:color w:val="auto"/>
        </w:rPr>
      </w:pPr>
    </w:p>
    <w:p>
      <w:pPr>
        <w:jc w:val="both"/>
        <w:ind w:right="40" w:firstLine="1296"/>
        <w:spacing w:after="0" w:line="287" w:lineRule="auto"/>
        <w:rPr>
          <w:sz w:val="20"/>
          <w:szCs w:val="20"/>
          <w:color w:val="auto"/>
        </w:rPr>
      </w:pPr>
      <w:r>
        <w:rPr>
          <w:rFonts w:ascii="Arial" w:cs="Arial" w:eastAsia="Arial" w:hAnsi="Arial"/>
          <w:sz w:val="16"/>
          <w:szCs w:val="16"/>
          <w:color w:val="auto"/>
        </w:rPr>
        <w:t>Section 3.            </w:t>
      </w:r>
      <w:r>
        <w:rPr>
          <w:rFonts w:ascii="Arial" w:cs="Arial" w:eastAsia="Arial" w:hAnsi="Arial"/>
          <w:sz w:val="16"/>
          <w:szCs w:val="16"/>
          <w:u w:val="single" w:color="auto"/>
          <w:color w:val="auto"/>
        </w:rPr>
        <w:t>  Authorization of Indemnification</w:t>
      </w:r>
      <w:r>
        <w:rPr>
          <w:rFonts w:ascii="Arial" w:cs="Arial" w:eastAsia="Arial" w:hAnsi="Arial"/>
          <w:sz w:val="16"/>
          <w:szCs w:val="16"/>
          <w:color w:val="auto"/>
        </w:rPr>
        <w:t xml:space="preserve">. Any indemnification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as the case may be.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Such determination shall be made, with respect to a person who is a director or officer of the Corporation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firstLine="1296"/>
        <w:spacing w:after="0" w:line="253" w:lineRule="auto"/>
        <w:rPr>
          <w:sz w:val="20"/>
          <w:szCs w:val="20"/>
          <w:color w:val="auto"/>
        </w:rPr>
      </w:pPr>
      <w:r>
        <w:rPr>
          <w:rFonts w:ascii="Arial" w:cs="Arial" w:eastAsia="Arial" w:hAnsi="Arial"/>
          <w:sz w:val="18"/>
          <w:szCs w:val="18"/>
          <w:color w:val="auto"/>
        </w:rPr>
        <w:t>Section 4.            </w:t>
      </w:r>
      <w:r>
        <w:rPr>
          <w:rFonts w:ascii="Arial" w:cs="Arial" w:eastAsia="Arial" w:hAnsi="Arial"/>
          <w:sz w:val="18"/>
          <w:szCs w:val="18"/>
          <w:u w:val="single" w:color="auto"/>
          <w:color w:val="auto"/>
        </w:rPr>
        <w:t>  Good Faith Defined</w:t>
      </w:r>
      <w:r>
        <w:rPr>
          <w:rFonts w:ascii="Arial" w:cs="Arial" w:eastAsia="Arial" w:hAnsi="Arial"/>
          <w:sz w:val="18"/>
          <w:szCs w:val="18"/>
          <w:color w:val="auto"/>
        </w:rPr>
        <w:t xml:space="preserve">. For purposes of any determination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not be deemed to be exclusive or to limit in any way the circumstances in which a person may be deemed to have met the applicable standard of conduct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as the case may be.</w:t>
      </w:r>
    </w:p>
    <w:p>
      <w:pPr>
        <w:spacing w:after="0" w:line="196" w:lineRule="exact"/>
        <w:rPr>
          <w:sz w:val="20"/>
          <w:szCs w:val="20"/>
          <w:color w:val="auto"/>
        </w:rPr>
      </w:pPr>
    </w:p>
    <w:p>
      <w:pPr>
        <w:ind w:right="40" w:firstLine="1296"/>
        <w:spacing w:after="0" w:line="253" w:lineRule="auto"/>
        <w:rPr>
          <w:sz w:val="20"/>
          <w:szCs w:val="20"/>
          <w:color w:val="auto"/>
        </w:rPr>
      </w:pPr>
      <w:r>
        <w:rPr>
          <w:rFonts w:ascii="Arial" w:cs="Arial" w:eastAsia="Arial" w:hAnsi="Arial"/>
          <w:sz w:val="18"/>
          <w:szCs w:val="18"/>
          <w:color w:val="auto"/>
        </w:rPr>
        <w:t>Section 5.            </w:t>
      </w:r>
      <w:r>
        <w:rPr>
          <w:rFonts w:ascii="Arial" w:cs="Arial" w:eastAsia="Arial" w:hAnsi="Arial"/>
          <w:sz w:val="18"/>
          <w:szCs w:val="18"/>
          <w:u w:val="single" w:color="auto"/>
          <w:color w:val="auto"/>
        </w:rPr>
        <w:t>  Indemnification by a Court</w:t>
      </w:r>
      <w:r>
        <w:rPr>
          <w:rFonts w:ascii="Arial" w:cs="Arial" w:eastAsia="Arial" w:hAnsi="Arial"/>
          <w:sz w:val="18"/>
          <w:szCs w:val="18"/>
          <w:color w:val="auto"/>
        </w:rPr>
        <w:t xml:space="preserve">. Notwithstanding any contrary determination in the specific case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The basis of such indemnification by a court shall be a determination by such court that indemnification of the director or officer is proper in the circumstances because such person has met the applicable standard of conduct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as the case may be. Neither a contrary determination in the specific case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nor the absence of any determination thereunder shall be a defense to such application or create a presumption that the director or officer seeking indemnification has not met any applicable standard of conduct. Notice of any application for indemnification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94" w:lineRule="exact"/>
        <w:rPr>
          <w:sz w:val="20"/>
          <w:szCs w:val="20"/>
          <w:color w:val="auto"/>
        </w:rPr>
      </w:pPr>
    </w:p>
    <w:p>
      <w:pPr>
        <w:ind w:right="100" w:firstLine="1296"/>
        <w:spacing w:after="0" w:line="293" w:lineRule="auto"/>
        <w:rPr>
          <w:sz w:val="20"/>
          <w:szCs w:val="20"/>
          <w:color w:val="auto"/>
        </w:rPr>
      </w:pPr>
      <w:r>
        <w:rPr>
          <w:rFonts w:ascii="Arial" w:cs="Arial" w:eastAsia="Arial" w:hAnsi="Arial"/>
          <w:sz w:val="16"/>
          <w:szCs w:val="16"/>
          <w:color w:val="auto"/>
        </w:rPr>
        <w:t>Section 6.            </w:t>
      </w:r>
      <w:r>
        <w:rPr>
          <w:rFonts w:ascii="Arial" w:cs="Arial" w:eastAsia="Arial" w:hAnsi="Arial"/>
          <w:sz w:val="16"/>
          <w:szCs w:val="16"/>
          <w:u w:val="single" w:color="auto"/>
          <w:color w:val="auto"/>
        </w:rPr>
        <w:t>  Expenses Payable in Advance</w:t>
      </w:r>
      <w:r>
        <w:rPr>
          <w:rFonts w:ascii="Arial" w:cs="Arial" w:eastAsia="Arial" w:hAnsi="Arial"/>
          <w:sz w:val="16"/>
          <w:szCs w:val="16"/>
          <w:color w:val="auto"/>
        </w:rPr>
        <w:t xml:space="preserve">. Expenses (including attorneys’ fees) incurred by a director or officer of the Corporation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Such expenses (including attorneys’ fees) incurred by former directors and officers or other employees and agents of the Corporation or by persons serving at the request of the Corporation as directors, officers, employees or agents of another enterprise may be so paid upon such terms and conditions, if any, as the Corporation deems appropriate.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firstLine="1296"/>
        <w:spacing w:after="0" w:line="253" w:lineRule="auto"/>
        <w:rPr>
          <w:sz w:val="20"/>
          <w:szCs w:val="20"/>
          <w:color w:val="auto"/>
        </w:rPr>
      </w:pPr>
      <w:r>
        <w:rPr>
          <w:rFonts w:ascii="Arial" w:cs="Arial" w:eastAsia="Arial" w:hAnsi="Arial"/>
          <w:sz w:val="18"/>
          <w:szCs w:val="18"/>
          <w:color w:val="auto"/>
        </w:rPr>
        <w:t>Section 7.            </w:t>
      </w:r>
      <w:r>
        <w:rPr>
          <w:rFonts w:ascii="Arial" w:cs="Arial" w:eastAsia="Arial" w:hAnsi="Arial"/>
          <w:sz w:val="18"/>
          <w:szCs w:val="18"/>
          <w:u w:val="single" w:color="auto"/>
          <w:color w:val="auto"/>
        </w:rPr>
        <w:t>  Nonexclusivity of Indemnification and Advancement of Expenses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made to the fullest extent permitted by law. A right to indemnification or to advancement of expenses arising under a provision of the Certificate of Incorporation or these Bylaws shall not be eliminated or impaired by an amendment, repeal or elimination of a provision of the Certificate of Incorporation or these Bylaws after the occurrence of the act or omission that is the subject of the civil, criminal, administrative or investigative action, suit or proceeding for which indemnification or advancement of expenses is sought.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be deemed to preclude the indemnification of any person who is not specified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but whom the Corporation has the power or obligation to indemnify, under the provisions of the DGCL, or otherwise.</w:t>
      </w:r>
    </w:p>
    <w:p>
      <w:pPr>
        <w:spacing w:after="0" w:line="192" w:lineRule="exact"/>
        <w:rPr>
          <w:sz w:val="20"/>
          <w:szCs w:val="20"/>
          <w:color w:val="auto"/>
        </w:rPr>
      </w:pPr>
    </w:p>
    <w:p>
      <w:pPr>
        <w:ind w:right="200" w:firstLine="1296"/>
        <w:spacing w:after="0" w:line="293" w:lineRule="auto"/>
        <w:rPr>
          <w:sz w:val="20"/>
          <w:szCs w:val="20"/>
          <w:color w:val="auto"/>
        </w:rPr>
      </w:pPr>
      <w:r>
        <w:rPr>
          <w:rFonts w:ascii="Arial" w:cs="Arial" w:eastAsia="Arial" w:hAnsi="Arial"/>
          <w:sz w:val="16"/>
          <w:szCs w:val="16"/>
          <w:color w:val="auto"/>
        </w:rPr>
        <w:t>Section 8.            </w:t>
      </w:r>
      <w:r>
        <w:rPr>
          <w:rFonts w:ascii="Arial" w:cs="Arial" w:eastAsia="Arial" w:hAnsi="Arial"/>
          <w:sz w:val="16"/>
          <w:szCs w:val="16"/>
          <w:u w:val="single" w:color="auto"/>
          <w:color w:val="auto"/>
        </w:rPr>
        <w:t>  Insurance</w:t>
      </w:r>
      <w:r>
        <w:rPr>
          <w:rFonts w:ascii="Arial" w:cs="Arial" w:eastAsia="Arial" w:hAnsi="Arial"/>
          <w:sz w:val="16"/>
          <w:szCs w:val="16"/>
          <w:color w:val="auto"/>
        </w:rPr>
        <w:t xml:space="preserve">. The Corporation may purchase and maintain insurance on behalf of any person who is or was a director or officer of the Corporation, or is or was a director or officer of the Corporation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8</w:t>
      </w:r>
      <w:r>
        <w:rPr>
          <w:rFonts w:ascii="Arial" w:cs="Arial" w:eastAsia="Arial" w:hAnsi="Arial"/>
          <w:sz w:val="16"/>
          <w:szCs w:val="16"/>
          <w:color w:val="auto"/>
        </w:rPr>
        <w:t>, insurance shall include any insurance provided directly or indirectly (including to any fronting or reinsurance arrangement) by or through a captive insurance company in accordance with the requirements of Section 245(g) of the DGCL.</w:t>
      </w:r>
    </w:p>
    <w:p>
      <w:pPr>
        <w:spacing w:after="0" w:line="164" w:lineRule="exact"/>
        <w:rPr>
          <w:sz w:val="20"/>
          <w:szCs w:val="20"/>
          <w:color w:val="auto"/>
        </w:rPr>
      </w:pPr>
    </w:p>
    <w:p>
      <w:pPr>
        <w:ind w:right="40" w:firstLine="1296"/>
        <w:spacing w:after="0" w:line="284" w:lineRule="auto"/>
        <w:rPr>
          <w:sz w:val="20"/>
          <w:szCs w:val="20"/>
          <w:color w:val="auto"/>
        </w:rPr>
      </w:pPr>
      <w:r>
        <w:rPr>
          <w:rFonts w:ascii="Arial" w:cs="Arial" w:eastAsia="Arial" w:hAnsi="Arial"/>
          <w:sz w:val="16"/>
          <w:szCs w:val="16"/>
          <w:color w:val="auto"/>
        </w:rPr>
        <w:t>Section 9.            </w:t>
      </w:r>
      <w:r>
        <w:rPr>
          <w:rFonts w:ascii="Arial" w:cs="Arial" w:eastAsia="Arial" w:hAnsi="Arial"/>
          <w:sz w:val="16"/>
          <w:szCs w:val="16"/>
          <w:u w:val="single" w:color="auto"/>
          <w:color w:val="auto"/>
        </w:rPr>
        <w:t>  Certain Definitions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enterprise, shall stand in the same position under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resulting or surviving corporation as such person would have with respect to such constituent corporation if its separate existence had continued. The term “another enterprise” as used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0" w:name="page51"/>
    <w:bookmarkEnd w:id="50"/>
    <w:p>
      <w:pPr>
        <w:ind w:right="60" w:firstLine="1296"/>
        <w:spacing w:after="0" w:line="263" w:lineRule="auto"/>
        <w:rPr>
          <w:sz w:val="20"/>
          <w:szCs w:val="20"/>
          <w:color w:val="auto"/>
        </w:rPr>
      </w:pPr>
      <w:r>
        <w:rPr>
          <w:rFonts w:ascii="Arial" w:cs="Arial" w:eastAsia="Arial" w:hAnsi="Arial"/>
          <w:sz w:val="18"/>
          <w:szCs w:val="18"/>
          <w:color w:val="auto"/>
        </w:rPr>
        <w:t>Section 10.          </w:t>
      </w:r>
      <w:r>
        <w:rPr>
          <w:rFonts w:ascii="Arial" w:cs="Arial" w:eastAsia="Arial" w:hAnsi="Arial"/>
          <w:sz w:val="18"/>
          <w:szCs w:val="18"/>
          <w:u w:val="single" w:color="auto"/>
          <w:color w:val="auto"/>
        </w:rPr>
        <w:t>  Survival of Indemnification and Advancement of Expenses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184"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Section 11.          </w:t>
      </w:r>
      <w:r>
        <w:rPr>
          <w:rFonts w:ascii="Arial" w:cs="Arial" w:eastAsia="Arial" w:hAnsi="Arial"/>
          <w:sz w:val="18"/>
          <w:szCs w:val="18"/>
          <w:u w:val="single" w:color="auto"/>
          <w:color w:val="auto"/>
        </w:rPr>
        <w:t>  Limitation on Indemnification</w:t>
      </w:r>
      <w:r>
        <w:rPr>
          <w:rFonts w:ascii="Arial" w:cs="Arial" w:eastAsia="Arial" w:hAnsi="Arial"/>
          <w:sz w:val="18"/>
          <w:szCs w:val="18"/>
          <w:color w:val="auto"/>
        </w:rPr>
        <w:t xml:space="preserve">. Notwithstanding anything contained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the contrary, except for proceedings to enforce rights to indemnification (which shall be governed by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88"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Section 12.          </w:t>
      </w:r>
      <w:r>
        <w:rPr>
          <w:rFonts w:ascii="Arial" w:cs="Arial" w:eastAsia="Arial" w:hAnsi="Arial"/>
          <w:sz w:val="18"/>
          <w:szCs w:val="18"/>
          <w:u w:val="single" w:color="auto"/>
          <w:color w:val="auto"/>
        </w:rPr>
        <w:t>  Indemnification of Employees and Agents</w:t>
      </w:r>
      <w:r>
        <w:rPr>
          <w:rFonts w:ascii="Arial" w:cs="Arial" w:eastAsia="Arial" w:hAnsi="Arial"/>
          <w:sz w:val="18"/>
          <w:szCs w:val="18"/>
          <w:color w:val="auto"/>
        </w:rPr>
        <w:t xml:space="preserve">. The Corporation may, to the extent authorized from time to time by the Board of Directors, provide rights to indemnification and to the advancement of expenses to officers, employees and agents of the Corporation similar to those conferred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directors and officers of the Corporation.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w:t>
      </w:r>
      <w:r>
        <w:rPr>
          <w:rFonts w:ascii="Arial" w:cs="Arial" w:eastAsia="Arial" w:hAnsi="Arial"/>
          <w:sz w:val="18"/>
          <w:szCs w:val="18"/>
          <w:u w:val="single" w:color="auto"/>
          <w:color w:val="auto"/>
        </w:rPr>
        <w:t>  Amendments</w:t>
      </w:r>
      <w:r>
        <w:rPr>
          <w:rFonts w:ascii="Arial" w:cs="Arial" w:eastAsia="Arial" w:hAnsi="Arial"/>
          <w:sz w:val="18"/>
          <w:szCs w:val="18"/>
          <w:color w:val="auto"/>
        </w:rPr>
        <w:t>. These Bylaws may be altered, amended or repealed, in whole or in part, or new Bylaws may be adopted by the stockholders or by the Board of Directors; provided, however, that notice of such alteration, amendment, repeal or adoption of new Bylaws be contained in the notice of a meeting of the stockholders or Board of Directors, as the case may be, called for the purpose of acting upon any proposed alteration, amendment, repeal or adoption of new Bylaws. All such alterations, amendments, repeals or adoptions of new Bylaws must be approved by either the holders of a majority of the outstanding capital stock entitled to vote thereon or by a majority of the entire Board of Directors then in office. Any amendment to these Bylaws adopted by stockholders which specifies the votes that shall be necessary for the election of directors shall not be further amended or repealed by the Board of Directors.</w:t>
      </w:r>
    </w:p>
    <w:p>
      <w:pPr>
        <w:spacing w:after="0" w:line="195"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w:t>
      </w:r>
      <w:r>
        <w:rPr>
          <w:rFonts w:ascii="Arial" w:cs="Arial" w:eastAsia="Arial" w:hAnsi="Arial"/>
          <w:sz w:val="18"/>
          <w:szCs w:val="18"/>
          <w:u w:val="single" w:color="auto"/>
          <w:color w:val="auto"/>
        </w:rPr>
        <w:t>  Entire Board of Directors</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in these Bylaws generally, the term “entire Board of Directors” means the total number of directors which the Corporation would have if there were no vacancies.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0"/>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lowerRoman"/>
      <w:start w:val="2"/>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lowerRoman"/>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Roman"/>
      <w:start w:val="4"/>
    </w:lvl>
  </w:abstractNum>
  <w:abstractNum w:abstractNumId="10">
    <w:nsid w:val="140E0F76"/>
    <w:multiLevelType w:val="hybridMultilevel"/>
    <w:lvl w:ilvl="0">
      <w:lvlJc w:val="left"/>
      <w:lvlText w:val="(%1)"/>
      <w:numFmt w:val="lowerRoman"/>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Roman"/>
      <w:start w:val="2"/>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2022-10-28T15:29:46Z</dcterms:created>
  <dcterms:modified xsi:type="dcterms:W3CDTF">2022-10-28T15:29:46Z</dcterms:modified>
</cp:coreProperties>
</file>