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7, 2022</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9777513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215"/>
        </w:trPr>
        <w:tc>
          <w:tcPr>
            <w:tcW w:w="45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$0.01 par value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December 7, Mobileye Global Inc. issued a press release announcing its financial results for the quarter ended October 1, 2022.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gridSpan w:val="2"/>
          </w:tcPr>
          <w:p>
            <w:pPr>
              <w:ind w:left="4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6"/>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December 7, 2022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Anat Heller</w:t>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6858000" cy="120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01820"/>
        </w:rPr>
        <w:t>Mobileye Discloses Third Quarter 2022 Results and Business Update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Revenue increased 38% year over year to $450 million in the third quarter.</w:t>
      </w:r>
    </w:p>
    <w:p>
      <w:pPr>
        <w:spacing w:after="0" w:line="225" w:lineRule="exact"/>
        <w:rPr>
          <w:rFonts w:ascii="Times New Roman" w:cs="Times New Roman" w:eastAsia="Times New Roman" w:hAnsi="Times New Roman"/>
          <w:sz w:val="18"/>
          <w:szCs w:val="18"/>
          <w:color w:val="101820"/>
        </w:rPr>
      </w:pPr>
    </w:p>
    <w:p>
      <w:pPr>
        <w:ind w:left="660" w:right="300" w:hanging="328"/>
        <w:spacing w:after="0" w:line="29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Future business backlog continues to grow, with design wins achieved in 2022 (through Oct 1, 2022) projected to generate future volume of 54 million systems by 2030. This compares to 24 million systems delivered in 2022 (through Oct 1, 2022).</w:t>
      </w:r>
      <w:r>
        <w:rPr>
          <w:rFonts w:ascii="Times New Roman" w:cs="Times New Roman" w:eastAsia="Times New Roman" w:hAnsi="Times New Roman"/>
          <w:sz w:val="29"/>
          <w:szCs w:val="29"/>
          <w:color w:val="101820"/>
          <w:vertAlign w:val="superscript"/>
        </w:rPr>
        <w:t>1</w:t>
      </w:r>
    </w:p>
    <w:p>
      <w:pPr>
        <w:spacing w:after="0" w:line="34" w:lineRule="exact"/>
        <w:rPr>
          <w:rFonts w:ascii="Times New Roman" w:cs="Times New Roman" w:eastAsia="Times New Roman" w:hAnsi="Times New Roman"/>
          <w:sz w:val="18"/>
          <w:szCs w:val="18"/>
          <w:color w:val="101820"/>
        </w:rPr>
      </w:pPr>
    </w:p>
    <w:p>
      <w:pPr>
        <w:ind w:left="660" w:right="240" w:hanging="328"/>
        <w:spacing w:after="0" w:line="208" w:lineRule="auto"/>
        <w:tabs>
          <w:tab w:leader="none" w:pos="660" w:val="left"/>
        </w:tabs>
        <w:numPr>
          <w:ilvl w:val="0"/>
          <w:numId w:val="2"/>
        </w:numPr>
        <w:rPr>
          <w:rFonts w:ascii="Times New Roman" w:cs="Times New Roman" w:eastAsia="Times New Roman" w:hAnsi="Times New Roman"/>
          <w:sz w:val="36"/>
          <w:szCs w:val="36"/>
          <w:color w:val="101820"/>
          <w:vertAlign w:val="superscript"/>
        </w:rPr>
      </w:pPr>
      <w:r>
        <w:rPr>
          <w:rFonts w:ascii="Times New Roman" w:cs="Times New Roman" w:eastAsia="Times New Roman" w:hAnsi="Times New Roman"/>
          <w:sz w:val="18"/>
          <w:szCs w:val="18"/>
          <w:color w:val="101820"/>
        </w:rPr>
        <w:t>Our newer advanced ADAS products, such as SuperVision</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 contributed meaningfully to our revenue growth and resulted in Average System Price</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101820"/>
        </w:rPr>
        <w:t xml:space="preserve"> increasing to $53.0 in third quarter 2022 from $45.7 in the prior year period.</w:t>
      </w:r>
    </w:p>
    <w:p>
      <w:pPr>
        <w:spacing w:after="0" w:line="77" w:lineRule="exact"/>
        <w:rPr>
          <w:rFonts w:ascii="Times New Roman" w:cs="Times New Roman" w:eastAsia="Times New Roman" w:hAnsi="Times New Roman"/>
          <w:sz w:val="36"/>
          <w:szCs w:val="36"/>
          <w:color w:val="101820"/>
          <w:vertAlign w:val="superscript"/>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Generated net cash from operating activities of $395 million in the 9 months ended October 1, 2022.</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101820"/>
        </w:rPr>
        <w:t>JERUSALEM – Dec. 7, 2022 – Mobileye Global Inc. (Nasdaq: MBLY) (“Mobileye”) today released its financial results for the three months ending October 1, 2022 (Q3 2022) in a 10-Q filing and provided a general business update.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101820"/>
        </w:rPr>
        <w:t>“Our recently-completed IPO is a major milestone for Mobileye and enhances our ability to create value for all stakeholders,” said Mobileye President and CEO Prof. Amnon Shashua. “Our time as an Intel subsidiary, operating largely in stealth, was very successful. We built upon our leadership position in ADAS while at the same time productized an advanced set of technology building blocks that support a product portfolio spanning the entire ADAS to AV spectrum.”</w:t>
      </w:r>
    </w:p>
    <w:p>
      <w:pPr>
        <w:spacing w:after="0" w:line="180"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101820"/>
        </w:rPr>
        <w:t>“Our excellent third quarter performance is an early indication of the success of our strategy. Our established base ADAS products continue to generate strong growth and profitability while our advanced portfolio is beginning to contribute significantly, particularly by boosting average system price. Initial</w:t>
      </w:r>
    </w:p>
    <w:p>
      <w:pPr>
        <w:spacing w:after="0" w:line="1"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18"/>
          <w:szCs w:val="18"/>
          <w:color w:val="101820"/>
        </w:rPr>
        <w:t>market success of products such as SuperVision</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 xml:space="preserve"> is also driving increased business traction. Customers see the potential to drive profit and product differentiation in the near-term, while taking a meaningful step towards future ‘eyes off’ consumer AV systems which can be added to SuperVision</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 xml:space="preserve"> in a modular way. We will discuss these trends in more detail at my annual address at CES (11:00am PT on January 5</w:t>
      </w:r>
      <w:r>
        <w:rPr>
          <w:rFonts w:ascii="Times New Roman" w:cs="Times New Roman" w:eastAsia="Times New Roman" w:hAnsi="Times New Roman"/>
          <w:sz w:val="29"/>
          <w:szCs w:val="29"/>
          <w:color w:val="101820"/>
          <w:vertAlign w:val="superscript"/>
        </w:rPr>
        <w:t>th</w:t>
      </w:r>
      <w:r>
        <w:rPr>
          <w:rFonts w:ascii="Times New Roman" w:cs="Times New Roman" w:eastAsia="Times New Roman" w:hAnsi="Times New Roman"/>
          <w:sz w:val="18"/>
          <w:szCs w:val="18"/>
          <w:color w:val="1018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Third Quarter 2022 Business Highlights</w:t>
      </w:r>
    </w:p>
    <w:p>
      <w:pPr>
        <w:spacing w:after="0" w:line="229" w:lineRule="exact"/>
        <w:rPr>
          <w:sz w:val="20"/>
          <w:szCs w:val="20"/>
          <w:color w:val="auto"/>
        </w:rPr>
      </w:pPr>
    </w:p>
    <w:p>
      <w:pPr>
        <w:ind w:left="660" w:right="40" w:hanging="328"/>
        <w:spacing w:after="0" w:line="292" w:lineRule="auto"/>
        <w:tabs>
          <w:tab w:leader="none" w:pos="660" w:val="left"/>
        </w:tabs>
        <w:numPr>
          <w:ilvl w:val="0"/>
          <w:numId w:val="3"/>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Business development activity remained robust. Projected future volumes from 2022 design wins achieved in the first nine months of 2022 totaled 54 million systems by 2030. This is more than two times actual shipments of 24 million systems in the same time period.</w:t>
      </w:r>
      <w:r>
        <w:rPr>
          <w:rFonts w:ascii="Times New Roman" w:cs="Times New Roman" w:eastAsia="Times New Roman" w:hAnsi="Times New Roman"/>
          <w:sz w:val="29"/>
          <w:szCs w:val="29"/>
          <w:color w:val="101820"/>
          <w:vertAlign w:val="superscript"/>
        </w:rPr>
        <w:t>1</w:t>
      </w:r>
    </w:p>
    <w:p>
      <w:pPr>
        <w:spacing w:after="0" w:line="34" w:lineRule="exact"/>
        <w:rPr>
          <w:rFonts w:ascii="Times New Roman" w:cs="Times New Roman" w:eastAsia="Times New Roman" w:hAnsi="Times New Roman"/>
          <w:sz w:val="18"/>
          <w:szCs w:val="18"/>
          <w:color w:val="101820"/>
        </w:rPr>
      </w:pPr>
    </w:p>
    <w:p>
      <w:pPr>
        <w:jc w:val="both"/>
        <w:ind w:left="660" w:right="340" w:hanging="328"/>
        <w:spacing w:after="0" w:line="203" w:lineRule="auto"/>
        <w:tabs>
          <w:tab w:leader="none" w:pos="660" w:val="left"/>
        </w:tabs>
        <w:numPr>
          <w:ilvl w:val="0"/>
          <w:numId w:val="3"/>
        </w:numPr>
        <w:rPr>
          <w:rFonts w:ascii="Times New Roman" w:cs="Times New Roman" w:eastAsia="Times New Roman" w:hAnsi="Times New Roman"/>
          <w:sz w:val="36"/>
          <w:szCs w:val="36"/>
          <w:color w:val="101820"/>
          <w:vertAlign w:val="superscript"/>
        </w:rPr>
      </w:pPr>
      <w:r>
        <w:rPr>
          <w:rFonts w:ascii="Times New Roman" w:cs="Times New Roman" w:eastAsia="Times New Roman" w:hAnsi="Times New Roman"/>
          <w:sz w:val="18"/>
          <w:szCs w:val="18"/>
          <w:color w:val="101820"/>
        </w:rPr>
        <w:t>Three additional brands under the Geely Holding Group umbrella are set to globally launch models with Mobileye SuperVision</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 xml:space="preserve"> technology beginning next year. These design wins reflect the successful launch and software roll-out of this technology to more than 50,000 ZEEKR 001 vehicles since Q4 2021.</w:t>
      </w:r>
    </w:p>
    <w:p>
      <w:pPr>
        <w:spacing w:after="0" w:line="200" w:lineRule="exact"/>
        <w:rPr>
          <w:rFonts w:ascii="Times New Roman" w:cs="Times New Roman" w:eastAsia="Times New Roman" w:hAnsi="Times New Roman"/>
          <w:sz w:val="36"/>
          <w:szCs w:val="36"/>
          <w:color w:val="101820"/>
          <w:vertAlign w:val="superscript"/>
        </w:rPr>
      </w:pPr>
    </w:p>
    <w:p>
      <w:pPr>
        <w:ind w:left="660" w:right="100" w:hanging="328"/>
        <w:spacing w:after="0" w:line="258" w:lineRule="auto"/>
        <w:tabs>
          <w:tab w:leader="none" w:pos="660" w:val="left"/>
        </w:tabs>
        <w:numPr>
          <w:ilvl w:val="0"/>
          <w:numId w:val="3"/>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Following the end of the third quarter, we completed an initial public offering (“IPO”). A total of 51.9 million shares were issued at $21 per share (including 4.762 million shares issued in a concurrent private placement), before underwriting discounts and commissions. This generated net proceeds of approximately $1.0 billion. In November 2022, we used approximately $0.9 billion out of the net proceeds to repay a portion of the indebtedness under the Dividend Note and Intel has contributed to Mobileye the remaining portion of the Dividend Note such that no amounts under the Dividend Note remain owed by us to Intel subsequent to the IPO.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101820"/>
              </w:rPr>
              <w:t>Third Quarter 2022 Financial Summary and Key Explanations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Q3 2022</w:t>
            </w:r>
          </w:p>
        </w:tc>
        <w:tc>
          <w:tcPr>
            <w:tcW w:w="28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Q3 2021</w:t>
            </w:r>
          </w:p>
        </w:tc>
        <w:tc>
          <w:tcPr>
            <w:tcW w:w="30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Y/Y</w:t>
            </w:r>
          </w:p>
        </w:tc>
        <w:tc>
          <w:tcPr>
            <w:tcW w:w="380" w:type="dxa"/>
            <w:vAlign w:val="bottom"/>
            <w:gridSpan w:val="2"/>
            <w:vMerge w:val="restart"/>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 bps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 bps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0"/>
                <w:szCs w:val="20"/>
                <w:color w:val="auto"/>
              </w:rPr>
            </w:pP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1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Q3 2021</w:t>
            </w:r>
          </w:p>
        </w:tc>
        <w:tc>
          <w:tcPr>
            <w:tcW w:w="2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Y/Y</w:t>
            </w:r>
          </w:p>
        </w:tc>
        <w:tc>
          <w:tcPr>
            <w:tcW w:w="36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bps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bps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5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652" w:right="720" w:hanging="328"/>
        <w:spacing w:after="0" w:line="311" w:lineRule="auto"/>
        <w:tabs>
          <w:tab w:leader="none" w:pos="652" w:val="left"/>
        </w:tabs>
        <w:numPr>
          <w:ilvl w:val="0"/>
          <w:numId w:val="4"/>
        </w:numPr>
        <w:rPr>
          <w:rFonts w:ascii="Times New Roman" w:cs="Times New Roman" w:eastAsia="Times New Roman" w:hAnsi="Times New Roman"/>
          <w:sz w:val="17"/>
          <w:szCs w:val="17"/>
          <w:color w:val="101820"/>
        </w:rPr>
      </w:pPr>
      <w:r>
        <w:rPr>
          <w:rFonts w:ascii="Times New Roman" w:cs="Times New Roman" w:eastAsia="Times New Roman" w:hAnsi="Times New Roman"/>
          <w:sz w:val="17"/>
          <w:szCs w:val="17"/>
          <w:color w:val="101820"/>
        </w:rPr>
        <w:t>Revenue of $450 million increased 38% as compared to third quarter of 2021. EyeQ® SoC-related revenue grew 28% in the quarter. The remaining growth was generated by SuperVision</w:t>
      </w:r>
      <w:r>
        <w:rPr>
          <w:rFonts w:ascii="Times New Roman" w:cs="Times New Roman" w:eastAsia="Times New Roman" w:hAnsi="Times New Roman"/>
          <w:sz w:val="28"/>
          <w:szCs w:val="28"/>
          <w:color w:val="101820"/>
          <w:vertAlign w:val="superscript"/>
        </w:rPr>
        <w:t>TM</w:t>
      </w:r>
      <w:r>
        <w:rPr>
          <w:rFonts w:ascii="Times New Roman" w:cs="Times New Roman" w:eastAsia="Times New Roman" w:hAnsi="Times New Roman"/>
          <w:sz w:val="17"/>
          <w:szCs w:val="17"/>
          <w:color w:val="101820"/>
        </w:rPr>
        <w:t xml:space="preserve"> -related revenue, despite this product being less than 1% of our overall unit volume.</w:t>
      </w:r>
    </w:p>
    <w:p>
      <w:pPr>
        <w:spacing w:after="0" w:line="17" w:lineRule="exact"/>
        <w:rPr>
          <w:rFonts w:ascii="Times New Roman" w:cs="Times New Roman" w:eastAsia="Times New Roman" w:hAnsi="Times New Roman"/>
          <w:sz w:val="17"/>
          <w:szCs w:val="17"/>
          <w:color w:val="101820"/>
        </w:rPr>
      </w:pPr>
    </w:p>
    <w:p>
      <w:pPr>
        <w:ind w:left="652" w:right="320" w:hanging="328"/>
        <w:spacing w:after="0" w:line="266" w:lineRule="auto"/>
        <w:tabs>
          <w:tab w:leader="none" w:pos="652"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Average System Price was $53.0 in third quarter 2022 as compared to $45.7 in the prior year period, driven primarily by increased mix of advanced products, mainly SuperVision as well as enhanced ADAS. Price increases to offset the increased cost of our EyeQ chip due to global inflationary pressures also contributed to the Average System Price increase, but to a lesser extent than the foregoing.</w:t>
      </w:r>
    </w:p>
    <w:p>
      <w:pPr>
        <w:spacing w:after="0" w:line="175" w:lineRule="exact"/>
        <w:rPr>
          <w:rFonts w:ascii="Times New Roman" w:cs="Times New Roman" w:eastAsia="Times New Roman" w:hAnsi="Times New Roman"/>
          <w:sz w:val="18"/>
          <w:szCs w:val="18"/>
          <w:color w:val="101820"/>
        </w:rPr>
      </w:pPr>
    </w:p>
    <w:p>
      <w:pPr>
        <w:ind w:left="652" w:hanging="328"/>
        <w:spacing w:after="0" w:line="258" w:lineRule="auto"/>
        <w:tabs>
          <w:tab w:leader="none" w:pos="652"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Gross Margin increased by 130 basis points in the third quarter 2022 as compared to the prior year period. The increase in Gross Margin on a year over year basis was primarily due to the lower impact of the cost attributable to amortization of intangible assets as a percentage of revenues. This was partially offset by a downward impact on our gross margin of SuperVision™ sales contributing lower gross margin given the greater hardware this product contains, as well as the rise in the cost of our EyeQ® SoC due to the global semiconductor shortage and inflationary pressures, but to a lesser extent than the foregoing.</w:t>
      </w:r>
    </w:p>
    <w:p>
      <w:pPr>
        <w:spacing w:after="0" w:line="183" w:lineRule="exact"/>
        <w:rPr>
          <w:rFonts w:ascii="Times New Roman" w:cs="Times New Roman" w:eastAsia="Times New Roman" w:hAnsi="Times New Roman"/>
          <w:sz w:val="18"/>
          <w:szCs w:val="18"/>
          <w:color w:val="101820"/>
        </w:rPr>
      </w:pPr>
    </w:p>
    <w:p>
      <w:pPr>
        <w:jc w:val="both"/>
        <w:ind w:left="652" w:right="180" w:hanging="328"/>
        <w:spacing w:after="0" w:line="237" w:lineRule="auto"/>
        <w:tabs>
          <w:tab w:leader="none" w:pos="652" w:val="left"/>
        </w:tabs>
        <w:numPr>
          <w:ilvl w:val="0"/>
          <w:numId w:val="4"/>
        </w:numPr>
        <w:rPr>
          <w:rFonts w:ascii="Times New Roman" w:cs="Times New Roman" w:eastAsia="Times New Roman" w:hAnsi="Times New Roman"/>
          <w:sz w:val="17"/>
          <w:szCs w:val="17"/>
          <w:color w:val="101820"/>
        </w:rPr>
      </w:pPr>
      <w:r>
        <w:rPr>
          <w:rFonts w:ascii="Times New Roman" w:cs="Times New Roman" w:eastAsia="Times New Roman" w:hAnsi="Times New Roman"/>
          <w:sz w:val="17"/>
          <w:szCs w:val="17"/>
          <w:color w:val="101820"/>
        </w:rPr>
        <w:t>Adjusted Gross Margin declined by 380 basis points in the third quarter 2022 as compared to the prior year period, in line with our expectations. This was primarily due to increased sales of SuperVision</w:t>
      </w:r>
      <w:r>
        <w:rPr>
          <w:rFonts w:ascii="Times New Roman" w:cs="Times New Roman" w:eastAsia="Times New Roman" w:hAnsi="Times New Roman"/>
          <w:sz w:val="28"/>
          <w:szCs w:val="28"/>
          <w:color w:val="101820"/>
          <w:vertAlign w:val="superscript"/>
        </w:rPr>
        <w:t>TM</w:t>
      </w:r>
      <w:r>
        <w:rPr>
          <w:rFonts w:ascii="Times New Roman" w:cs="Times New Roman" w:eastAsia="Times New Roman" w:hAnsi="Times New Roman"/>
          <w:sz w:val="17"/>
          <w:szCs w:val="17"/>
          <w:color w:val="101820"/>
        </w:rPr>
        <w:t>, contributing lower percentage gross margin given the greater hardware content this product contains. Adjusted Gross Margin on our core EyeQ® SoC line of products remained stable in the high 70% range.</w:t>
      </w:r>
    </w:p>
    <w:p>
      <w:pPr>
        <w:spacing w:after="0" w:line="200" w:lineRule="exact"/>
        <w:rPr>
          <w:rFonts w:ascii="Times New Roman" w:cs="Times New Roman" w:eastAsia="Times New Roman" w:hAnsi="Times New Roman"/>
          <w:sz w:val="17"/>
          <w:szCs w:val="17"/>
          <w:color w:val="101820"/>
        </w:rPr>
      </w:pPr>
    </w:p>
    <w:p>
      <w:pPr>
        <w:ind w:left="652" w:hanging="328"/>
        <w:spacing w:after="0"/>
        <w:tabs>
          <w:tab w:leader="none" w:pos="652"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Operating Margin was relatively unchanged on a year over year basis.</w:t>
      </w:r>
    </w:p>
    <w:p>
      <w:pPr>
        <w:spacing w:after="0" w:line="225" w:lineRule="exact"/>
        <w:rPr>
          <w:rFonts w:ascii="Times New Roman" w:cs="Times New Roman" w:eastAsia="Times New Roman" w:hAnsi="Times New Roman"/>
          <w:sz w:val="18"/>
          <w:szCs w:val="18"/>
          <w:color w:val="101820"/>
        </w:rPr>
      </w:pPr>
    </w:p>
    <w:p>
      <w:pPr>
        <w:ind w:left="652" w:right="420" w:hanging="328"/>
        <w:spacing w:after="0" w:line="261" w:lineRule="auto"/>
        <w:tabs>
          <w:tab w:leader="none" w:pos="652"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Adjusted Operating Margin declined by 720 basis points in the third quarter 2022 as compared to the prior year period, in line with our expectations. The reduction in Adjusted Operating Margin on a year over year basis was primarily due to a decrease in adjusted gross margin (noted above) as well as higher R&amp;D expenses to fund development and growth of our advanced product portfolio that we expect to drive significant revenue growth in future periods.</w:t>
      </w:r>
    </w:p>
    <w:p>
      <w:pPr>
        <w:spacing w:after="0" w:line="179" w:lineRule="exact"/>
        <w:rPr>
          <w:rFonts w:ascii="Times New Roman" w:cs="Times New Roman" w:eastAsia="Times New Roman" w:hAnsi="Times New Roman"/>
          <w:sz w:val="18"/>
          <w:szCs w:val="18"/>
          <w:color w:val="101820"/>
        </w:rPr>
      </w:pPr>
    </w:p>
    <w:p>
      <w:pPr>
        <w:ind w:left="652" w:right="380" w:hanging="328"/>
        <w:spacing w:after="0" w:line="282" w:lineRule="auto"/>
        <w:tabs>
          <w:tab w:leader="none" w:pos="652"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Operating cash flow for the 9 months ended October 1, 2022 was $395 million. Purchases of property and equipment was $79 million for that same period.</w:t>
      </w:r>
    </w:p>
    <w:p>
      <w:pPr>
        <w:spacing w:after="0" w:line="202" w:lineRule="exact"/>
        <w:rPr>
          <w:sz w:val="20"/>
          <w:szCs w:val="20"/>
          <w:color w:val="auto"/>
        </w:rPr>
      </w:pPr>
    </w:p>
    <w:p>
      <w:pPr>
        <w:ind w:left="-8" w:right="160" w:firstLine="8"/>
        <w:spacing w:after="0" w:line="219" w:lineRule="auto"/>
        <w:tabs>
          <w:tab w:leader="none" w:pos="104" w:val="left"/>
        </w:tabs>
        <w:numPr>
          <w:ilvl w:val="0"/>
          <w:numId w:val="5"/>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101820"/>
        </w:rPr>
        <w:t>In connection with our design wins, we typically receive preliminary estimates from OEMs of their anticipated production volumes for the models relating to those design wins, and we have included information in this release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w:t>
      </w:r>
    </w:p>
    <w:p>
      <w:pPr>
        <w:spacing w:after="0" w:line="128" w:lineRule="exact"/>
        <w:rPr>
          <w:sz w:val="20"/>
          <w:szCs w:val="20"/>
          <w:color w:val="auto"/>
        </w:rPr>
      </w:pPr>
    </w:p>
    <w:p>
      <w:pPr>
        <w:ind w:left="112" w:hanging="112"/>
        <w:spacing w:after="0"/>
        <w:tabs>
          <w:tab w:leader="none" w:pos="112" w:val="left"/>
        </w:tabs>
        <w:numPr>
          <w:ilvl w:val="0"/>
          <w:numId w:val="6"/>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101820"/>
        </w:rPr>
        <w:t>Average System Price is calculated as the sum of revenue related to EyeQ and SuperVision systems, divided by the number of systems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Financial Guidance for the 2022 Fiscal Year</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101820"/>
        </w:rPr>
        <w:t>The following information reflects Mobileye’s expectations for Revenue and Adjusted Operating Income results for the year ending Dec 31, 2022. We believe Adjusted Operating Income (a non-GAAP metric) is an appropriate metric as it excludes significant non-cash expenses including: 1) Amortization charges relate to intangible assets consisting of developed technology, customer relationships, and brands as a result of Intel’s acquisition of Mobileye in 2017 and the acquisition of Moovit in 2020; 2) Stock-based compensation expense; and, 3) Non-recurring IPO-related expenses.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101820"/>
        </w:rPr>
        <w:t>We estimate weighted average share count in the quarter ending December 31, 2022 to be 788 million basic shares and 790 million shares on a fully-diluted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32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FY 2022</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Implied Q4 2022</w:t>
            </w:r>
          </w:p>
        </w:tc>
        <w:tc>
          <w:tcPr>
            <w:tcW w:w="0" w:type="dxa"/>
            <w:vAlign w:val="bottom"/>
          </w:tcPr>
          <w:p>
            <w:pPr>
              <w:spacing w:after="0"/>
              <w:rPr>
                <w:sz w:val="1"/>
                <w:szCs w:val="1"/>
                <w:color w:val="auto"/>
              </w:rPr>
            </w:pPr>
          </w:p>
        </w:tc>
      </w:tr>
      <w:tr>
        <w:trPr>
          <w:trHeight w:val="209"/>
        </w:trPr>
        <w:tc>
          <w:tcPr>
            <w:tcW w:w="3760" w:type="dxa"/>
            <w:vAlign w:val="bottom"/>
            <w:gridSpan w:val="2"/>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Low</w:t>
            </w: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Low</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High</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3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101820"/>
        </w:rPr>
        <w:t>Other than with respect to GAAP Revenue, we only provide guidance on a non-GAAP basis. We do not provide a reconciliation of forward-looking Adjusted Operating Income to Operating Income due to the inherent difficulty in forecasting and quantifying certain amounts that are necessary for such reconciliations. These amounts may be material and, therefore, could result in the projected GAAP measure being materially different or less than the projected non-GAAP measure. These statements represent forward-looking information and may not represent a financial outlook, and actual results may vary. Please see the risks and assumptions referred to in the Forward-looking Statements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62626"/>
        </w:rPr>
        <w:t>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and Adjusted Net Income,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as operating loss presented in accordance with GAAP, adjusted to exclude amortization of acquisition related intangibles, share-based compensation expenses and expenses related to our initial public offering that was completed on October 28, 2022, during the nine months ended October 1, 2022. Operating margin is calculated as operating loss divided by total revenue, and Adjusted Operating Margin is calculated as Adjusted Operating Income divided by total revenue. We define Adjusted Net Income as net loss presented in accordance with GAAP, adjusted to exclude amortization of acquisition related intangibles, and share-based compensation expense, and expenses related to our initial public offering that was completed on October 28, 2022, during the nine months ended October 1,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Mobileye Global Inc.</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125 million vehicles worldwide have been built with Mobileye technology inside. In 2022 Mobileye listed as an independent company separate from Intel (Nasdaq: INTC), which retains majority ownership. For more information, visit https://www.mobileye.com.</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62626"/>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62626"/>
        </w:rPr>
        <w:t>Mobileye’s Business Outlook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2022 full-year guidance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62626"/>
        </w:rPr>
        <w:t xml:space="preserve">Important factors that may materially affect such forward-looking statements and projections include the following: </w:t>
      </w:r>
      <w:r>
        <w:rPr>
          <w:rFonts w:ascii="Times New Roman" w:cs="Times New Roman" w:eastAsia="Times New Roman" w:hAnsi="Times New Roman"/>
          <w:sz w:val="18"/>
          <w:szCs w:val="18"/>
          <w:color w:val="000000"/>
        </w:rPr>
        <w:t>future business, social and</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addressable markets, estimated vehicle production and market opportunity, potential production volumes associated with design wins and other characterizations of future events or circumstances; future responses to and effects of the COVID-19 pandemic; availability, uses, sufficiency and cost of capital and capital resources, including expected returns to stockholders such as dividends, and the expected timing of future dividends; tax- and accounting-related expectations.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Registration Statement (No. 333-267685) on Form S-1, particularly in the section entitled the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Third Quarter 2022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Mobileye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Condensed Combined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32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4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related party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with related party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7"/>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computation of earnings (loss) per share (in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682"/>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Mobileye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Condensed Combined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October 1,</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25,</w:t>
            </w:r>
          </w:p>
        </w:tc>
        <w:tc>
          <w:tcPr>
            <w:tcW w:w="0" w:type="dxa"/>
            <w:vAlign w:val="bottom"/>
          </w:tcPr>
          <w:p>
            <w:pPr>
              <w:spacing w:after="0"/>
              <w:rPr>
                <w:sz w:val="1"/>
                <w:szCs w:val="1"/>
                <w:color w:val="auto"/>
              </w:rPr>
            </w:pPr>
          </w:p>
        </w:tc>
      </w:t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580" w:type="dxa"/>
            <w:vAlign w:val="bottom"/>
          </w:tcPr>
          <w:p>
            <w:pPr>
              <w:jc w:val="right"/>
              <w:ind w:right="52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 receivables, net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 loan</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10,895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16,164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97"/>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5"/>
                <w:szCs w:val="25"/>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net investment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11,178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16,164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682"/>
        </w:trPr>
        <w:tc>
          <w:tcPr>
            <w:tcW w:w="7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Mobileye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Condensed Combined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187"/>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October 1,</w:t>
            </w:r>
          </w:p>
        </w:tc>
        <w:tc>
          <w:tcPr>
            <w:tcW w:w="2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00" w:type="dxa"/>
            <w:vAlign w:val="bottom"/>
          </w:tcPr>
          <w:p>
            <w:pPr>
              <w:spacing w:after="0"/>
              <w:rPr>
                <w:sz w:val="16"/>
                <w:szCs w:val="16"/>
                <w:color w:val="auto"/>
              </w:rPr>
            </w:pPr>
          </w:p>
        </w:tc>
      </w:t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receivables</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 payables and accrued expenses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current-liabilities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long-term liabilities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loan due from related party</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 to related party</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r>
      <w:tr>
        <w:trPr>
          <w:trHeight w:val="21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withholding tax related to employee stock plans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beginning of year</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7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682"/>
        </w:trPr>
        <w:tc>
          <w:tcPr>
            <w:tcW w:w="7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Mobileye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Reconciliation of GAAP Gross Profit and Gross Margin to Non-GAAP Adjusted Gross Profit and Adjusted Gross Margin (Unaudited)</w:t>
      </w:r>
      <w:r>
        <w:rPr>
          <w:rFonts w:ascii="Times New Roman" w:cs="Times New Roman" w:eastAsia="Times New Roman" w:hAnsi="Times New Roman"/>
          <w:sz w:val="29"/>
          <w:szCs w:val="29"/>
          <w:color w:val="101820"/>
          <w:vertAlign w:val="superscript"/>
        </w:rPr>
        <w:t>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80" w:type="dxa"/>
            <w:vAlign w:val="bottom"/>
          </w:tcPr>
          <w:p>
            <w:pPr>
              <w:spacing w:after="0"/>
              <w:rPr>
                <w:sz w:val="16"/>
                <w:szCs w:val="16"/>
                <w:color w:val="auto"/>
              </w:rPr>
            </w:pPr>
          </w:p>
        </w:tc>
        <w:tc>
          <w:tcPr>
            <w:tcW w:w="1660" w:type="dxa"/>
            <w:vAlign w:val="bottom"/>
            <w:gridSpan w:val="3"/>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tcPr>
          <w:p>
            <w:pPr>
              <w:jc w:val="center"/>
              <w:ind w:right="2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October 1,</w:t>
            </w:r>
          </w:p>
        </w:tc>
        <w:tc>
          <w:tcPr>
            <w:tcW w:w="100" w:type="dxa"/>
            <w:vAlign w:val="bottom"/>
          </w:tcPr>
          <w:p>
            <w:pPr>
              <w:spacing w:after="0"/>
              <w:rPr>
                <w:sz w:val="16"/>
                <w:szCs w:val="16"/>
                <w:color w:val="auto"/>
              </w:rPr>
            </w:pPr>
          </w:p>
        </w:tc>
        <w:tc>
          <w:tcPr>
            <w:tcW w:w="166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Revenue</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Revenue</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Revenue</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 intangible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7"/>
        </w:trPr>
        <w:tc>
          <w:tcPr>
            <w:tcW w:w="324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Mobileye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Reconciliation of GAAP Operating Income and Operating Margin to Non-GAAP Adjusted Operating Income and Operating Margin (Unaudited)</w:t>
      </w:r>
      <w:r>
        <w:rPr>
          <w:rFonts w:ascii="Times New Roman" w:cs="Times New Roman" w:eastAsia="Times New Roman" w:hAnsi="Times New Roman"/>
          <w:sz w:val="29"/>
          <w:szCs w:val="29"/>
          <w:color w:val="101820"/>
          <w:vertAlign w:val="superscript"/>
        </w:rPr>
        <w:t>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4"/>
          </w:tcPr>
          <w:p>
            <w:pPr>
              <w:jc w:val="center"/>
              <w:ind w:right="6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October 1,</w:t>
            </w:r>
          </w:p>
        </w:tc>
        <w:tc>
          <w:tcPr>
            <w:tcW w:w="80" w:type="dxa"/>
            <w:vAlign w:val="bottom"/>
          </w:tcPr>
          <w:p>
            <w:pPr>
              <w:spacing w:after="0"/>
              <w:rPr>
                <w:sz w:val="16"/>
                <w:szCs w:val="16"/>
                <w:color w:val="auto"/>
              </w:rPr>
            </w:pPr>
          </w:p>
        </w:tc>
        <w:tc>
          <w:tcPr>
            <w:tcW w:w="1660" w:type="dxa"/>
            <w:vAlign w:val="bottom"/>
            <w:gridSpan w:val="3"/>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tcPr>
          <w:p>
            <w:pPr>
              <w:spacing w:after="0"/>
              <w:rPr>
                <w:sz w:val="16"/>
                <w:szCs w:val="16"/>
                <w:color w:val="auto"/>
              </w:rPr>
            </w:pPr>
          </w:p>
        </w:tc>
        <w:tc>
          <w:tcPr>
            <w:tcW w:w="166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lef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lef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vMerge w:val="continue"/>
            <w:shd w:val="clear" w:color="auto" w:fill="CCEEFF"/>
          </w:tcPr>
          <w:p>
            <w:pPr>
              <w:spacing w:after="0"/>
              <w:rPr>
                <w:sz w:val="18"/>
                <w:szCs w:val="18"/>
                <w:color w:val="auto"/>
              </w:rPr>
            </w:pPr>
          </w:p>
        </w:tc>
        <w:tc>
          <w:tcPr>
            <w:tcW w:w="10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vMerge w:val="continue"/>
            <w:shd w:val="clear" w:color="auto" w:fill="CCEEFF"/>
          </w:tcPr>
          <w:p>
            <w:pPr>
              <w:spacing w:after="0"/>
              <w:rPr>
                <w:sz w:val="18"/>
                <w:szCs w:val="18"/>
                <w:color w:val="auto"/>
              </w:rPr>
            </w:pPr>
          </w:p>
        </w:tc>
        <w:tc>
          <w:tcPr>
            <w:tcW w:w="10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vMerge w:val="continue"/>
            <w:shd w:val="clear" w:color="auto" w:fill="CCEEFF"/>
          </w:tcPr>
          <w:p>
            <w:pPr>
              <w:spacing w:after="0"/>
              <w:rPr>
                <w:sz w:val="18"/>
                <w:szCs w:val="18"/>
                <w:color w:val="auto"/>
              </w:rPr>
            </w:pPr>
          </w:p>
        </w:tc>
        <w:tc>
          <w:tcPr>
            <w:tcW w:w="98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586105</wp:posOffset>
            </wp:positionV>
            <wp:extent cx="6858000" cy="120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Mobileye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01820"/>
        </w:rPr>
        <w:t>Reconciliation of GAAP Net Income to Non-GAAP Adjusted Net Income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9"/>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4"/>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October 1,</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00" w:type="dxa"/>
            <w:vAlign w:val="bottom"/>
          </w:tcPr>
          <w:p>
            <w:pPr>
              <w:spacing w:after="0"/>
              <w:rPr>
                <w:sz w:val="16"/>
                <w:szCs w:val="16"/>
                <w:color w:val="auto"/>
              </w:rPr>
            </w:pP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3"/>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960" w:type="dxa"/>
            <w:vAlign w:val="bottom"/>
            <w:gridSpan w:val="15"/>
          </w:tcPr>
          <w:p>
            <w:pPr>
              <w:jc w:val="center"/>
              <w:ind w:left="3210"/>
              <w:spacing w:after="0"/>
              <w:rPr>
                <w:sz w:val="20"/>
                <w:szCs w:val="20"/>
                <w:color w:val="auto"/>
              </w:rPr>
            </w:pPr>
            <w:r>
              <w:rPr>
                <w:rFonts w:ascii="Times New Roman" w:cs="Times New Roman" w:eastAsia="Times New Roman" w:hAnsi="Times New Roman"/>
                <w:sz w:val="18"/>
                <w:szCs w:val="18"/>
                <w:color w:val="101820"/>
                <w:w w:val="99"/>
              </w:rPr>
              <w:t>Supplemental Information (Unaudited) – Average System Price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Q3 2021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Q4 2021</w:t>
            </w:r>
          </w:p>
        </w:tc>
        <w:tc>
          <w:tcPr>
            <w:tcW w:w="120" w:type="dxa"/>
            <w:vAlign w:val="bottom"/>
          </w:tcPr>
          <w:p>
            <w:pPr>
              <w:spacing w:after="0"/>
              <w:rPr>
                <w:sz w:val="24"/>
                <w:szCs w:val="24"/>
                <w:color w:val="auto"/>
              </w:rPr>
            </w:pPr>
          </w:p>
        </w:tc>
        <w:tc>
          <w:tcPr>
            <w:tcW w:w="9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Q1 2022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Q2 2022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Q3 2022</w:t>
            </w:r>
          </w:p>
        </w:tc>
      </w:tr>
      <w:tr>
        <w:trPr>
          <w:trHeight w:val="178"/>
        </w:trPr>
        <w:tc>
          <w:tcPr>
            <w:tcW w:w="37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EyeQ and SuperVision revenue (U.S. dollars in</w:t>
            </w:r>
          </w:p>
        </w:tc>
        <w:tc>
          <w:tcPr>
            <w:tcW w:w="3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12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378</w:t>
            </w:r>
          </w:p>
        </w:tc>
        <w:tc>
          <w:tcPr>
            <w:tcW w:w="7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12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7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2022-12-07T05:56:42Z</dcterms:created>
  <dcterms:modified xsi:type="dcterms:W3CDTF">2022-12-07T05:56:42Z</dcterms:modified>
</cp:coreProperties>
</file>