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161290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6,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Mobileye Global Inc.</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72" w:right="339" w:bottom="1440" w:gutter="0" w:footer="0" w:header="0"/>
        </w:sectPr>
      </w:pPr>
    </w:p>
    <w:p>
      <w:pPr>
        <w:spacing w:after="0" w:line="201"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72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9" w:lineRule="exact"/>
        <w:rPr>
          <w:sz w:val="24"/>
          <w:szCs w:val="24"/>
          <w:color w:val="auto"/>
        </w:rPr>
      </w:pPr>
    </w:p>
    <w:p>
      <w:pPr>
        <w:ind w:left="700"/>
        <w:spacing w:after="0"/>
        <w:rPr>
          <w:sz w:val="20"/>
          <w:szCs w:val="20"/>
          <w:color w:val="auto"/>
        </w:rPr>
      </w:pPr>
      <w:r>
        <w:rPr>
          <w:rFonts w:ascii="Times New Roman" w:cs="Times New Roman" w:eastAsia="Times New Roman" w:hAnsi="Times New Roman"/>
          <w:sz w:val="18"/>
          <w:szCs w:val="18"/>
          <w:color w:val="auto"/>
        </w:rPr>
        <w:t>Incorporation or Organization)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001-41541</w:t>
      </w:r>
    </w:p>
    <w:p>
      <w:pPr>
        <w:spacing w:after="0" w:line="31"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700"/>
        <w:spacing w:after="0"/>
        <w:rPr>
          <w:sz w:val="20"/>
          <w:szCs w:val="20"/>
          <w:color w:val="auto"/>
        </w:rPr>
      </w:pPr>
      <w:r>
        <w:rPr>
          <w:rFonts w:ascii="Times New Roman" w:cs="Times New Roman" w:eastAsia="Times New Roman" w:hAnsi="Times New Roman"/>
          <w:sz w:val="18"/>
          <w:szCs w:val="18"/>
          <w:b w:val="1"/>
          <w:bCs w:val="1"/>
          <w:color w:val="auto"/>
        </w:rPr>
        <w:t>88-0666433</w:t>
      </w:r>
    </w:p>
    <w:p>
      <w:pPr>
        <w:spacing w:after="0" w:line="31" w:lineRule="exact"/>
        <w:rPr>
          <w:sz w:val="24"/>
          <w:szCs w:val="24"/>
          <w:color w:val="auto"/>
        </w:rPr>
      </w:pPr>
    </w:p>
    <w:p>
      <w:pPr>
        <w:jc w:val="center"/>
        <w:ind w:right="760"/>
        <w:spacing w:after="0"/>
        <w:rPr>
          <w:sz w:val="20"/>
          <w:szCs w:val="20"/>
          <w:color w:val="auto"/>
        </w:rPr>
      </w:pPr>
      <w:r>
        <w:rPr>
          <w:rFonts w:ascii="Times New Roman" w:cs="Times New Roman" w:eastAsia="Times New Roman" w:hAnsi="Times New Roman"/>
          <w:sz w:val="18"/>
          <w:szCs w:val="18"/>
          <w:color w:val="auto"/>
        </w:rPr>
        <w:t>(IRS Employer Identification</w:t>
      </w:r>
    </w:p>
    <w:p>
      <w:pPr>
        <w:spacing w:after="0" w:line="9" w:lineRule="exact"/>
        <w:rPr>
          <w:sz w:val="24"/>
          <w:szCs w:val="24"/>
          <w:color w:val="auto"/>
        </w:rPr>
      </w:pPr>
    </w:p>
    <w:p>
      <w:pPr>
        <w:jc w:val="center"/>
        <w:ind w:right="700"/>
        <w:spacing w:after="0"/>
        <w:rPr>
          <w:sz w:val="20"/>
          <w:szCs w:val="20"/>
          <w:color w:val="auto"/>
        </w:rPr>
      </w:pPr>
      <w:r>
        <w:rPr>
          <w:rFonts w:ascii="Times New Roman" w:cs="Times New Roman" w:eastAsia="Times New Roman" w:hAnsi="Times New Roman"/>
          <w:sz w:val="18"/>
          <w:szCs w:val="18"/>
          <w:color w:val="auto"/>
        </w:rPr>
        <w:t>Number)</w:t>
      </w:r>
    </w:p>
    <w:p>
      <w:pPr>
        <w:spacing w:after="0" w:line="200" w:lineRule="exact"/>
        <w:rPr>
          <w:sz w:val="24"/>
          <w:szCs w:val="24"/>
          <w:color w:val="auto"/>
        </w:rPr>
      </w:pPr>
    </w:p>
    <w:p>
      <w:pPr>
        <w:sectPr>
          <w:pgSz w:w="11900" w:h="16838" w:orient="portrait"/>
          <w:cols w:equalWidth="0" w:num="3">
            <w:col w:w="3920" w:space="720"/>
            <w:col w:w="3000" w:space="720"/>
            <w:col w:w="2880"/>
          </w:cols>
          <w:pgMar w:left="320" w:top="772"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 Mobileye B.V.</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Har Hotzvim, Shlomo Momo HaLevi Street 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Jerusalem 9777015, Israel</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and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+972-2-541-7333</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 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154305</wp:posOffset>
            </wp:positionV>
            <wp:extent cx="17830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ectPr>
          <w:pgSz w:w="11900" w:h="16838" w:orient="portrait"/>
          <w:cols w:equalWidth="0" w:num="1">
            <w:col w:w="11240"/>
          </w:cols>
          <w:pgMar w:left="320" w:top="772" w:right="339" w:bottom="1440" w:gutter="0" w:footer="0" w:header="0"/>
          <w:type w:val="continuous"/>
        </w:sectPr>
      </w:pPr>
    </w:p>
    <w:p>
      <w:pPr>
        <w:spacing w:after="0" w:line="200" w:lineRule="exact"/>
        <w:rPr>
          <w:sz w:val="24"/>
          <w:szCs w:val="24"/>
          <w:color w:val="auto"/>
        </w:rPr>
      </w:pPr>
    </w:p>
    <w:p>
      <w:pPr>
        <w:spacing w:after="0" w:line="268" w:lineRule="exact"/>
        <w:rPr>
          <w:sz w:val="24"/>
          <w:szCs w:val="24"/>
          <w:color w:val="auto"/>
        </w:rPr>
      </w:pPr>
    </w:p>
    <w:p>
      <w:pPr>
        <w:jc w:val="center"/>
        <w:ind w:left="340" w:right="3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3" w:lineRule="exact"/>
        <w:rPr>
          <w:sz w:val="24"/>
          <w:szCs w:val="24"/>
          <w:color w:val="auto"/>
        </w:rPr>
      </w:pPr>
    </w:p>
    <w:tbl>
      <w:tblPr>
        <w:tblLayout w:type="fixed"/>
        <w:tblInd w:w="10" w:type="dxa"/>
        <w:tblCellMar>
          <w:top w:w="0" w:type="dxa"/>
          <w:left w:w="0" w:type="dxa"/>
          <w:bottom w:w="0" w:type="dxa"/>
          <w:right w:w="0" w:type="dxa"/>
        </w:tblCellMar>
      </w:tblPr>
      <w:tr>
        <w:trPr>
          <w:trHeight w:val="257"/>
        </w:trPr>
        <w:tc>
          <w:tcPr>
            <w:tcW w:w="476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2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2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7"/>
        </w:trPr>
        <w:tc>
          <w:tcPr>
            <w:tcW w:w="476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240" w:type="dxa"/>
            <w:vAlign w:val="bottom"/>
            <w:tcBorders>
              <w:bottom w:val="single" w:sz="8" w:color="auto"/>
              <w:right w:val="single" w:sz="8" w:color="auto"/>
            </w:tcBorders>
          </w:tcPr>
          <w:p>
            <w:pPr>
              <w:spacing w:after="0"/>
              <w:rPr>
                <w:sz w:val="2"/>
                <w:szCs w:val="2"/>
                <w:color w:val="auto"/>
              </w:rPr>
            </w:pPr>
          </w:p>
        </w:tc>
      </w:tr>
      <w:tr>
        <w:trPr>
          <w:trHeight w:val="236"/>
        </w:trPr>
        <w:tc>
          <w:tcPr>
            <w:tcW w:w="47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MBLY</w:t>
            </w:r>
          </w:p>
        </w:tc>
        <w:tc>
          <w:tcPr>
            <w:tcW w:w="4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r>
        <w:trPr>
          <w:trHeight w:val="27"/>
        </w:trPr>
        <w:tc>
          <w:tcPr>
            <w:tcW w:w="476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240" w:type="dxa"/>
            <w:vAlign w:val="bottom"/>
            <w:tcBorders>
              <w:bottom w:val="single" w:sz="8" w:color="auto"/>
              <w:right w:val="single" w:sz="8" w:color="auto"/>
            </w:tcBorders>
          </w:tcPr>
          <w:p>
            <w:pPr>
              <w:spacing w:after="0"/>
              <w:rPr>
                <w:sz w:val="2"/>
                <w:szCs w:val="2"/>
                <w:color w:val="auto"/>
              </w:rPr>
            </w:pPr>
          </w:p>
        </w:tc>
      </w:tr>
    </w:tbl>
    <w:p>
      <w:pPr>
        <w:spacing w:after="0" w:line="198" w:lineRule="exact"/>
        <w:rPr>
          <w:sz w:val="24"/>
          <w:szCs w:val="24"/>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or Rule 12b-2 of the Securities Exchange Act of 1934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600075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72" w:right="339" w:bottom="1440" w:gutter="0" w:footer="0" w:header="0"/>
          <w:type w:val="continuous"/>
        </w:sectPr>
      </w:pPr>
    </w:p>
    <w:bookmarkStart w:id="1" w:name="page2"/>
    <w:bookmarkEnd w:id="1"/>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6, 2024, Dr. Gavriel “Gaby” Hayon, Executive Vice President of Research &amp; Development of Mobileye Global Inc. (the “Company”) notified the Company of his decision to retire after 25 years with the Company and to step down from his role as Executive Vice President of Research &amp; Development by the end of 2024.</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Chief Technology Officer, Professor Shai Shalev-Shwartz, who has worked closely alongside Dr. Hayon in the Company’s research and development operations and overall technology strategy throughout his nearly 14 years with the Company, will assume leadership of Research &amp; Development at the Company upon Dr. Hayon’s retirement.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Until Dr. Hayon’s retirement, Dr. Hayon will remain with the Company and assist Prof. Shalev-Shwartz to ensure a smooth leadership transition.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229"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May 9, 2024</w:t>
      </w:r>
      <w:r>
        <w:rPr>
          <w:sz w:val="20"/>
          <w:szCs w:val="20"/>
          <w:color w:val="auto"/>
        </w:rPr>
        <w:tab/>
      </w:r>
      <w:r>
        <w:rPr>
          <w:rFonts w:ascii="Times New Roman" w:cs="Times New Roman" w:eastAsia="Times New Roman" w:hAnsi="Times New Roman"/>
          <w:sz w:val="18"/>
          <w:szCs w:val="18"/>
          <w:color w:val="auto"/>
        </w:rPr>
        <w:t>By: /s/ Moran Shemesh Rojansky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b w:val="1"/>
          <w:bCs w:val="1"/>
          <w:color w:val="auto"/>
        </w:rPr>
        <w:t>Moran Shemesh Rojansky</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2024-05-09T05:39:05Z</dcterms:created>
  <dcterms:modified xsi:type="dcterms:W3CDTF">2024-05-09T05:39:05Z</dcterms:modified>
</cp:coreProperties>
</file>