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257175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260" w:hanging="251"/>
        <w:spacing w:after="0"/>
        <w:tabs>
          <w:tab w:leader="none" w:pos="2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28,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60" w:hanging="251"/>
        <w:spacing w:after="0"/>
        <w:tabs>
          <w:tab w:leader="none" w:pos="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2960"/>
        <w:spacing w:after="0"/>
        <w:tabs>
          <w:tab w:leader="none" w:pos="5980" w:val="left"/>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001-41541</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4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49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organization)</w:t>
            </w:r>
          </w:p>
        </w:tc>
        <w:tc>
          <w:tcPr>
            <w:tcW w:w="4440" w:type="dxa"/>
            <w:vAlign w:val="bottom"/>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 Mobileye B.V.</w:t>
            </w:r>
          </w:p>
        </w:tc>
        <w:tc>
          <w:tcPr>
            <w:tcW w:w="44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+972-2-541-7333</w:t>
            </w: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Har Hotzvim, 1 Shlomo Momo HaLevi Street</w:t>
            </w:r>
          </w:p>
        </w:tc>
        <w:tc>
          <w:tcPr>
            <w:tcW w:w="4440" w:type="dxa"/>
            <w:vAlign w:val="bottom"/>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Jerusalem 9777015, Israel</w:t>
            </w:r>
          </w:p>
        </w:tc>
        <w:tc>
          <w:tcPr>
            <w:tcW w:w="4440" w:type="dxa"/>
            <w:vAlign w:val="bottom"/>
          </w:tcPr>
          <w:p>
            <w:pPr>
              <w:spacing w:after="0"/>
              <w:rPr>
                <w:sz w:val="18"/>
                <w:szCs w:val="18"/>
                <w:color w:val="auto"/>
              </w:rPr>
            </w:pPr>
          </w:p>
        </w:tc>
      </w:tr>
      <w:tr>
        <w:trPr>
          <w:trHeight w:val="234"/>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4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9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40" w:type="dxa"/>
            <w:vAlign w:val="bottom"/>
          </w:tcPr>
          <w:p>
            <w:pPr>
              <w:spacing w:after="0"/>
              <w:rPr>
                <w:sz w:val="24"/>
                <w:szCs w:val="24"/>
                <w:color w:val="auto"/>
              </w:rPr>
            </w:pPr>
          </w:p>
        </w:tc>
      </w:tr>
    </w:tbl>
    <w:p>
      <w:pPr>
        <w:spacing w:after="0" w:line="99" w:lineRule="exact"/>
        <w:rPr>
          <w:sz w:val="24"/>
          <w:szCs w:val="24"/>
          <w:color w:val="auto"/>
        </w:rPr>
      </w:pPr>
    </w:p>
    <w:p>
      <w:pPr>
        <w:sectPr>
          <w:pgSz w:w="11900" w:h="16838" w:orient="portrait"/>
          <w:cols w:equalWidth="0" w:num="1">
            <w:col w:w="9920"/>
          </w:cols>
          <w:pgMar w:left="980" w:top="661" w:right="999" w:bottom="1440" w:gutter="0" w:footer="0" w:header="0"/>
        </w:sect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Class A common stock, par value $0.01</w:t>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MBLY</w:t>
      </w:r>
    </w:p>
    <w:p>
      <w:pPr>
        <w:spacing w:after="0" w:line="20" w:lineRule="exact"/>
        <w:rPr>
          <w:sz w:val="24"/>
          <w:szCs w:val="24"/>
          <w:color w:val="auto"/>
        </w:rPr>
      </w:pPr>
      <w:r>
        <w:rPr>
          <w:sz w:val="24"/>
          <w:szCs w:val="24"/>
          <w:color w:val="auto"/>
        </w:rPr>
        <w:br w:type="column"/>
      </w: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Global Select Market</w:t>
      </w:r>
    </w:p>
    <w:p>
      <w:pPr>
        <w:spacing w:after="0" w:line="24" w:lineRule="exact"/>
        <w:rPr>
          <w:sz w:val="24"/>
          <w:szCs w:val="24"/>
          <w:color w:val="auto"/>
        </w:rPr>
      </w:pPr>
    </w:p>
    <w:p>
      <w:pPr>
        <w:sectPr>
          <w:pgSz w:w="11900" w:h="16838" w:orient="portrait"/>
          <w:cols w:equalWidth="0" w:num="3">
            <w:col w:w="3580" w:space="720"/>
            <w:col w:w="1340" w:space="720"/>
            <w:col w:w="3560"/>
          </w:cols>
          <w:pgMar w:left="980" w:top="661" w:right="999" w:bottom="1440" w:gutter="0" w:footer="0" w:header="0"/>
          <w:type w:val="continuous"/>
        </w:sect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2"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98" w:lineRule="exact"/>
        <w:rPr>
          <w:sz w:val="24"/>
          <w:szCs w:val="24"/>
          <w:color w:val="auto"/>
        </w:rPr>
      </w:pPr>
    </w:p>
    <w:p>
      <w:pPr>
        <w:sectPr>
          <w:pgSz w:w="11900" w:h="16838" w:orient="portrait"/>
          <w:cols w:equalWidth="0" w:num="2">
            <w:col w:w="4420" w:space="720"/>
            <w:col w:w="4780"/>
          </w:cols>
          <w:pgMar w:left="980" w:top="661" w:right="99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62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216,005,938 shares of Class A common stock, $0.01 par value, outstanding at July 15, 2025</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925830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MOBILEYE GLOBAL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4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June 28, 2025</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560" w:type="dxa"/>
            <w:vAlign w:val="bottom"/>
            <w:gridSpan w:val="4"/>
            <w:vMerge w:val="restart"/>
          </w:tcPr>
          <w:p>
            <w:pPr>
              <w:spacing w:after="0"/>
              <w:rPr>
                <w:sz w:val="24"/>
                <w:szCs w:val="24"/>
                <w:color w:val="auto"/>
              </w:rPr>
            </w:pPr>
          </w:p>
        </w:tc>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5140" w:type="dxa"/>
            <w:vAlign w:val="bottom"/>
            <w:gridSpan w:val="11"/>
            <w:vMerge w:val="restart"/>
          </w:tcPr>
          <w:p>
            <w:pPr>
              <w:spacing w:after="0"/>
              <w:rPr>
                <w:sz w:val="24"/>
                <w:szCs w:val="24"/>
                <w:color w:val="auto"/>
              </w:rPr>
            </w:pP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5140" w:type="dxa"/>
            <w:vAlign w:val="bottom"/>
            <w:gridSpan w:val="11"/>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w:t>
            </w:r>
          </w:p>
        </w:tc>
        <w:tc>
          <w:tcPr>
            <w:tcW w:w="500" w:type="dxa"/>
            <w:vAlign w:val="bottom"/>
            <w:gridSpan w:val="3"/>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4980" w:type="dxa"/>
            <w:vAlign w:val="bottom"/>
            <w:gridSpan w:val="9"/>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340" w:type="dxa"/>
            <w:vAlign w:val="bottom"/>
            <w:gridSpan w:val="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1040" w:type="dxa"/>
            <w:vAlign w:val="bottom"/>
            <w:gridSpan w:val="2"/>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3080" w:type="dxa"/>
            <w:vAlign w:val="bottom"/>
            <w:gridSpan w:val="5"/>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280" w:type="dxa"/>
            <w:vAlign w:val="bottom"/>
            <w:gridSpan w:val="6"/>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60" w:type="dxa"/>
            <w:vAlign w:val="bottom"/>
            <w:gridSpan w:val="2"/>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940" w:type="dxa"/>
            <w:vAlign w:val="bottom"/>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040" w:type="dxa"/>
            <w:vAlign w:val="bottom"/>
            <w:gridSpan w:val="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II.</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460" w:type="dxa"/>
            <w:vAlign w:val="bottom"/>
            <w:gridSpan w:val="2"/>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060" w:type="dxa"/>
            <w:vAlign w:val="bottom"/>
            <w:gridSpan w:val="1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3060" w:type="dxa"/>
            <w:vAlign w:val="bottom"/>
            <w:gridSpan w:val="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60" w:type="dxa"/>
            <w:vAlign w:val="bottom"/>
            <w:gridSpan w:val="2"/>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6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50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6800" w:type="dxa"/>
            <w:vAlign w:val="bottom"/>
            <w:gridSpan w:val="1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640" w:type="dxa"/>
            <w:vAlign w:val="bottom"/>
            <w:gridSpan w:val="17"/>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00" w:right="11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have a 52- or 53-week fiscal year that ends on the last Saturday in December. Fiscal years 2024 and 2023 were a 52-week fiscal years; fiscal year 2025 is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18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00" w:type="dxa"/>
            <w:vAlign w:val="bottom"/>
          </w:tcPr>
          <w:p>
            <w:pPr>
              <w:spacing w:after="0"/>
              <w:rPr>
                <w:sz w:val="13"/>
                <w:szCs w:val="1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10,405</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12,578</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0" w:type="dxa"/>
            <w:vAlign w:val="bottom"/>
          </w:tcPr>
          <w:p>
            <w:pPr>
              <w:spacing w:after="0"/>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Contingencies (see note 11)</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4,000,000,000 shares authorized; shares issued and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103,579,323 as of June 28, 2025 and 100,226,477 as of December 28, 2024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1,500,000,000 shares authorized; shares issued and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711,500,000 as of June 28, 2025 and December 28, 2024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12,578</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 attributed to Class A and Class B stockholders (in millions):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U.S. dollars in millions, except share and per share data</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29, 2025</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812</w:t>
            </w:r>
          </w:p>
        </w:tc>
        <w:tc>
          <w:tcPr>
            <w:tcW w:w="140" w:type="dxa"/>
            <w:vAlign w:val="bottom"/>
          </w:tcPr>
          <w:p>
            <w:pPr>
              <w:spacing w:after="0"/>
              <w:rPr>
                <w:sz w:val="11"/>
                <w:szCs w:val="11"/>
                <w:color w:val="auto"/>
              </w:rPr>
            </w:pP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(3,162)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28, 2025</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815</w:t>
            </w:r>
          </w:p>
        </w:tc>
        <w:tc>
          <w:tcPr>
            <w:tcW w:w="1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15,270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(3,229)</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12,066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March 30, 2024</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tcPr>
          <w:p>
            <w:pPr>
              <w:spacing w:after="0"/>
              <w:rPr>
                <w:sz w:val="11"/>
                <w:szCs w:val="11"/>
                <w:color w:val="auto"/>
              </w:rPr>
            </w:pP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14,943</w:t>
            </w:r>
          </w:p>
        </w:tc>
        <w:tc>
          <w:tcPr>
            <w:tcW w:w="80" w:type="dxa"/>
            <w:vAlign w:val="bottom"/>
          </w:tcPr>
          <w:p>
            <w:pPr>
              <w:spacing w:after="0"/>
              <w:rPr>
                <w:sz w:val="11"/>
                <w:szCs w:val="11"/>
                <w:color w:val="auto"/>
              </w:rPr>
            </w:pP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jc w:val="right"/>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(188)</w:t>
            </w:r>
          </w:p>
        </w:tc>
        <w:tc>
          <w:tcPr>
            <w:tcW w:w="160" w:type="dxa"/>
            <w:vAlign w:val="bottom"/>
            <w:gridSpan w:val="2"/>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29, 2024</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809</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14,985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(274)</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28, 2024</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812</w:t>
            </w:r>
          </w:p>
        </w:tc>
        <w:tc>
          <w:tcPr>
            <w:tcW w:w="140" w:type="dxa"/>
            <w:vAlign w:val="bottom"/>
          </w:tcPr>
          <w:p>
            <w:pPr>
              <w:spacing w:after="0"/>
              <w:rPr>
                <w:sz w:val="11"/>
                <w:szCs w:val="11"/>
                <w:color w:val="auto"/>
              </w:rPr>
            </w:pP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(3,060)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Tax sharing agreement with Parent</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28, 2025</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815</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15,270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(3,229)</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12,066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30, 2023</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14,886</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jc w:val="right"/>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1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(304)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29, 2024</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809</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(274)</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(Gains) losses on equity and debt investments,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1,729</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non-cash investing and financing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share based compensation recharge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received (paid) for income taxes, net of refunds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Intel Corporation (“Intel” or the “Parent”) directly or indirectly holds all of the Class B common stock of Mobileye, which as of June 28, 2025, represents approximately 87.3% of our outstanding common stock and 98.6% of the voting power of our common stock. For a change in Intel’s holdings following the completion of the Secondary Offering, Share Repurchase, Option and Conversion, refer to Note 12.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to which both Israel and the United States have responded. Further, on April 13, 2024 and October 1, 2024, Iran launched a series of drone and missile strikes against Israel, to which Israel has responded. Most recently, on June 13, 2025, Israel launched a preemptive attack on Iran, to which Iran responded with ballistic missile and drone attacks. On June 23, 2025, Israel and Iran agreed to a ceasefire, although there is no assurance that the ceasefire will continue. 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 To date, our operations have not been materially affected, although as of July 15, 2025 approximately 6.7% of our employees have been called to reserve duty in the Israel Defense Forces. We expect that the current conflict in the Gaza Strip, Lebanon, Iran and the broader region, as well as the security escalation in Israel, will not have a material impact on our business results in the short term. However, since these are events beyond our control, their continuation or cessation may affect our expectations. We continue to monitor political and military developments closely and examine the consequences for our operations and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 2025 is a 52-week fiscal year; fiscal year 2024 was also a 52-week fiscal year.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28, 2025 shown in this report are not necessarily indicative of the results to be expected for the full year ending 2025. The condensed consolidated financial statements should be read in conjunction with the audited consolidated financial statements for the fiscal year ended December 28, 2024.</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consolidated financial statements for the fiscal year ended December 28, 2024. For further detail, see Note 2 in the audited consolidated financial statements for the fiscal year ended December 28,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useful lives of intangible assets, impairment assessment of intangible assets and goodwill and income taxes. A change in estimates, including a change in the overall market value of the Company, could require reassessments of the items noted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4"/>
        </w:trPr>
        <w:tc>
          <w:tcPr>
            <w:tcW w:w="70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presented in the consolidated statements of</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short-term deposits classified as cash equivalents approximates their fair value due to the short maturity of these items.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June 28, 2025 and June 29, 2024 amounted to $11 million and $12 million, respectively; and $21 million and $24 million for the six months ended June 28, 2025 and June 29, 2024, respectively.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investment in U.S. government bonds is measured at fair value within Level 1 of the fair value hierarchy because they consist of U.S. government bonds for which quoted prices are available in an active market.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derivative instruments designated as hedging instruments are measured at fair value within Level 2 of the fair value hierarchy.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trade accounts receivable and accounts payable approximate fair value because of their generally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facilities, equipment, and supplies for research and development activities.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$19 million and $12 million were offset against research and development costs in the three months ended June 28, 2025 and June 29, 2024, respectively; and $45 million and $48 million were offset in the six months ended June 28, 2025 and June 29,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settlement.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As of June 28, 2025, the Company expects to reclassify all of its unrealized gains and losses from accumulated other comprehensive income (loss)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notional amount and fair value of outstanding derivatives at the end of each period were: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10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derivatives contracts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 assets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60" w:type="dxa"/>
            <w:vAlign w:val="bottom"/>
            <w:vMerge w:val="continue"/>
          </w:tcPr>
          <w:p>
            <w:pPr>
              <w:spacing w:after="0"/>
              <w:rPr>
                <w:sz w:val="12"/>
                <w:szCs w:val="12"/>
                <w:color w:val="auto"/>
              </w:rPr>
            </w:pPr>
          </w:p>
        </w:tc>
        <w:tc>
          <w:tcPr>
            <w:tcW w:w="110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w:t>
            </w:r>
          </w:p>
        </w:tc>
        <w:tc>
          <w:tcPr>
            <w:tcW w:w="2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54610</wp:posOffset>
            </wp:positionV>
            <wp:extent cx="1568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Amounts of gains (losses) reclassified from other comprehensive income (loss) into profit or loss are recorded in cost of revenue and operating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provision or benefit for those jurisdictions is recorded separately.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condensed consolidated financial statements has been calculated using the separate return method, as if the Company had filed its own tax returns.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a Tax Sharing Agreement with its Parent that establishes the amount of cash payable for the Company’s share of the tax liability owed on consolidated tax return filings with its Parent. Any differences between taxes currently payable to the Company’s Parent under the Tax Sharing Agreement and the current tax provision computed on a separate return basis, is reflected as adjustments to additional paid-in capital in the condensed consolidated statement of changes in equity and financing activities within the condensed consolidated statement of cash flows (see also Note 7).</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reflects tax loss and tax credit carry-forward attributes under the separate return method approach. Such tax attributes may not be benefited in the same period as the Company’s Parent on a consolidated tax return. As a result, there are inherent differences between the Company’s separate tax return method approach and certain actual tax returns filed on a consolidated basis with Intel.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money market funds, U.S. government bonds, derivative financial instruments, and also trade accounts receivable.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and Europe, as well as in Israel. Generally, these cash equivalents may be redeemed upon demand. Short-term bank deposits are held in the aforementioned banks. The money market funds consist of institutional investors money market funds and are readily redeemable to cash, and the U.S. government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As of June 28, 2025 and December 28, 2024, the credit loss allowance for trade accounts receivable was not material. For the three and six months ended June 28, 2025 and June 29, 2024, the charge-offs and recoveries in relation to the credit losses were not material.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related to customers that accounted for more than 10% of the Company’s total revenue and more than 10% of the total accounts receivable balance for each of the periods presented in these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a single supplier or limited suppliers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 See below regarding a shortage in EyeQ™ SoCs that the Company experienced during 2021 and 2022 and may experience in the future, including in ECUs for SuperVision™ and other components for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fiscal years 2021 and 2022, the semiconductor industry experienced widespread shortages of substrates and other components and available foundry manufacturing capacity. During 2021 and 2022, STMicroelectronics, our sole supplier of EyeQ™ SoCs, was not able to meet our demand for EyeQ™ SoCs, causing a significant reduction in the Company’s inventory levels. Starting in late 2022 and early 2023, such supply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ASU improves the transparency of income tax disclosures by requiring (1) consistent categories and greater disaggregation of information in the rate reconciliation and</w:t>
      </w:r>
    </w:p>
    <w:p>
      <w:pPr>
        <w:jc w:val="both"/>
        <w:ind w:firstLine="8"/>
        <w:spacing w:after="0" w:line="255"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disaggregated by jurisdiction. It also includes certain other amendments to improve the effectiveness of income tax disclosures. For public business entities, the ASU is effective for annual periods beginning after December 15, 2024. The Company is evaluating the potential impact of this guidance on its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 (Subtopic 220-40): Disaggregation of Income Statement Expense, and ASU 2025-01, Income Statement - Reporting Comprehensive Income - Expense Disaggregation Disclosures (Subtopic 220-40): Clarifying the Effective Date. The ASU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general and administrative, and research and development). The ASU is effective for annual reporting periods beginning after December 15, 2026, and interim periods within annual reporting periods beginning after December 15, 2027. Early adoption is permitted. The Company is evaluating the potential impact of this guidance on its consolidated financial statement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totaled $1 million and $1 million for the three months ended June 28, 2025 and June 29, 2024, respectively; and $2 million and $1 million for the six months ended June 28, 2025 and June 29,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40" w:type="dxa"/>
            <w:vAlign w:val="bottom"/>
            <w:tcBorders>
              <w:top w:val="single" w:sz="8" w:color="auto"/>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expenses totaled $18 million and $16 million for the three months ended June 28, 2025 and June 29, 2024, respectively; and $36 million and $30 million for the six months ended June 28, 2025 and June 29, 2024, respectively. During the six months ended June 28, 2025 and June 29, 2024, the Company derecognized the cost and accumulated depreciation of fully depreciated assets in the amount of $1 million and $7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Mobileye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2025, the stockholders of the Company approved the Amended and Restated Mobileye Global Inc. 2022 Equity Incentive Plan (“the 2022 Plan”). Equity awards under the 2022 Plan are granted for Class A shares and vest upon the satisfaction of a service-based vesting condition, mostly over service periods of three years.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six months ended June 28, 2025 for RSUs granted to Company’s employees under the 2022 Plan was as follows: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28,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28,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three months ended June 28, 2025 for RSUs granted to Company’s employees under the 2022 Plan was as follows: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29,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28,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28, 2025, the unrecognized compensation cost related to all unvested RSUs granted under the 2022 Plan, was $295 million, which is expected to be recognized as an expense over a weighted-average period of 1.91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 The activity of the Company’s employees for Intel’s options and RSUs was immaterial for the current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 (for both Mobileye and Intel Plans)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consolidated statements of operations and comprehensive income (loss)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Pr>
          <w:p>
            <w:pPr>
              <w:spacing w:after="0"/>
              <w:rPr>
                <w:sz w:val="12"/>
                <w:szCs w:val="12"/>
                <w:color w:val="auto"/>
              </w:rPr>
            </w:pPr>
          </w:p>
        </w:tc>
        <w:tc>
          <w:tcPr>
            <w:tcW w:w="96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earnings (loss)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0" w:type="dxa"/>
            <w:vAlign w:val="bottom"/>
          </w:tcPr>
          <w:p>
            <w:pPr>
              <w:spacing w:after="0"/>
              <w:rPr>
                <w:sz w:val="1"/>
                <w:szCs w:val="1"/>
                <w:color w:val="auto"/>
              </w:rPr>
            </w:pPr>
          </w:p>
        </w:tc>
      </w:tr>
      <w:tr>
        <w:trPr>
          <w:trHeight w:val="173"/>
        </w:trPr>
        <w:tc>
          <w:tcPr>
            <w:tcW w:w="484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basic and diluted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8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28, 2025 and June 29, 2024, the computation of diluted earnings (loss) per share attributable to common stockholders does not include 22.1 million and 15.4 million potential common shares, respectively; and 21.7 million and 15.2 million potential common shares for the six months ended June 28, 2025 and June 29, 2024, respectively, related to restricted stock units granted under the 2022 Plan to the Company’s employees, as the effect of their inclusion would have been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income tax benefit (provision) included in these condensed consolidated financial statements has been calculated using the separate return method, as if the Company had filed its own tax returns. Net operating losses generated by the Company that have been utilized as part of the Parent’s consolidated income tax return filings but have not been utilized by the Company under the separate return method approach, have been reflected in these condensed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Company has jurisdictions that have sustained recent losses based on the separate return method, a valuation allowance is required for deferred tax assets for which no benefit can be currently realized.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Provision for income tax in the six months ended June 28, 2025 was $9 million compared to a provision of $2 million in the six months ended June 29, 2024. The provision for income tax in the three months ended June 28, 2025, was $6 million compared to a provision of $5 million in the three months ended June 29, 2024. In both periods, the change is mainly related to a lower loss before income taxes.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For further description of the arrangements refer to Note 9 of the notes to the consolidated financial statements for the year ended December 28,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$3 million and $20 million for the three months ended June 28, 2025 and June 29, 2024, respectively, and $4 million and $25 million for the six months ended June 28, 2025 and June 29, 2024,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June 28, 2025 and June 29, 2024, were $0.6 million and $0.6 million, respectively, and $1.3 million and $1.2 million for the six months ended June 28, 2025 and June 29, 2024,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as well as paid for certain security related costs. Travel-related reimbursements and security-related costs totaled $0.2 million and $0.6 million for the three months ended June 28, 2025 and June 29, 2024, respectively, and $1.3 million and $1.3 million for the six months ended June 28, 2025 and June 29, 2024,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costs incurred under this agreement for the three months ended June 28, 2025 and June 29, 2024 were $0.4 million and $0.2 million, respectively, and $1.3 million and $1.7 million for the six months ended June 28, 2025 and June 29, 2024,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which the LiDAR Product Collaboration Agreement that we entered into in connection with the Mobileye IPO previously covered. Pursuant to the Technology and Services Agreement, the Company and Intel will agree to statements of work with additional terms for Technology Projects.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amounts incurred under this agreement for the three months ended June 28, 2025 and June 29, 2024 were $0.6 million and $1.1 million, respectively, and $1.1 million and $2.2 million for the six months ended June 28, 2025 and June 29,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On August 14, 2024, Mobileye and Intel entered into an Amended and Restated Tax Sharing Agreement, which incorporated certain clarifying amendments into the original Tax Sharing Agreement. As of June 28, 2025 and December 28, 2024, the related party payable to Intel, pursuant to the Tax Sharing Agreement were $0 million and $3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IDENTIFIED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220" w:type="dxa"/>
            <w:vAlign w:val="bottom"/>
            <w:gridSpan w:val="4"/>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46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28, 2025, the Company derecognized the cost and accumulated depreciation of fully depreciated intangible assets in the amount of $9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8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8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reportable operating segment and Moovit, which is a mobility-as-a-service company, is presented within “Other” as per ASC 280, Segment Reporting.</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CODM uses segment performance to allocate resources to segments in the annual budget and forecasting process and also uses that measure to assess the segment performance.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Segment performance is the operating income (loss) reported excluding the amortization of acquisition-related intangible assets, share-based compensation expense and impairment of goodwill. Starting in 2025, the measure of segment performance used by the CODM changed and as a result, the Company’s segment performance measure was updated to also exclude share-based compensation expenses (that were previously included in segment performance). The change aligns with segment information that is now regularly provided to the CODM and reflects how the CODM assesses segment performance and makes strategic decisions about the business. Prior period amounts have been recast as a result of the change in segment measure.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measure of assets has not been disclosed for each segment as it is not regularly provided to the CODM.</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consolidated financial statements for the fiscal year ended December 28,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Three months ended June 28, 2025</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2"/>
                <w:szCs w:val="12"/>
                <w:color w:val="auto"/>
              </w:rPr>
            </w:pPr>
          </w:p>
        </w:tc>
        <w:tc>
          <w:tcPr>
            <w:tcW w:w="6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25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2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2"/>
                <w:szCs w:val="12"/>
                <w:color w:val="auto"/>
              </w:rPr>
            </w:pPr>
          </w:p>
        </w:tc>
        <w:tc>
          <w:tcPr>
            <w:tcW w:w="6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25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2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Six months ended June 28, 2025</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7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7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4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90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0" w:type="dxa"/>
            <w:vAlign w:val="bottom"/>
          </w:tcPr>
          <w:p>
            <w:pPr>
              <w:spacing w:after="0"/>
              <w:rPr>
                <w:sz w:val="1"/>
                <w:szCs w:val="1"/>
                <w:color w:val="auto"/>
              </w:rPr>
            </w:pPr>
          </w:p>
        </w:tc>
      </w:tr>
      <w:tr>
        <w:trPr>
          <w:trHeight w:val="173"/>
        </w:trPr>
        <w:tc>
          <w:tcPr>
            <w:tcW w:w="3140" w:type="dxa"/>
            <w:vAlign w:val="bottom"/>
            <w:tcBorders>
              <w:bottom w:val="single" w:sz="8" w:color="CCEEFF"/>
            </w:tcBorders>
            <w:vMerge w:val="continue"/>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Slovakia</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5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p>
      <w:pPr>
        <w:jc w:val="both"/>
        <w:ind w:firstLine="324"/>
        <w:spacing w:after="0" w:line="211"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92% and 86% of our revenue for each of the three months ended June 28, 2025 and June 29, 2024, respectively, and 93% and 81% of our revenue for each of the six months ended June 28, 2025 and June 29,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080" w:type="dxa"/>
            <w:vAlign w:val="bottom"/>
            <w:gridSpan w:val="5"/>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70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1"/>
        </w:trPr>
        <w:tc>
          <w:tcPr>
            <w:tcW w:w="584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800" w:type="dxa"/>
            <w:vAlign w:val="bottom"/>
            <w:tcBorders>
              <w:top w:val="single" w:sz="8" w:color="auto"/>
            </w:tcBorders>
            <w:gridSpan w:val="2"/>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40" w:type="dxa"/>
            <w:vAlign w:val="bottom"/>
          </w:tcPr>
          <w:p>
            <w:pPr>
              <w:spacing w:after="0"/>
              <w:rPr>
                <w:sz w:val="11"/>
                <w:szCs w:val="11"/>
                <w:color w:val="auto"/>
              </w:rPr>
            </w:pPr>
          </w:p>
        </w:tc>
        <w:tc>
          <w:tcPr>
            <w:tcW w:w="1040" w:type="dxa"/>
            <w:vAlign w:val="bottom"/>
            <w:tcBorders>
              <w:top w:val="single" w:sz="8" w:color="auto"/>
            </w:tcBorders>
            <w:gridSpan w:val="5"/>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800" w:type="dxa"/>
            <w:vAlign w:val="bottom"/>
            <w:tcBorders>
              <w:top w:val="single" w:sz="8" w:color="auto"/>
            </w:tcBorders>
            <w:gridSpan w:val="2"/>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60" w:type="dxa"/>
            <w:vAlign w:val="bottom"/>
          </w:tcPr>
          <w:p>
            <w:pPr>
              <w:spacing w:after="0"/>
              <w:rPr>
                <w:sz w:val="11"/>
                <w:szCs w:val="11"/>
                <w:color w:val="auto"/>
              </w:rPr>
            </w:pPr>
          </w:p>
        </w:tc>
      </w:tr>
      <w:tr>
        <w:trPr>
          <w:trHeight w:val="173"/>
        </w:trPr>
        <w:tc>
          <w:tcPr>
            <w:tcW w:w="58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revenues: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104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32 %</w:t>
            </w:r>
          </w:p>
        </w:tc>
        <w:tc>
          <w:tcPr>
            <w:tcW w:w="300" w:type="dxa"/>
            <w:vAlign w:val="bottom"/>
          </w:tcPr>
          <w:p>
            <w:pPr>
              <w:spacing w:after="0"/>
              <w:rPr>
                <w:sz w:val="18"/>
                <w:szCs w:val="18"/>
                <w:color w:val="auto"/>
              </w:rPr>
            </w:pPr>
          </w:p>
        </w:tc>
        <w:tc>
          <w:tcPr>
            <w:tcW w:w="74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color w:val="auto"/>
              </w:rPr>
              <w:t>32 %</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104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19 %</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104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17 %</w:t>
            </w:r>
          </w:p>
        </w:tc>
        <w:tc>
          <w:tcPr>
            <w:tcW w:w="300" w:type="dxa"/>
            <w:vAlign w:val="bottom"/>
          </w:tcPr>
          <w:p>
            <w:pPr>
              <w:spacing w:after="0"/>
              <w:rPr>
                <w:sz w:val="18"/>
                <w:szCs w:val="18"/>
                <w:color w:val="auto"/>
              </w:rPr>
            </w:pPr>
          </w:p>
        </w:tc>
        <w:tc>
          <w:tcPr>
            <w:tcW w:w="74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13 %</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960" w:type="dxa"/>
            <w:vAlign w:val="bottom"/>
            <w:gridSpan w:val="11"/>
          </w:tcPr>
          <w:p>
            <w:pPr>
              <w:jc w:val="right"/>
              <w:ind w:right="273"/>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5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7"/>
        </w:trPr>
        <w:tc>
          <w:tcPr>
            <w:tcW w:w="5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80" w:type="dxa"/>
            <w:vAlign w:val="bottom"/>
            <w:gridSpan w:val="2"/>
          </w:tcPr>
          <w:p>
            <w:pPr>
              <w:spacing w:after="0"/>
              <w:rPr>
                <w:sz w:val="10"/>
                <w:szCs w:val="10"/>
                <w:color w:val="auto"/>
              </w:rPr>
            </w:pPr>
          </w:p>
        </w:tc>
      </w:tr>
      <w:tr>
        <w:trPr>
          <w:trHeight w:val="173"/>
        </w:trPr>
        <w:tc>
          <w:tcPr>
            <w:tcW w:w="5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accounts receivables balance:</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(expense), net. Money market funds, measured at fair value, consist of institutional investors money market funds and are readily redeemable to cash.</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U.S. dollars in millions</w:t>
            </w:r>
          </w:p>
        </w:tc>
        <w:tc>
          <w:tcPr>
            <w:tcW w:w="1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260" w:type="dxa"/>
            <w:vAlign w:val="bottom"/>
            <w:tcBorders>
              <w:bottom w:val="single" w:sz="8" w:color="auto"/>
            </w:tcBorders>
          </w:tcPr>
          <w:p>
            <w:pPr>
              <w:spacing w:after="0"/>
              <w:rPr>
                <w:sz w:val="12"/>
                <w:szCs w:val="12"/>
                <w:color w:val="auto"/>
              </w:rPr>
            </w:pPr>
          </w:p>
        </w:tc>
      </w:tr>
      <w:tr>
        <w:trPr>
          <w:trHeight w:val="131"/>
        </w:trPr>
        <w:tc>
          <w:tcPr>
            <w:tcW w:w="2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Other current</w:t>
            </w:r>
          </w:p>
        </w:tc>
      </w:tr>
      <w:tr>
        <w:trPr>
          <w:trHeight w:val="173"/>
        </w:trPr>
        <w:tc>
          <w:tcPr>
            <w:tcW w:w="2880" w:type="dxa"/>
            <w:vAlign w:val="bottom"/>
          </w:tcPr>
          <w:p>
            <w:pPr>
              <w:spacing w:after="0"/>
              <w:rPr>
                <w:sz w:val="15"/>
                <w:szCs w:val="15"/>
                <w:color w:val="auto"/>
              </w:rPr>
            </w:pPr>
          </w:p>
        </w:tc>
        <w:tc>
          <w:tcPr>
            <w:tcW w:w="22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5"/>
                <w:szCs w:val="15"/>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44</w:t>
            </w:r>
          </w:p>
        </w:tc>
      </w:tr>
      <w:tr>
        <w:trPr>
          <w:trHeight w:val="864"/>
        </w:trPr>
        <w:tc>
          <w:tcPr>
            <w:tcW w:w="2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60"/>
        </w:trPr>
        <w:tc>
          <w:tcPr>
            <w:tcW w:w="2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U.S. dollars in millions</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10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Other current</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center"/>
              <w:ind w:left="31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Non-marketable equity securities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a series of investment agreements with a privately held company, pursuant to which the Company agreed to purchase up to $25 million of preferred stock. In October 2024, the Company purchased $10 million of preferred stock in the privately held company. The Company no longer has an obligation to purchase additional preferred stock pursuant to the terms of the applicable preferred stock investment agreements.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2025, the privately held company entered into an agreement and plan of merger, pursuant to which a buyer has agreed to acquire the privately held company and merge the foregoing with a wholly-owned subsidiary of the buyer, subject to satisfaction by the parties of certain closing conditions. The amount of consideration the Company will receive for its shares of preferred stock will be approximately $10 million at closing of the merger and may increase subject to the release of additional consideration held in escrow pursuant to the terms of the agreement and plan of merger. In connection with the agreement and plan of merger, the Company entered into an amendment of certain preferred stock investment agreements pursuant to which the Company has the option but not the obligation, to purchase additional preferred stock prior to the closing of the agreement and plan of merger.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investment does not provide the Company the ability to control or have significant influence over the operations of the privately held company. We have accounted for the investment using the measurement alternative because the securities are not publicly traded and do not have a readily determinable fair value. Under the measurement alternative, the equity investment is initially recorded at its cost, but the carrying value may be adjusted through earnings upon an impairment or when there is an observable price change involving the same or a similar investment with the same issuer. As of June 28, 2025 and December 28, 2024, we recorded $10 million for our investment as other long-term assets. There was no impairment or other change to the value of the investment as of June 28, 2025 and December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We intend to defend the matter vigorously. No provision was recorded in the condensed consolidated financial statements as of June 28,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 - U.S. District Court for the Southern District of New York</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nominal defendant. On July 9th,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On April 25, 2025, the Court entered a stipulation and order of voluntary dismissal without prejudice. In the event the plaintiffs refile this lawsuit, we intend to continue defending the matter vigorously. No provision was recorded in the condensed consolidated financial statements as of June 28, 2025.</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 - State of Delaware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6, 2025, a derivative lawsuit captioned Levitan et al. vs. Shashua et al. was filed in the State of Delaware’s Court of Chancery against certain current and former members of the Mobileye Board of Directors and against Intel Corporation, in its capacity as Mobileye’s controlling shareholder. Mobileye was also named as a nominal defendant. The complaint principally asserts claims for breach of fiduciary duty against the named director defendants and breach of fiduciary duty and unjust enrichment against Intel, alleging that the named director defendants and Intel should not have authorized Mobileye’s June 5, 2023 secondary offering given their purported knowledge of the alleged challenges facing the Company concerning customer demand and the buildup of excess inventory by Mobileye’s Tier 1 customers. The complaint seeks unspecified damages and other relief. We intend to defend the matter vigorously. No provision was recorded in the condensed consolidated financial statements as of June 28, 2025.</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judgement that the Mobileye plaintiffs do not infringe either patent. On March 5, 2025, the Patent Trial and Appeal Board of the US Patent and Trademark Office instituted two Inter Parte Review (IPR) proceedings filed by Mobileye Vision Technologies Ltd. against the patents asserted by Facet. On March 15, 2025, the parties agreed and the relevant courts entered orders staying all litigation pending the outcome of the both IPRs. On March 19, 2025, Facet filed requests for reconsideration of both institution decisions. On April 22, 2025, the Patent Trial and Appeal Board denied Facet’s request for reconsideration in respect of one of the institution decisions. On May 2, 2025, the U.S. Patent and Trademark Office denied Facet’s request for Director Review of the second institution decision. We intend to defend the matter vigorously. No provision was recorded in the condensed consolidated financial statements as of June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 based compensation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2025, the Company’s compensation committee approved the issuance of restricted stock units to be issued under our 2022 Plan. The total aggregate fair value of RSUs granted was $329.0 million, which consisted of 19,735 thousand RSUs, which will vest over a service period of three years.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Secondary Offering. Share Repurchase, Option and Conversion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9, 2025, the Company announced the pricing of a public secondary offering of 50,000,000 shares of Class A common stock (which shares were received upon the conversion of 50,000,000 shares of Class B common stock into Class A common stock) by Intel at a public offering price of $16.50 per share (the “Secondary Offering”), with Intel granting the underwriters a 30-day option to purchase up to an additional 7,500,000 shares of Class A common stock (the “Option”). The Secondary Offering closed on July 11, 2025.</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and conditional upon the closing of the Secondary Offering, on July 11, 2025 the Company purchased from Intel 6,231,985 shares of Class A common stock (which shares were received upon the conversion of 6,231,985 shares of Class B common stock into Class A common stock) at a price of $16.04625 per share, which is equal to the per share purchase price paid by the underwriters in the Secondary Offering pursuant to a share repurchase agreement with Intel (the “Share Repurchase”). The aggregate consideration paid by the Company for the Share Repurchase was $100 million and is subject to a nondeductible excise tax of 1% pursuant to the Inflation Reduction Act of 2022. Upon closing of the Share Repurchase, the Company cancelled and retired the 6,231,985 shares of Class A common stock acquired pursuant to the Share Repurchase.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closing of the Share Repurchase, the underwriters exercised the Option (which shares were received upon the conversion of 7,500,000 shares of Class B common stock into Class A common stock), which closed on July 11, 2025. The Company did not sell any shares of Class A common stock in the Secondary Offering or in respect of the exercise of the Option and did not receive any proceeds from the sale of shares offered by Intel.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and conditional upon the closing of the Secondary Offering, Intel voluntarily converted pursuant to the Company’s Amended and Restated Certificate of Incorporation an additional 50,000,000 shares of Class B common stock to Class A common stock (the “Conversion”). The shares issued to Intel pursuant to the Conversion were issued pursuant to an exemption from registration pursuant to Section 3(a)(9) of the U.S. Securities Act of 1933. The Company received no proceeds from issuance of shares in the Conversion.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paid the costs associated with the registration of shares in connection with the Secondary Offering and Option, other than underwriting discounts, fees and commissions.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Upon completion of the Secondary Offering, Share Repurchase, Option and Conversion and as of July 15, 2025, Intel continues to directly or indirectly hold all of the Class B common stock of Mobileye as well as 50,000,000 shares of Class A common stock, which together represent approximately 79.6% of our outstanding common stock and 97.3% of the voting power of our common stock.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Secondary Offering, Share Repurchase, Option and Conversion, the Company anticipates that from a U.S. income tax perspective, Intel may no longer hold a sufficient percentage of the Company’s issued and outstanding common stock, which may result in the deconsolidation of the Company from Intel’s U.S. domestic income tax return. The Company is evaluating the potential impact that such a deconsolidation may have on its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As of June 28, 2025, our solutions had been installed in approximately 1,200 vehicle models (including local country, year, and other vehicle model variations), and our System-on-Chips (“SoCs”) had been deployed in approximately 220 million vehicles. We are actively working with more than 50 Original Equipment Manufacturers (“OEMs”) worldwide on the implementation of our ADAS solutions. In the six months ended June 28, 2025, we shipped approximately 18.1 million of our systems, the substantial majority of which were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This represents an increase from the approximately 11.2 million of our systems that we shipped in the six months ended June 29, 2024, primarily due to the normalization of excess inventory at our Tier 1 customers that was previously used to satisfy demand during 2024.</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to which both Israel and the United States have responded. Further, on April 13, 2024 and October 1, 2024, Iran launched a series of drone and missile strikes against Israel, to which Israel has responded. Most recently, on June 13, 2025, Israel launched a preemptive attack on Iran, to which Iran responded with ballistic missile and drone attacks. On June 23, 2025, Israel and Iran agreed to a ceasefire, although there is no assurance that the ceasefire will continue. 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 To date, our operations have not been materially affected, although as of July 15, 2025 approximately 6.7% of our employees have been called to reserve duty in the Israel Defense Forces. We expect that the current conflict in the Gaza Strip, Lebanon, Iran and the broader region as well as the security escalation in Israel will not have a material impact on our business results in the short term. However, since these are events beyond our control, their continuation or cessation may affect our expectations. We continue to monitor political and military developments closely and examine the consequences for our operations and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Share Repurchase, Option and Conversion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9, 2025, the Company announced the pricing of a public secondary offering of 50,000,000 shares of Class A common stock (which shares were received upon the conversion of 50,000,000 shares of Class B common stock into Class A common stock) by Intel at a public offering price of $16.50 per share (the “Secondary Offering”), with Intel granting the underwriters a 30-day option to purchase up to an additional 7,500,000 shares of Class A common stock (the “Option”). The Secondary Offering closed on July 11, 2025.</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and conditional upon the closing of the Secondary Offering, on July 11, 2025 the Company purchased from Intel 6,231,985 shares of Class A common stock (which shares were received upon the conversion of 6,231,985 shares of Class B common stock into Class A common stock) at a price of $16.04625 share, which is equal to the per share purchase price paid by the underwriters in the Secondary Offering pursuant to a share repurchase agreement with Intel (the “Share Repurchase”). The aggregate consideration paid by the Company for the Share Repurchase was $100 million. Upon closing of the Share Repurchase, the Company cancelled and retired the 6,231,985 shares of Class A common stock acquired pursuant to the Share Repurchase.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closing of the Share Repurchase, the underwriters exercised the Option (which shares were received upon the conversion of 7,500,000 shares of Class B common stock into Class A common stock), which closed on July 11, 2025. The Company did not sell any shares of Class A common stock in the Secondary Offering or in respect of the exercise of the Option, and did not receive any proceeds from the sale of shares offered by Intel in each instance.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and conditional upon the closing of the Secondary Offering, Intel voluntarily converted pursuant to the Company’s Amended and Restated Certificate of Incorporation an additional 50,000,000 shares of Class B common stock to Class A common stock (the “Conversion”). The shares issued to Intel pursuant to the Conversion were issued pursuant to an exemption from registration pursuant to Section 3(a)(9) of the U.S. Securities Act of 1933. The Company received no proceeds from issuance of shares in the Conversion.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the costs associated with the registration of shares in connection with the Secondary Offering and the Option, other than underwriting discounts, fees and commissions.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completion of the Secondary Offering, Share Repurchase, Option and Conversion, Intel continues to directly or indirectly hold all of the Class B common stock of Mobileye as well as 50,000,000 shares of Class A common stock, which together represent approximately 79.6% of our outstanding common stock and 97.3% of the voting power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In the future, propelled by our next generation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including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SoC, our Compound AI system architecture, including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surround computer vision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solution, and our software-defined imaging radars, we believe that we will be positioned to deliver an autonomous driving solution that can enable the mass adoption of AV.</w:t>
      </w:r>
    </w:p>
    <w:p>
      <w:pPr>
        <w:spacing w:after="0" w:line="19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29" w:lineRule="exact"/>
        <w:rPr>
          <w:sz w:val="20"/>
          <w:szCs w:val="20"/>
          <w:color w:val="auto"/>
        </w:rPr>
      </w:pPr>
    </w:p>
    <w:p>
      <w:pPr>
        <w:jc w:val="both"/>
        <w:ind w:firstLine="324"/>
        <w:spacing w:after="0" w:line="210"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with STMicroelectronics,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have also established relationships with several suppliers, such as Quanta Computer, to develop and assemble our ECUs, including the design for our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which includes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SoCs manufactured by STMicroelectronics. As part of an effort to establish redundancy and better control of our supply chain, we have sought additional qualified suppliers, and we have recently entered into an agreement with TSMC (Taiwan Semiconductor Manufacturing Company Ltd.) pursuant to which it will manufacture components of our imaging radar and some of our future generations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 and potentially other future products.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16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and inflation may contribute to a reduction in consumer demand.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our customers used the vast majority of this excess customer inventory in 2024, in accordance with our expectations, but there is no guarantee that orders will remain normalized or that customers won’t build up excess inventory in the future. ADAS volumes have grown faster in recent years than the overall automotive market as ADAS penetration rates have increased, and we believe that we will continue to benefit from that trend. Our revenue of $944 million in the six months ended June 28, 2025 was up 39% year-over-year, primarily due to the unusually low volume caused by the usage of meaningful excess inventory at our Tier 1 customers to satisfy demand in the first half of 2024.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policies, sanctions and import and export controls. </w:t>
      </w:r>
      <w:r>
        <w:rPr>
          <w:rFonts w:ascii="Times New Roman" w:cs="Times New Roman" w:eastAsia="Times New Roman" w:hAnsi="Times New Roman"/>
          <w:sz w:val="18"/>
          <w:szCs w:val="18"/>
          <w:color w:val="auto"/>
        </w:rPr>
        <w:t>Trade policies, sanctions and import and export controls. Trade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raw components or raw materials or impede or slow the movement of our goods across borders. In addition, tariffs could lead to higher prices for finished automobiles, which would reduce demand for automobiles and thus the market for our products. On March 26, 2025, the United States imposed an additional 25% tariff on all imports of passenger vehicles, light vehicles, and certain automotive parts, such as engines, transmissions, powertrain parts and electrical components. The tariff on finished vehicles went into effect on April 3, 2025 and the tariffs on automobile parts entered into effect on May 3, 2025. Further, on April 2, 2025, the United States announced a 10% tariff on all countries effective on April 5, 2025 as well as individualized higher tariff rates on countries with which the United States has proportionately large trade deficits in goods. The United States paused these “reciprocal tariffs” on certain countries as individual bilateral trade deals were negotiated, and increased reciprocal tariff rates and other restrictions on countries that responded with increased tariffs of their own. Subsequently, the United States announced trade deals with certain countries, such as Indonesia, and interim trade deals with others, including China, as negotiations with such countries for definitive trade deals continued. In July 2025, the United States announced tariffs on certain countries and other entities, including Mexico, Canada and the European Union, that failed to make substantial progress on trade negotiations with the United States following the pause on reciprocal tariffs; such tariffs are scheduled to become effective on August 1, 2025. Further, the United States announced on July 8, 2025 additional sector tariffs, including on copper imports. As of the date of this report, there remains a high degree of uncertainty surrounding U.S. trade policy, how it will be implemented, how other countries will react, and how it will ultimately impact our industry and business. For example, our customers may have shifted or will shift orders for components and parts, including our solutions, prior to the automotive tariffs going into effect on May 3, 2025 or certain country or regional tariffs going into effect on August 1, 2025, thereby shifting demand for our solutions and corresponding revenue to earlier periods. While we continually evaluate changes in U.S. trade policy and global reactions thereto, as well as our ability to mitigate their impact, these recent changes may negatively impact our customers and our business. For additional information, see “Item IA - Risk Factors - We are subject to risk related to trade policies, sanctions, and import and export controls” in our 2024 Form 10-K, as filed with the SEC on February 13, 2024 (the “2024 Form 10-K”).</w:t>
      </w:r>
    </w:p>
    <w:p>
      <w:pPr>
        <w:spacing w:after="0" w:line="184"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 ways to improve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 For example, in the third quarter of 2024 Zeekr announced their decision to utilize their in-house system instead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at least a major portion of production for their 001 model going forward.</w:t>
      </w:r>
    </w:p>
    <w:p>
      <w:pPr>
        <w:spacing w:after="0" w:line="143"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1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 including robotaxi services,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2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 revenue and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carry significantly higher prices as compared to our single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advanced solutions become a larger portion of our product mix.</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and manufacturing capacity. </w:t>
      </w:r>
      <w:r>
        <w:rPr>
          <w:rFonts w:ascii="Times New Roman" w:cs="Times New Roman" w:eastAsia="Times New Roman" w:hAnsi="Times New Roman"/>
          <w:sz w:val="17"/>
          <w:szCs w:val="17"/>
          <w:color w:val="auto"/>
        </w:rPr>
        <w:t>Our solutions are dependent on the global semiconductor supply chain. The continued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on our balance sheet as a result of the limited supply during 2021. Further, STMicroelectronics, our sole supplier of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was not able to meet our demand for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during 2022, causing a further significant reduction in our company-owned inventory level.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or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ECUs on hand. As a result, we are substantially reliant on timely shipments of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14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expenses. </w:t>
      </w:r>
      <w:r>
        <w:rPr>
          <w:rFonts w:ascii="Times New Roman" w:cs="Times New Roman" w:eastAsia="Times New Roman" w:hAnsi="Times New Roman"/>
          <w:sz w:val="18"/>
          <w:szCs w:val="18"/>
          <w:color w:val="auto"/>
        </w:rPr>
        <w:t>In connection with the Mobileye IPO, we established an equity incentive plan for purposes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to be based on their original vesting schedules. Equity compensation has been, and will continue to be, an important part of our future compensation strategy and a significant component of our future expenses, which we expect to increase over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94"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92% and 86% of our revenue for the three months ended June 28, 2025 and June 29, 2024, respectively, and 93% and 81% of our revenue in the six months ended June 28, 2025 and June 29, 2024, respectively. Sales of our SuperVision™ product represented less than half of the remainder of our revenue for the three and six months ended June 28, 2025 and the majority of the remainder of our revenue for the three and six months ended June 29, 2024.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1" w:lineRule="exact"/>
        <w:rPr>
          <w:sz w:val="20"/>
          <w:szCs w:val="20"/>
          <w:color w:val="auto"/>
        </w:rPr>
      </w:pPr>
    </w:p>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our SuperVision™ product,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83"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generations, Premium Driver-Assist offerings and the investment in software and hardware infrastructure for our AV solutions and active sensor suite.</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to moderately increase in absolute dollars but to decrease as a percentage of total revenue as our business grows. The expected increase is mainly associated with the costs related to being a public company,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income (expense), net, consists primarily of income related to investments in money market funds, as well as income from short term deposits, fair value revaluation of equity investments and fluctuations in value due to foreign exchange differences between our monetary assets and liabilities denominated in New Israeli Shekels and to a much lesser extent, the Euro, the Chinese Yuan, the Japanese Yen, and other currencies.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in which we operate. The Company is a constituent entity of its Parent for Pillar Two purposes.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2025, the United States enacted tax reform through the One Big Beautiful Bill Act (“OBBBA”). Included in this legislation are provisions that allow for the immediate expensing of research and development conducted in the United States, immediate expensing of certain capital expenditures, and other changes to the U.S. taxation of profits derived from foreign operations. The Company is assessing the impact of this new legislation on its future consolidated financial statements.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periods presented in our condensed consolidated financial statements, certain components of our business operations were included in the consolidated U.S. tax return filed by Intel. We also file certain foreign income tax returns on a separate basis, distinct from Intel. The income tax provision included in our condensed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income tax return method approach. The use of the separate return method may result in differences between our income tax provision compared to Intel’s consolidated income tax provision.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that we have not benefited from due to a valuation allowance position. If warranted, based on the assessment of verifiable evidence in support of the realization of deferred tax assets, the valuation allowances may be released, resulting in a tax benefit.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relates to U.S. branch deferred tax assets not currently expected to be realized given that we have sustained recent losses based on the separate return method.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condensed consolidated financial statements because the Company will recognize a benefit based on the separate return method when determined to be realizable.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Secondary Offering, Share Repurchase, Option and Conversion, the Company anticipates that from a U.S. income tax perspective, Intel may no longer hold a sufficient percentage of the Company’s issued and outstanding common stock, which may result in the deconsolidation of the Company from Intel’s U.S. domestic income tax return. The Company is evaluating the potential impact that such a deconsolidation may have on its future Consolidated Financial Statements, as well as in respect of the Tax Sharing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440" w:type="dxa"/>
            <w:vAlign w:val="bottom"/>
            <w:gridSpan w:val="3"/>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440" w:type="dxa"/>
            <w:vAlign w:val="bottom"/>
            <w:gridSpan w:val="3"/>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4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4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gridSpan w:val="2"/>
            <w:vMerge w:val="continue"/>
          </w:tcPr>
          <w:p>
            <w:pPr>
              <w:spacing w:after="0"/>
              <w:rPr>
                <w:sz w:val="15"/>
                <w:szCs w:val="15"/>
                <w:color w:val="auto"/>
              </w:rPr>
            </w:pPr>
          </w:p>
        </w:tc>
        <w:tc>
          <w:tcPr>
            <w:tcW w:w="9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gridSpan w:val="2"/>
            <w:vMerge w:val="continue"/>
          </w:tcPr>
          <w:p>
            <w:pPr>
              <w:spacing w:after="0"/>
              <w:rPr>
                <w:sz w:val="15"/>
                <w:szCs w:val="15"/>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gridSpan w:val="2"/>
            <w:vMerge w:val="continue"/>
          </w:tcPr>
          <w:p>
            <w:pPr>
              <w:spacing w:after="0"/>
              <w:rPr>
                <w:sz w:val="15"/>
                <w:szCs w:val="15"/>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24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gridSpan w:val="2"/>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of acquired intangible assets</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24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gridSpan w:val="2"/>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28, 2025 and June 29,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24"/>
        <w:spacing w:after="0" w:line="212" w:lineRule="auto"/>
        <w:rPr>
          <w:sz w:val="20"/>
          <w:szCs w:val="20"/>
          <w:color w:val="auto"/>
        </w:rPr>
      </w:pPr>
      <w:r>
        <w:rPr>
          <w:rFonts w:ascii="Times New Roman" w:cs="Times New Roman" w:eastAsia="Times New Roman" w:hAnsi="Times New Roman"/>
          <w:sz w:val="18"/>
          <w:szCs w:val="18"/>
          <w:color w:val="auto"/>
        </w:rPr>
        <w:t>In the three months ended June 28, 2025, revenue increased by $67 million, or 15%, compared to the three months ended June 29, 2024. This increase in revenue was primarily due to an increase of $91 million or 24%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mostly attributable to a 28% increase in volume, resulting from higher customer demand and from the normalization of excess inventory by our Tier 1 customers that was previously used to satisfy demand during the first half of 2024. This was partially offset by a decrease of $23 million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decreased by approximately 9%, primarily due to the lower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second quarter of 2024.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02" w:lineRule="auto"/>
        <w:rPr>
          <w:sz w:val="20"/>
          <w:szCs w:val="20"/>
          <w:color w:val="auto"/>
        </w:rPr>
      </w:pPr>
      <w:r>
        <w:rPr>
          <w:rFonts w:ascii="Times New Roman" w:cs="Times New Roman" w:eastAsia="Times New Roman" w:hAnsi="Times New Roman"/>
          <w:sz w:val="18"/>
          <w:szCs w:val="18"/>
          <w:color w:val="auto"/>
        </w:rPr>
        <w:t>In the six months ended June 28, 2025, revenue increased by $266 million, or 39%, compared to the six months ended June 29, 2024. This increase was primarily due to an increase of $330 million, or 60%,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attributable mainly to a 63% increase in volume, resulting mainly from the normalization of excess inventory by our Tier 1 customers that was previously used to satisfy demand during the first half of 2024. This was partially offset by a decrease of $66 million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decreased by 13%, due to lower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six months ended June 29, 2024.</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In the three months ended June 28, 2025, our cost of revenue increased by $24 million, or 10% compared to the three months ended June 29, 2024. In the six months ended June 28, 2025, our cost of revenue increased by $70 million, or 17%, compared to the six months ended June 29, 2024. In both periods, the increase is attributed to manufacturing costs, mainly resulting from the growth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which was partially offset by the decrease in sales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8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In the three months ended June 28 2025, our gross profit increased by $43 million, or 21% compared to the three months ended June 29, 2024. In the six months ended June 28 2025, our gross profit increased by $196 million, or 75%, compared to the six months ended June 29, 2024. The increase in both periods was primarily due to the increase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which was slightly offset by the decrease in sales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three months ended June 28 2025, our gross margin increased to 50% compared to 48% in the three months ended June 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the six months ended June 28, 2025, our gross margin increased to 49% compared to 39% in the six months ended June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increase in both periods was primarily due to the lower impact of amortization of intangible assets as a percentage of revenue.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in the three months ended June 28, 2025, increased by $26 million, or 10%, compared to the three months ended June 29, 2024. This increase was primarily due to an increase in payroll and related expenses, resulting mainly from an increase in average research and development headcount of 131 employees, as well as higher share-based compensation expenses. This was partially offset by an increase in NRE reimbursements influenced by the projects’ progress and timing.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in the six months ended June 28, 2025 increased by $58 million, or 12%, compared to the six months ended June 29, 2024. This increase was mainly due to an increase in payroll and related expenses, resulting from an increase in average research and development headcount of 135 employees, as well as an increase in share-based compensation. Additionally, there was an increase in depreciation costs associated with additional sites.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three months ended June 28, 2025, decreased by $3 million or 11% compared to the three months ended June 29, 2024, mainly due to lower marketing expenses.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 the six months ended June 28, 2025, decreased by $6 million or 10% compared to the six months ended June 29, 2024. This decrease is mainly associated with a decrease in payroll and related expenses due to the wind down of the after market division that took place in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remained flat in the three months ended June 28, 2025 compared to the three months ended June 29, 2024.</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six months ended June 28, 2025 increased by $3 million or 9%, compared to the six months ended June 29, 2024. This increase was primarily due to an increase in legal and corporate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income, net, remained flat in the three months ended June 28, 2025 compared to the three months ended June 29, 2024. Financial income, net, in the six months ended June 28, 2025 increased by $1 million, or 3%, compared to the six months ended June 29, 2024, due to an increase in interest income, which was partially offset by the impact of fluctuations in foreign exchange rates.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three months ended June 28, 2025 provision for income tax was $6 million, compared to a $5 million provision for income tax in the three months ended June 29, 2024. In the six months ended June 28, 2025, provision for income tax was $9 million, compared to a $2 million provision for income tax in the six months ended June 29, 2024. In both periods, the change is mainly related to a lower loss before income taxes compared to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departments, investments attributable to new product development, as well as for funding our capital expenditures. Our capital expenditures have related mainly to data storage and other computer related equipment, expenditure related to research and development projects and to the construction of new sites, and were $28 million and $46 million for the six months ended June 28, 2025 and June 29, 2024, respectively.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We expect our total capital expenditures for 2025 to be similar compared to our total capital expenditures in 2024. We continue to invest in equipment related to the development of our next generation products. Our future capital requirements will depend on many factors, including our growth rate and the timing and extent of operating expenses.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cash flow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28, 2025 compared to the six months ended June 29, 2024, the $252 million increase in cash provided by operating activities was mainly due to a decrease in net loss and a decrease in inventories compared to an increase in prior year period, partially offset by a slight increase in trade accounts receivable compared to a decrease in prior year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six months ended June 28, 2025 and June 29, 2024 was $39 million and $64 million, respectively, consisting of capital expenditures and debt investments.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(used in) financing activities in the six months ended June 28, 2025 and June 29, 2024 was $0 million and $11 million, respectively, consisting of share-based compensation recharge payments made to Intel.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Severance pay liability increased from $62 million as of December 28, 2024, to $69 million as of June 28, 2025, mainly due to the impact of fluctuations in foreign exchange rates.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increased from $50 million as of December 28, 2024 to $56 million as of June 28, 2025, reflecting mainly new lease contracts and foreign currency exchange effects, partially offset by the progress in lease payments for existing arrangements.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$19 million as of June 28, 2025 (denominated in New Israeli Shekels) mainly in connection with lease agreements and import of vehicles.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2"/>
                <w:szCs w:val="12"/>
                <w:color w:val="auto"/>
              </w:rPr>
            </w:pPr>
          </w:p>
        </w:tc>
        <w:tc>
          <w:tcPr>
            <w:tcW w:w="1760" w:type="dxa"/>
            <w:vAlign w:val="bottom"/>
            <w:gridSpan w:val="4"/>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  % of Revenue</w:t>
            </w:r>
          </w:p>
        </w:tc>
        <w:tc>
          <w:tcPr>
            <w:tcW w:w="200" w:type="dxa"/>
            <w:vAlign w:val="bottom"/>
          </w:tcPr>
          <w:p>
            <w:pPr>
              <w:spacing w:after="0"/>
              <w:rPr>
                <w:sz w:val="12"/>
                <w:szCs w:val="12"/>
                <w:color w:val="auto"/>
              </w:rPr>
            </w:pPr>
          </w:p>
        </w:tc>
        <w:tc>
          <w:tcPr>
            <w:tcW w:w="6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Gross Profit and</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6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40" w:type="dxa"/>
            <w:vAlign w:val="bottom"/>
          </w:tcPr>
          <w:p>
            <w:pPr>
              <w:spacing w:after="0"/>
              <w:rPr>
                <w:sz w:val="15"/>
                <w:szCs w:val="15"/>
                <w:color w:val="auto"/>
              </w:rPr>
            </w:pPr>
          </w:p>
        </w:tc>
        <w:tc>
          <w:tcPr>
            <w:tcW w:w="13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69 % $</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69 %$</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40" w:type="dxa"/>
            <w:vAlign w:val="bottom"/>
          </w:tcPr>
          <w:p>
            <w:pPr>
              <w:spacing w:after="0"/>
              <w:rPr>
                <w:sz w:val="15"/>
                <w:szCs w:val="15"/>
                <w:color w:val="auto"/>
              </w:rPr>
            </w:pPr>
          </w:p>
        </w:tc>
        <w:tc>
          <w:tcPr>
            <w:tcW w:w="130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69 % $</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160" w:type="dxa"/>
            <w:vAlign w:val="bottom"/>
          </w:tcPr>
          <w:p>
            <w:pPr>
              <w:spacing w:after="0"/>
              <w:rPr>
                <w:sz w:val="15"/>
                <w:szCs w:val="15"/>
                <w:color w:val="auto"/>
              </w:rPr>
            </w:pPr>
          </w:p>
        </w:tc>
        <w:tc>
          <w:tcPr>
            <w:tcW w:w="1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67 %</w:t>
            </w:r>
          </w:p>
        </w:tc>
        <w:tc>
          <w:tcPr>
            <w:tcW w:w="0" w:type="dxa"/>
            <w:vAlign w:val="bottom"/>
          </w:tcPr>
          <w:p>
            <w:pPr>
              <w:spacing w:after="0"/>
              <w:rPr>
                <w:sz w:val="1"/>
                <w:szCs w:val="1"/>
                <w:color w:val="auto"/>
              </w:rPr>
            </w:pPr>
          </w:p>
        </w:tc>
      </w:tr>
      <w:tr>
        <w:trPr>
          <w:trHeight w:val="225"/>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3"/>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and Adjusted Gross Margin will decrease over time because of the greater hardware content included in our solutions. However, as a result of a higher expected selling price for such systems, we expect our gross profit per unit will increase on a dollar basis.</w:t>
      </w:r>
    </w:p>
    <w:p>
      <w:pPr>
        <w:spacing w:after="0" w:line="202"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Our Adjusted Gross Margin remained flat in the three months ended June 29, 2024 compared to the three months ended June 28, 2025, primarily due to an increase in the percentage of revenue attributable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which was offset by a slight reduction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ASP, mainly due to higher volumes in China.</w:t>
      </w:r>
    </w:p>
    <w:p>
      <w:pPr>
        <w:spacing w:after="0" w:line="86"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Our Adjusted Gross Margin increased from 67% for the six months ended June 29, 2024 to 69% for the six months ended June 28, 2025. This increase was primarily due to an increase in the percentage of revenue attributable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which was offset by a slight reduction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ASP, mainly due to higher volumes in China.</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 and Margin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(Loss) as operating income (loss) presented in accordance with GAAP, adjusted to exclude amortization of acquisition related intangibles and share-based compensation expenses. Operating Margin is calculated as operating income (loss) divided by total revenue, and Adjusted Operating Margin is calculated as Adjusted Operating Income (Loss) divided by total revenue.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(Loss) and the calculations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and Adjusted Operating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Pr>
          <w:p>
            <w:pPr>
              <w:spacing w:after="0"/>
              <w:rPr>
                <w:sz w:val="12"/>
                <w:szCs w:val="12"/>
                <w:color w:val="auto"/>
              </w:rPr>
            </w:pPr>
          </w:p>
        </w:tc>
        <w:tc>
          <w:tcPr>
            <w:tcW w:w="1760" w:type="dxa"/>
            <w:vAlign w:val="bottom"/>
            <w:gridSpan w:val="5"/>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060" w:type="dxa"/>
            <w:vAlign w:val="bottom"/>
            <w:gridSpan w:val="3"/>
          </w:tcPr>
          <w:p>
            <w:pPr>
              <w:jc w:val="center"/>
              <w:ind w:left="9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440" w:type="dxa"/>
            <w:vAlign w:val="bottom"/>
            <w:gridSpan w:val="3"/>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6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80" w:type="dxa"/>
            <w:vAlign w:val="bottom"/>
          </w:tcPr>
          <w:p>
            <w:pPr>
              <w:spacing w:after="0"/>
              <w:rPr>
                <w:sz w:val="12"/>
                <w:szCs w:val="12"/>
                <w:color w:val="auto"/>
              </w:rPr>
            </w:pPr>
          </w:p>
        </w:tc>
        <w:tc>
          <w:tcPr>
            <w:tcW w:w="156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 of Revenue</w:t>
            </w:r>
          </w:p>
        </w:tc>
        <w:tc>
          <w:tcPr>
            <w:tcW w:w="18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8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9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Operating Income (Loss) and</w:t>
            </w:r>
          </w:p>
        </w:tc>
        <w:tc>
          <w:tcPr>
            <w:tcW w:w="1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5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(191)</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Operating Income and</w:t>
            </w: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940" w:type="dxa"/>
            <w:vAlign w:val="bottom"/>
            <w:vMerge w:val="continue"/>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60" w:type="dxa"/>
            <w:vAlign w:val="bottom"/>
          </w:tcPr>
          <w:p>
            <w:pPr>
              <w:spacing w:after="0"/>
              <w:rPr>
                <w:sz w:val="15"/>
                <w:szCs w:val="15"/>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60" w:type="dxa"/>
            <w:vAlign w:val="bottom"/>
          </w:tcPr>
          <w:p>
            <w:pPr>
              <w:spacing w:after="0"/>
              <w:rPr>
                <w:sz w:val="15"/>
                <w:szCs w:val="15"/>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25"/>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4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loss decreased from $(94) million in the three months ended June 29, 2024 to $(74) in three months ended June 28, 2025, mainly due to an increase in gross profit, partially offset by higher operating expenses.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loss decreased from $(332) in the six months ended June 29, 2024 to $(191) in the six months ended June 28, 2025, mainly due to the increase in revenue, partially offset by higher operating expenses.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Income increased by $27 million in the three months ended June 28, 2025 compared to the three months ended June 29, 2024, and by $151 million in the six months ended June 28, 2025 compared to the six months ended June 29, 2024. The increase in both periods was mainly due to the increase in revenue partially offset by an increase in operating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Margin increased from 18% for the three months ended June 29, 2024 to 21% for the three months ended June 28, 2025. Our Adjusted Operating Margin increased from 2% for the six months ended June 29, 2024 to 17% for the six months ended June 28, 2025. The increase in both periods is mainly due to lower operating expenses as a percentage of revenue.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Pr>
          <w:p>
            <w:pPr>
              <w:spacing w:after="0"/>
              <w:rPr>
                <w:sz w:val="12"/>
                <w:szCs w:val="12"/>
                <w:color w:val="auto"/>
              </w:rPr>
            </w:pPr>
          </w:p>
        </w:tc>
        <w:tc>
          <w:tcPr>
            <w:tcW w:w="1760" w:type="dxa"/>
            <w:vAlign w:val="bottom"/>
            <w:gridSpan w:val="5"/>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060" w:type="dxa"/>
            <w:vAlign w:val="bottom"/>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440" w:type="dxa"/>
            <w:vAlign w:val="bottom"/>
            <w:gridSpan w:val="3"/>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80" w:type="dxa"/>
            <w:vAlign w:val="bottom"/>
          </w:tcPr>
          <w:p>
            <w:pPr>
              <w:spacing w:after="0"/>
              <w:rPr>
                <w:sz w:val="12"/>
                <w:szCs w:val="12"/>
                <w:color w:val="auto"/>
              </w:rPr>
            </w:pPr>
          </w:p>
        </w:tc>
        <w:tc>
          <w:tcPr>
            <w:tcW w:w="156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 of Revenue</w:t>
            </w:r>
          </w:p>
        </w:tc>
        <w:tc>
          <w:tcPr>
            <w:tcW w:w="18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740" w:type="dxa"/>
            <w:vAlign w:val="bottom"/>
            <w:tcBorders>
              <w:top w:val="single" w:sz="8" w:color="auto"/>
            </w:tcBorders>
            <w:gridSpan w:val="5"/>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   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(169)</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three months ended June 28, 2025 ended with a net loss of $(67) million compared to a $(86) million net loss in the three months ended June 29, 2024. Our net loss decreased by $135 million in the six months ended June 28, 2025, compared to the six months ended June 29, 2024. The decrease in net loss in both periods is mainly due to an increase in gross profit partially offset by higher operating expenses.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Adjusted Net Income increased by $26 million in the three months ended June 28, 2025, compared to the three months ended June 29, 2024. Our Adjusted Net Income increased by $144 million in the six months ended June 28, 2025, compared to the six months ended June 29, 2024. The increase in both periods is primarily due to the increase in Adjusted Gross Profit, partially offset by an increase in operating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Note 2, “Significant Accounting Policies” of the Notes to the condensed consolidated Financial Statements in Part I, Item 1 of this Form 10-Q and in the Notes to the Consolidated Financial Statements in Part II, Item 8 of the 2024 Form 10-K describe the significant accounting policies and methods used in the preparation of the Company’s condensed consolidated financial statements. There have been no material changes to the Company’s critical accounting estimates since the 2024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right="20" w:firstLine="656"/>
        <w:spacing w:after="0" w:line="282" w:lineRule="auto"/>
        <w:tabs>
          <w:tab w:leader="none" w:pos="9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of macroeconomic conditions due to ongoing global economic and political uncertainty (as our current guidance assumes the estimated production and/or demand impact of current tariff conditions);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and trade policy, including increased tariffs, in regions in which we operate, including the U.S., Europe and China;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in connection with the Israeli military operations in response to the October 7, 2023 terrorist attacks or the conflict between Israel and Iran, which may affect our operations and may limit our ability to produce and sell our solutions;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report and under the sections entitled “Risk Factors,” “Management’s Discussion and Analysis of Financial Condition and Results of Operations” and “Business,” in our 2024 Form 10-K.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in our 2024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2024 Form 10-K.</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investments in money market funds, U.S. government bonds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June 28, 2025 and December 28, 2024, our investment in money market funds was $1,003 million and $951 million, respectively; our U.S. government bonds were $44 million and $33 million, respectively; and our short term deposits were $649 million and $419 million, respectively.</w:t>
      </w:r>
    </w:p>
    <w:p>
      <w:pPr>
        <w:spacing w:after="0" w:line="1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initiated a foreign currency cash flow hedging program, designed to hedge the Company’s foreign exchange rate risk, resulting mainly from ILS payroll expenses. The Company hedges portions of its forecasted payroll payments denominated in ILS using forward contracts that are designated as cash flow hedges, as defined by ASC 815.</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$21 million in the six months ended June 28, 2025. If the New Israeli Shekel had strengthened by 10% against the U.S. dollar, it would have decreased our cash flows by approximately $32 million in the six months ended June 29,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June 28, 2025 that have materially affected, or are reasonably likely to materially affect, our internal control over financial reporting.</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We intend to defend the matter vigorously. No provision was recorded in the condensed consolidated financial statements as of June 28, 2025.</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 - U.S. District Court for the Southern District of New York</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nominal defendant. On July 9th,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On April 25, 2025, the Court entered a stipulation and order of voluntary dismissal without prejudice. In the event the plaintiffs refile this lawsuit, we intend to continue defending the matter vigorously. No provision was recorded in the condensed consolidated financial statements as of June 28,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 - State of Delaware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6, 2025, a derivative lawsuit captioned Levitan et al. vs. Shashua et al. was filed in the State of Delaware’s Court of Chancery against certain current and former members of the Mobileye Board of Directors and against Intel Corporation, in its capacity as Mobileye’s controlling shareholder. Mobileye was also named as a nominal defendant. The complaint principally asserts claims for breach of fiduciary duty against the named director defendants and breach of fiduciary duty and unjust enrichment against Intel Corporation, alleging that the named director defendants and Intel should not have authorized Mobileye’s June 5, 2023 secondary offering given their purported knowledge of the alleged challenges facing the Company concerning customer demand and the buildup of excess inventory by Mobileye’s Tier 1 customers. The complaint seeks unspecified damages and other relief. We intend to defend the matter vigorously. No provision was recorded in the condensed consolidated financial statements as of June 28, 2025.</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judgement that the Mobileye plaintiffs do not infringe either patent. On March 5, 2025, the Patent Trial and Appeal Board of the US Patent and Trademark Office instituted two </w:t>
      </w:r>
      <w:r>
        <w:rPr>
          <w:rFonts w:ascii="Times New Roman" w:cs="Times New Roman" w:eastAsia="Times New Roman" w:hAnsi="Times New Roman"/>
          <w:sz w:val="18"/>
          <w:szCs w:val="18"/>
          <w:i w:val="1"/>
          <w:iCs w:val="1"/>
          <w:color w:val="auto"/>
        </w:rPr>
        <w:t>Inter Parte Review</w:t>
      </w:r>
      <w:r>
        <w:rPr>
          <w:rFonts w:ascii="Times New Roman" w:cs="Times New Roman" w:eastAsia="Times New Roman" w:hAnsi="Times New Roman"/>
          <w:sz w:val="18"/>
          <w:szCs w:val="18"/>
          <w:color w:val="auto"/>
        </w:rPr>
        <w:t xml:space="preserve"> (IPR) proceedings filed by Mobileye Vision Technologies Ltd. against the patents asserted by Facet. On March 15, 2025, the parties agreed and the relevant courts entered orders staying all litigation pending the outcome of the IPRs. On March 19, 2025, Facet filed requests for reconsideration of both institution decisions. On April 22, 2025, the Patent Trial and Appeal Board denied Facet’s request for reconsideration in respect of one of the institution decisions. On May 2, 2025, the U.S. Patent and Trademark Office denied Facet’s request for Director Review of the second institution decision. We intend to defend the matter vigorously. No provision was recorded in the condensed consolidated financial statements as of June 28,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our 2024 Form 10-K. The risks described in the section entitled “Item 1A. Risk Factors” in our 2024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June 28,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140"/>
        <w:spacing w:after="0"/>
        <w:tabs>
          <w:tab w:leader="none" w:pos="8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u w:val="single" w:color="auto"/>
          <w:color w:val="0000EE"/>
        </w:rPr>
        <w:t>Amended and Restated Mobileye Global Inc. 2022 Equity Incentive Plan</w:t>
      </w:r>
    </w:p>
    <w:p>
      <w:pPr>
        <w:spacing w:after="0" w:line="27" w:lineRule="exact"/>
        <w:rPr>
          <w:sz w:val="20"/>
          <w:szCs w:val="20"/>
          <w:color w:val="auto"/>
        </w:rPr>
      </w:pPr>
    </w:p>
    <w:p>
      <w:pPr>
        <w:ind w:left="140"/>
        <w:spacing w:after="0"/>
        <w:tabs>
          <w:tab w:leader="none" w:pos="8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the Chief Executive Officer pursuant to Section 302 of the Sarbanes-Oxley Act of 2002.</w:t>
      </w:r>
    </w:p>
    <w:p>
      <w:pPr>
        <w:spacing w:after="0" w:line="9" w:lineRule="exact"/>
        <w:rPr>
          <w:sz w:val="20"/>
          <w:szCs w:val="20"/>
          <w:color w:val="auto"/>
        </w:rPr>
      </w:pPr>
    </w:p>
    <w:p>
      <w:pPr>
        <w:ind w:left="140"/>
        <w:spacing w:after="0"/>
        <w:tabs>
          <w:tab w:leader="none" w:pos="8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the Chief Financial Officer pursuant to Section 302 of the Sarbanes-Oxley Act of 2002.</w:t>
      </w:r>
    </w:p>
    <w:p>
      <w:pPr>
        <w:spacing w:after="0" w:line="9" w:lineRule="exact"/>
        <w:rPr>
          <w:sz w:val="20"/>
          <w:szCs w:val="20"/>
          <w:color w:val="auto"/>
        </w:rPr>
      </w:pPr>
    </w:p>
    <w:p>
      <w:pPr>
        <w:ind w:left="840" w:right="20" w:hanging="714"/>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Certificate of the Chief Executive Officer of Mobileye Global Inc. pursuant to 18 U.S.C. § 1350 as adopted pursuant to Section 906 of the Sarbanes-Oxley Act of 2002.</w:t>
      </w:r>
    </w:p>
    <w:p>
      <w:pPr>
        <w:spacing w:after="0" w:line="1" w:lineRule="exact"/>
        <w:rPr>
          <w:sz w:val="20"/>
          <w:szCs w:val="20"/>
          <w:color w:val="auto"/>
        </w:rPr>
      </w:pPr>
    </w:p>
    <w:p>
      <w:pPr>
        <w:ind w:left="840" w:hanging="714"/>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Certificate of the Chief Financial Officer of Mobileye Global Inc. pursuant to 18 U.S.C. § 1350 as adopted pursuant to Section 906 of the Sarbanes-Oxley Act of 2002.</w:t>
      </w:r>
    </w:p>
    <w:p>
      <w:pPr>
        <w:spacing w:after="0" w:line="1" w:lineRule="exact"/>
        <w:rPr>
          <w:sz w:val="20"/>
          <w:szCs w:val="20"/>
          <w:color w:val="auto"/>
        </w:rPr>
      </w:pPr>
    </w:p>
    <w:p>
      <w:pPr>
        <w:jc w:val="both"/>
        <w:ind w:left="840" w:hanging="679"/>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statements from Mobileye Global Inc.’s Quarterly Report on Form 10-Q for the three months ended June 28, 2025, filed with the Securities and Exchange Commission on July 24, 2025,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w:t>
      </w:r>
    </w:p>
    <w:p>
      <w:pPr>
        <w:spacing w:after="0" w:line="2" w:lineRule="exact"/>
        <w:rPr>
          <w:sz w:val="20"/>
          <w:szCs w:val="20"/>
          <w:color w:val="auto"/>
        </w:rPr>
      </w:pPr>
    </w:p>
    <w:p>
      <w:pPr>
        <w:ind w:left="16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auto"/>
              </w:rPr>
              <w:t>Mobileye Global Inc.</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4640" w:type="dxa"/>
            <w:vAlign w:val="bottom"/>
          </w:tcPr>
          <w:p>
            <w:pPr>
              <w:spacing w:after="0"/>
              <w:rPr>
                <w:sz w:val="18"/>
                <w:szCs w:val="18"/>
                <w:color w:val="auto"/>
              </w:rPr>
            </w:pPr>
          </w:p>
        </w:tc>
      </w:tr>
      <w:tr>
        <w:trPr>
          <w:trHeight w:val="234"/>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Professor Amnon Shashua</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Moran Shemesh Rojansky</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18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purpose of this Amended and Restated Mobileye Global Inc. 2022 Equity Incentive Plan (as amended and restated, the “Plan”) is to advance the interests of Mobileye Global Inc., a Delaware corporation, and its Subsidiaries (hereinafter collectively the “Corporation”), by stimulating the efforts of employees and Consultants who are selected to be Participants on behalf of the Corporation, aligning the long-term interests of Participants with those of stockholders, heightening the desire of Participants to continue in working toward and contributing to the success of the Corporation, assisting the Corporation in competing effectively with other enterprises for the services of new employees necessary for the continued improvement of operations, and to attract, motivate and retain the best available individuals for service to the Corporation. This Plan permits the grant of stock options, stock appreciation rights, restricted stock and restricted stock units, each of which shall be subject to such conditions based upon continued employment or service, passage of time or satisfaction of performance criteria as shall be specified pursuant to the Plan.</w:t>
      </w:r>
    </w:p>
    <w:p>
      <w:pPr>
        <w:spacing w:after="0" w:line="15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88" w:lineRule="exact"/>
        <w:rPr>
          <w:rFonts w:ascii="Times New Roman" w:cs="Times New Roman" w:eastAsia="Times New Roman" w:hAnsi="Times New Roman"/>
          <w:sz w:val="18"/>
          <w:szCs w:val="18"/>
          <w:b w:val="1"/>
          <w:bCs w:val="1"/>
          <w:color w:val="auto"/>
        </w:rPr>
      </w:pPr>
    </w:p>
    <w:p>
      <w:pPr>
        <w:ind w:right="60" w:firstLine="332"/>
        <w:spacing w:after="0" w:line="282"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 stock option, stock appreciation right, restricted stock or restricted stock unit granted to a Participant pursuant to the Plan.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means the Board of Directors of the Corporation.</w:t>
      </w:r>
    </w:p>
    <w:p>
      <w:pPr>
        <w:spacing w:after="0" w:line="184" w:lineRule="exact"/>
        <w:rPr>
          <w:rFonts w:ascii="Times New Roman" w:cs="Times New Roman" w:eastAsia="Times New Roman" w:hAnsi="Times New Roman"/>
          <w:sz w:val="18"/>
          <w:szCs w:val="18"/>
          <w:color w:val="auto"/>
        </w:rPr>
      </w:pPr>
    </w:p>
    <w:p>
      <w:pPr>
        <w:ind w:right="120" w:firstLine="332"/>
        <w:spacing w:after="0" w:line="282"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such is amended from time to time, and any reference to a section of the Code shall include any successor provision of the Code.</w:t>
      </w:r>
    </w:p>
    <w:p>
      <w:pPr>
        <w:spacing w:after="0" w:line="134" w:lineRule="exact"/>
        <w:rPr>
          <w:rFonts w:ascii="Times New Roman" w:cs="Times New Roman" w:eastAsia="Times New Roman" w:hAnsi="Times New Roman"/>
          <w:sz w:val="18"/>
          <w:szCs w:val="18"/>
          <w:color w:val="auto"/>
        </w:rPr>
      </w:pPr>
    </w:p>
    <w:p>
      <w:pPr>
        <w:ind w:right="300" w:firstLine="332"/>
        <w:spacing w:after="0" w:line="282"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the committee appointed by the Board of Directors from among its members to administer the Plan pursuant to Section 3.</w:t>
      </w:r>
    </w:p>
    <w:p>
      <w:pPr>
        <w:spacing w:after="0" w:line="121" w:lineRule="exact"/>
        <w:rPr>
          <w:rFonts w:ascii="Times New Roman" w:cs="Times New Roman" w:eastAsia="Times New Roman" w:hAnsi="Times New Roman"/>
          <w:sz w:val="18"/>
          <w:szCs w:val="18"/>
          <w:color w:val="auto"/>
        </w:rPr>
      </w:pPr>
    </w:p>
    <w:p>
      <w:pPr>
        <w:jc w:val="both"/>
        <w:ind w:right="20" w:firstLine="332"/>
        <w:spacing w:after="0" w:line="261"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any person, including any adviser, engaged by the Corporation or a Subsidiary of the Corporation to render services to such entity if the consultant or adviser: (i) renders bona fide services to the Corporation or the Subsidiary; (ii) renders services not in connection with the offer or sale of securities in a capital-raising transaction and does not directly or indirectly promote or maintain a market for the Corporation’s securities; and (iii) is a natural person.</w:t>
      </w:r>
    </w:p>
    <w:p>
      <w:pPr>
        <w:spacing w:after="0" w:line="139" w:lineRule="exact"/>
        <w:rPr>
          <w:rFonts w:ascii="Times New Roman" w:cs="Times New Roman" w:eastAsia="Times New Roman" w:hAnsi="Times New Roman"/>
          <w:sz w:val="18"/>
          <w:szCs w:val="18"/>
          <w:color w:val="auto"/>
        </w:rPr>
      </w:pPr>
    </w:p>
    <w:p>
      <w:pPr>
        <w:ind w:right="120" w:firstLine="332"/>
        <w:spacing w:after="0" w:line="282"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shall mean the Securities Exchange Act of 1934, as amended from time to time, and any reference to a section of the Exchange Act shall include any successor provision of the Exchange Act.</w:t>
      </w:r>
    </w:p>
    <w:p>
      <w:pPr>
        <w:spacing w:after="0" w:line="134" w:lineRule="exact"/>
        <w:rPr>
          <w:rFonts w:ascii="Times New Roman" w:cs="Times New Roman" w:eastAsia="Times New Roman" w:hAnsi="Times New Roman"/>
          <w:sz w:val="18"/>
          <w:szCs w:val="18"/>
          <w:color w:val="auto"/>
        </w:rPr>
      </w:pPr>
    </w:p>
    <w:p>
      <w:pPr>
        <w:ind w:right="120" w:firstLine="332"/>
        <w:spacing w:after="0" w:line="253"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means, as of any date, the value of Shares determined as follows: (i) the common stock of the Corporation is listed on any established stock exchange or a national market system, including without limitation the Nasdaq Global Select Market, the Nasdaq Global Market or the Nasdaq Capital Market of the Nasdaq Stock Market, its market value will be the closing sales price for such stock (or the closing bid, if no sales were reported) as quoted on such exchange or system on the day of determination, as reported in The Wall Street Journal or such other source as the Administrator deems reliable; (ii) if the Common Stock is regularly quoted by a recognized securities dealer but selling prices are not reported, the market value of a Share will be the mean between the high bid and low asked prices for the common stock on the day of determination (or, if no bids and asks were reported on that date, as applicable, on the last trading date such bids and asks were reported), as reported in The Wall Street Journal or such other source as the Committee deems reliable; or (iii) in the absence of an established market for the common stock, the market value will be determined in good faith by the Committee.</w:t>
      </w:r>
    </w:p>
    <w:p>
      <w:pPr>
        <w:spacing w:after="0" w:line="1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Director” shall mean a member of the Board of Directors who is not otherwise an employee of the Corporation.</w:t>
      </w:r>
    </w:p>
    <w:p>
      <w:pPr>
        <w:spacing w:after="0" w:line="184" w:lineRule="exact"/>
        <w:rPr>
          <w:rFonts w:ascii="Times New Roman" w:cs="Times New Roman" w:eastAsia="Times New Roman" w:hAnsi="Times New Roman"/>
          <w:sz w:val="18"/>
          <w:szCs w:val="18"/>
          <w:color w:val="auto"/>
        </w:rPr>
      </w:pPr>
    </w:p>
    <w:p>
      <w:pPr>
        <w:ind w:right="60" w:firstLine="332"/>
        <w:spacing w:after="0" w:line="282"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shall mean those individuals to whom Awards have been granted from time to time and any authorized transferee of such individuals.</w:t>
      </w:r>
    </w:p>
    <w:p>
      <w:pPr>
        <w:spacing w:after="0" w:line="134" w:lineRule="exact"/>
        <w:rPr>
          <w:rFonts w:ascii="Times New Roman" w:cs="Times New Roman" w:eastAsia="Times New Roman" w:hAnsi="Times New Roman"/>
          <w:sz w:val="18"/>
          <w:szCs w:val="18"/>
          <w:color w:val="auto"/>
        </w:rPr>
      </w:pPr>
    </w:p>
    <w:p>
      <w:pPr>
        <w:ind w:right="840" w:firstLine="332"/>
        <w:spacing w:after="0" w:line="282"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means an Award the grant, issuance, retention, vesting and/or settlement of which is subject to satisfaction of one or more of the Performance Criteria specified in Section 10(b) or any other performance criteria.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Amended and Restated Mobileye Global Inc. 2022 Equity Incentive Plan.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ind w:left="-8" w:right="180" w:firstLine="332"/>
        <w:spacing w:after="0" w:line="282" w:lineRule="auto"/>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shall mean a share of common stock, $0.01 par value, of the Corporation or the number and kind of shares of stock or other securities which shall be substituted or adjusted for such shares as provided in Section 11.</w:t>
      </w:r>
    </w:p>
    <w:p>
      <w:pPr>
        <w:spacing w:after="0" w:line="148" w:lineRule="exact"/>
        <w:rPr>
          <w:rFonts w:ascii="Times New Roman" w:cs="Times New Roman" w:eastAsia="Times New Roman" w:hAnsi="Times New Roman"/>
          <w:sz w:val="18"/>
          <w:szCs w:val="18"/>
          <w:color w:val="auto"/>
        </w:rPr>
      </w:pPr>
    </w:p>
    <w:p>
      <w:pPr>
        <w:ind w:left="-8" w:right="380" w:firstLine="332"/>
        <w:spacing w:after="0" w:line="282" w:lineRule="auto"/>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or entity in which the Corporation owns or controls, directly or indirectly, fifty percent (50%) or more of the voting power or economic interests of such corporation or entity.</w:t>
      </w:r>
    </w:p>
    <w:p>
      <w:pPr>
        <w:spacing w:after="0" w:line="130"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13" w:lineRule="exact"/>
        <w:rPr>
          <w:rFonts w:ascii="Times New Roman" w:cs="Times New Roman" w:eastAsia="Times New Roman" w:hAnsi="Times New Roman"/>
          <w:sz w:val="18"/>
          <w:szCs w:val="18"/>
          <w:b w:val="1"/>
          <w:bCs w:val="1"/>
          <w:color w:val="auto"/>
        </w:rPr>
      </w:pPr>
    </w:p>
    <w:p>
      <w:pPr>
        <w:ind w:left="-8" w:right="120" w:firstLine="332"/>
        <w:spacing w:after="0" w:line="256" w:lineRule="auto"/>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Composition of Committee. </w:t>
      </w:r>
      <w:r>
        <w:rPr>
          <w:rFonts w:ascii="Times New Roman" w:cs="Times New Roman" w:eastAsia="Times New Roman" w:hAnsi="Times New Roman"/>
          <w:sz w:val="18"/>
          <w:szCs w:val="18"/>
          <w:color w:val="auto"/>
        </w:rPr>
        <w:t>This Plan shall be administered by the Committee or prior to the date the Corporation becomes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reporting requirements of Rule 13 or 15(d) of the Exchange Act, the Board of Directors. Effective as of the date the Corporation becomes subject to the reporting requirements of Rule 13 or 15(d) of the Exchange Act, the Committee shall consist of two or more Outside Directors who shall be appointed by the Board of Directors. The Board of Directors shall fill vacancies on the Committee and may from time to time remove or add members of the Committee. The Board of Directors, in its sole discretion, may exercise any authority of the Committee under this Plan in lieu of the Committee’s exercise thereof, and in such instances references herein to the Committee shall refer to the Board of Directors.</w:t>
      </w:r>
    </w:p>
    <w:p>
      <w:pPr>
        <w:spacing w:after="0" w:line="169" w:lineRule="exact"/>
        <w:rPr>
          <w:rFonts w:ascii="Times New Roman" w:cs="Times New Roman" w:eastAsia="Times New Roman" w:hAnsi="Times New Roman"/>
          <w:sz w:val="18"/>
          <w:szCs w:val="18"/>
          <w:color w:val="auto"/>
        </w:rPr>
      </w:pPr>
    </w:p>
    <w:p>
      <w:pPr>
        <w:ind w:left="-8" w:firstLine="332"/>
        <w:spacing w:after="0" w:line="252" w:lineRule="auto"/>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Delegation and Administration. </w:t>
      </w:r>
      <w:r>
        <w:rPr>
          <w:rFonts w:ascii="Times New Roman" w:cs="Times New Roman" w:eastAsia="Times New Roman" w:hAnsi="Times New Roman"/>
          <w:sz w:val="18"/>
          <w:szCs w:val="18"/>
          <w:color w:val="auto"/>
        </w:rPr>
        <w:t>The Committee may delegate to one or more separate committees (any such committee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“Subcommittee”) composed of one or more directors of the Corporation (who may but need not be members of the Committee) the ability to grant Awards and take the other actions described in Section 3(c) with respect to Participants who are not executive officers, and such actions shall be treated for all purposes as if taken by the Committee. The Committee may delegate to a Subcommittee of one or more officers of the Corporation the ability to grant Awards and take the other actions described in Section 3(c) with respect to Participants (other than any such officers themselves) who are not directors or executive officers, provided however that the resolution so authorizing such officer(s) shall specify the total number of Shares,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Corporation or one or more agents, and such administrator(s) may have the authority to execute and distribute agreements or other documents evidencing or relating to Awards granted by the Committee under this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this Plan to the Committee shall include any such administrator, provided that the actions and interpretations of any such administrator shall be subject to review and approval, disapproval or modification by the Committee.</w:t>
      </w:r>
    </w:p>
    <w:p>
      <w:pPr>
        <w:spacing w:after="0" w:line="179" w:lineRule="exact"/>
        <w:rPr>
          <w:rFonts w:ascii="Times New Roman" w:cs="Times New Roman" w:eastAsia="Times New Roman" w:hAnsi="Times New Roman"/>
          <w:sz w:val="18"/>
          <w:szCs w:val="18"/>
          <w:color w:val="auto"/>
        </w:rPr>
      </w:pPr>
    </w:p>
    <w:p>
      <w:pPr>
        <w:ind w:left="-8" w:right="400" w:firstLine="332"/>
        <w:spacing w:after="0" w:line="267" w:lineRule="auto"/>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Powers of the Committee. </w:t>
      </w:r>
      <w:r>
        <w:rPr>
          <w:rFonts w:ascii="Times New Roman" w:cs="Times New Roman" w:eastAsia="Times New Roman" w:hAnsi="Times New Roman"/>
          <w:sz w:val="18"/>
          <w:szCs w:val="18"/>
          <w:color w:val="auto"/>
        </w:rPr>
        <w:t>Subject to the express provisions and limitations set forth in this Plan, the Committee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and empowered to do all things necessary or desirable, in its sole discretion, in connection with the administration of this Plan, including, without limitation, the following:</w:t>
      </w:r>
    </w:p>
    <w:p>
      <w:pPr>
        <w:spacing w:after="0" w:line="148" w:lineRule="exact"/>
        <w:rPr>
          <w:rFonts w:ascii="Times New Roman" w:cs="Times New Roman" w:eastAsia="Times New Roman" w:hAnsi="Times New Roman"/>
          <w:sz w:val="18"/>
          <w:szCs w:val="18"/>
          <w:color w:val="auto"/>
        </w:rPr>
      </w:pPr>
    </w:p>
    <w:p>
      <w:pPr>
        <w:ind w:left="332" w:right="180" w:firstLine="316"/>
        <w:spacing w:after="0" w:line="254" w:lineRule="auto"/>
        <w:tabs>
          <w:tab w:leader="none" w:pos="871"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the forms of Award Agreement and manner of acceptance of an Award, and to take or approve such further actions as it determines necessary or appropriate to the administration of the Plan and Awards, such as correcting a defect or supplying any omission, or reconciling any inconsistency so that the Plan or any Award Agreement complies with applicable law, regulations and listing requirements and so as to avoid unanticipated consequences or address unanticipated events (including any temporary closure of an applicable stock exchange or a national market system upon which Shares are traded, disruption of communications or natural catastrophe) deemed by the Committee to be inconsistent with the purposes of the Plan or any Award Agreement, provided that no such action shall be taken absent stockholder approval to the extent required under Section 13;</w:t>
      </w:r>
    </w:p>
    <w:p>
      <w:pPr>
        <w:spacing w:after="0" w:line="178" w:lineRule="exact"/>
        <w:rPr>
          <w:rFonts w:ascii="Times New Roman" w:cs="Times New Roman" w:eastAsia="Times New Roman" w:hAnsi="Times New Roman"/>
          <w:sz w:val="18"/>
          <w:szCs w:val="18"/>
          <w:color w:val="auto"/>
        </w:rPr>
      </w:pPr>
    </w:p>
    <w:p>
      <w:pPr>
        <w:ind w:left="332" w:right="680" w:firstLine="316"/>
        <w:spacing w:after="0" w:line="282" w:lineRule="auto"/>
        <w:tabs>
          <w:tab w:leader="none" w:pos="921"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persons are eligible to be Participants, to which of such persons, if any, Awards shall be granted hereunder and the timing of any such Awards, and to grant Awards;</w:t>
      </w:r>
    </w:p>
    <w:p>
      <w:pPr>
        <w:spacing w:after="0" w:line="148" w:lineRule="exact"/>
        <w:rPr>
          <w:rFonts w:ascii="Times New Roman" w:cs="Times New Roman" w:eastAsia="Times New Roman" w:hAnsi="Times New Roman"/>
          <w:sz w:val="18"/>
          <w:szCs w:val="18"/>
          <w:color w:val="auto"/>
        </w:rPr>
      </w:pPr>
    </w:p>
    <w:p>
      <w:pPr>
        <w:jc w:val="both"/>
        <w:ind w:left="332" w:right="80" w:firstLine="316"/>
        <w:spacing w:after="0" w:line="261" w:lineRule="auto"/>
        <w:tabs>
          <w:tab w:leader="none" w:pos="971"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or service, the satisfaction of performance criteria, the occurrence of certain events, or other factors;</w:t>
      </w:r>
    </w:p>
    <w:p>
      <w:pPr>
        <w:spacing w:after="0" w:line="152" w:lineRule="exact"/>
        <w:rPr>
          <w:rFonts w:ascii="Times New Roman" w:cs="Times New Roman" w:eastAsia="Times New Roman" w:hAnsi="Times New Roman"/>
          <w:sz w:val="18"/>
          <w:szCs w:val="18"/>
          <w:color w:val="auto"/>
        </w:rPr>
      </w:pPr>
    </w:p>
    <w:p>
      <w:pPr>
        <w:ind w:left="332" w:right="680" w:firstLine="316"/>
        <w:spacing w:after="0" w:line="282" w:lineRule="auto"/>
        <w:tabs>
          <w:tab w:leader="none" w:pos="961"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or verify the extent of satisfaction of any performance goals or other conditions applicable to the grant, issuance, exercisability, vesting and/or ability to retain any Award;</w:t>
      </w:r>
    </w:p>
    <w:p>
      <w:pPr>
        <w:spacing w:after="0" w:line="148" w:lineRule="exact"/>
        <w:rPr>
          <w:rFonts w:ascii="Times New Roman" w:cs="Times New Roman" w:eastAsia="Times New Roman" w:hAnsi="Times New Roman"/>
          <w:sz w:val="18"/>
          <w:szCs w:val="18"/>
          <w:color w:val="auto"/>
        </w:rPr>
      </w:pPr>
    </w:p>
    <w:p>
      <w:pPr>
        <w:ind w:left="332" w:right="340" w:firstLine="316"/>
        <w:spacing w:after="0" w:line="282" w:lineRule="auto"/>
        <w:tabs>
          <w:tab w:leader="none" w:pos="911"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agreements or other documents evidencing Awards made under this Plan (which need not be identical);</w:t>
      </w:r>
    </w:p>
    <w:p>
      <w:pPr>
        <w:spacing w:after="0" w:line="3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6" w:name="page47"/>
    <w:bookmarkEnd w:id="46"/>
    <w:p>
      <w:pPr>
        <w:ind w:left="960" w:hanging="304"/>
        <w:spacing w:after="0"/>
        <w:tabs>
          <w:tab w:leader="none" w:pos="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the extent to which, adjustments are required pursuant to Section 11;</w:t>
      </w:r>
    </w:p>
    <w:p>
      <w:pPr>
        <w:spacing w:after="0" w:line="225" w:lineRule="exact"/>
        <w:rPr>
          <w:rFonts w:ascii="Times New Roman" w:cs="Times New Roman" w:eastAsia="Times New Roman" w:hAnsi="Times New Roman"/>
          <w:sz w:val="18"/>
          <w:szCs w:val="18"/>
          <w:color w:val="auto"/>
        </w:rPr>
      </w:pPr>
    </w:p>
    <w:p>
      <w:pPr>
        <w:ind w:left="340" w:right="60" w:firstLine="316"/>
        <w:spacing w:after="0" w:line="266" w:lineRule="auto"/>
        <w:tabs>
          <w:tab w:leader="none" w:pos="1019"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any Award, without consideration and without requirement of the consent of the Participant to whom such Award has been granted, in the event that the Committee has determined that such Award is without any economic value in excess of nominal or par value or prospect of future value;</w:t>
      </w:r>
    </w:p>
    <w:p>
      <w:pPr>
        <w:spacing w:after="0" w:line="175" w:lineRule="exact"/>
        <w:rPr>
          <w:rFonts w:ascii="Times New Roman" w:cs="Times New Roman" w:eastAsia="Times New Roman" w:hAnsi="Times New Roman"/>
          <w:sz w:val="18"/>
          <w:szCs w:val="18"/>
          <w:color w:val="auto"/>
        </w:rPr>
      </w:pPr>
    </w:p>
    <w:p>
      <w:pPr>
        <w:ind w:left="340" w:right="280" w:firstLine="316"/>
        <w:spacing w:after="0" w:line="312" w:lineRule="auto"/>
        <w:tabs>
          <w:tab w:leader="none" w:pos="1069"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and construe this Plan, any rules and regulations under this Plan and the terms and conditions of any Award granted hereunder, and to make exceptions to any such provisions in good faith and for the benefit of the Corporation; and</w:t>
      </w:r>
    </w:p>
    <w:p>
      <w:pPr>
        <w:spacing w:after="0" w:line="139" w:lineRule="exact"/>
        <w:rPr>
          <w:rFonts w:ascii="Times New Roman" w:cs="Times New Roman" w:eastAsia="Times New Roman" w:hAnsi="Times New Roman"/>
          <w:sz w:val="17"/>
          <w:szCs w:val="17"/>
          <w:color w:val="auto"/>
        </w:rPr>
      </w:pPr>
    </w:p>
    <w:p>
      <w:pPr>
        <w:ind w:left="960" w:hanging="304"/>
        <w:spacing w:after="0"/>
        <w:tabs>
          <w:tab w:leader="none" w:pos="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this Plan.</w:t>
      </w:r>
    </w:p>
    <w:p>
      <w:pPr>
        <w:spacing w:after="0" w:line="223" w:lineRule="exact"/>
        <w:rPr>
          <w:rFonts w:ascii="Times New Roman" w:cs="Times New Roman" w:eastAsia="Times New Roman" w:hAnsi="Times New Roman"/>
          <w:sz w:val="18"/>
          <w:szCs w:val="18"/>
          <w:color w:val="auto"/>
        </w:rPr>
      </w:pPr>
    </w:p>
    <w:p>
      <w:pPr>
        <w:ind w:right="40" w:firstLine="332"/>
        <w:spacing w:after="0" w:line="255" w:lineRule="auto"/>
        <w:tabs>
          <w:tab w:leader="none" w:pos="64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Change in Status. </w:t>
      </w:r>
      <w:r>
        <w:rPr>
          <w:rFonts w:ascii="Times New Roman" w:cs="Times New Roman" w:eastAsia="Times New Roman" w:hAnsi="Times New Roman"/>
          <w:sz w:val="18"/>
          <w:szCs w:val="18"/>
          <w:color w:val="auto"/>
        </w:rPr>
        <w:t>The Committee shall have the discretion to determine the effect upon an Award and upon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status as an employee under the Plan (including whether a Participant shall be deemed to have experienced a termination of employment or other change in status) and upon the vesting, expiration or forfeiture of an Award in the case of (i) any individual who is employed by an entity that ceases to be a Subsidiary of the Corporation, (ii) any leave of absence approved by the Corporation or a Subsidiary, (iii) any transfer between locations of employment with the Corporation or a Subsidiary or between the Corporation and any Subsidiary or between any Subsidiaries, (iv) any change in the Participant’s status from an employee to a Consultant or member of the Board of Directors, or vice versa, and (v) at the request of the Corporation or a Subsidiary, any employee who becomes employed by any partnership, joint venture, corporation or other entity not meeting the requirements of a Subsidiary.</w:t>
      </w:r>
    </w:p>
    <w:p>
      <w:pPr>
        <w:spacing w:after="0" w:line="184" w:lineRule="exact"/>
        <w:rPr>
          <w:rFonts w:ascii="Times New Roman" w:cs="Times New Roman" w:eastAsia="Times New Roman" w:hAnsi="Times New Roman"/>
          <w:sz w:val="18"/>
          <w:szCs w:val="18"/>
          <w:color w:val="auto"/>
        </w:rPr>
      </w:pPr>
    </w:p>
    <w:p>
      <w:pPr>
        <w:ind w:right="140" w:firstLine="332"/>
        <w:spacing w:after="0" w:line="256" w:lineRule="auto"/>
        <w:tabs>
          <w:tab w:leader="none" w:pos="64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Determinations of the Committee. </w:t>
      </w:r>
      <w:r>
        <w:rPr>
          <w:rFonts w:ascii="Times New Roman" w:cs="Times New Roman" w:eastAsia="Times New Roman" w:hAnsi="Times New Roman"/>
          <w:sz w:val="18"/>
          <w:szCs w:val="18"/>
          <w:color w:val="auto"/>
        </w:rPr>
        <w:t>All decisions, determinations and interpretations by the Committee regarding this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final and binding on all persons. The Committee may consider such factors as it deems relevant to making such decisions, determinations and interpretations including, without limitation, the recommendations or advice of any director, officer or employee of the Corporation and such attorneys, consultants and accountants as it may select. Any decision or action by the Committee may be contested only by a Participant or other holder of an Award and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1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Awards under the Plan may be granted to any person who is an employee, Consultant or Outside Director of the Corporation. Outside Directors may be granted Awards only pursuant to Section 9 of the Plan. The status of the Chairman of the Board of Directors as an employee or Outside Director shall be determined by the Committee.</w:t>
      </w:r>
    </w:p>
    <w:p>
      <w:pPr>
        <w:spacing w:after="0" w:line="17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EXPIRATION OF PLAN</w:t>
      </w:r>
    </w:p>
    <w:p>
      <w:pPr>
        <w:spacing w:after="0" w:line="227" w:lineRule="exact"/>
        <w:rPr>
          <w:rFonts w:ascii="Times New Roman" w:cs="Times New Roman" w:eastAsia="Times New Roman" w:hAnsi="Times New Roman"/>
          <w:sz w:val="18"/>
          <w:szCs w:val="18"/>
          <w:b w:val="1"/>
          <w:bCs w:val="1"/>
          <w:color w:val="auto"/>
        </w:rPr>
      </w:pPr>
    </w:p>
    <w:p>
      <w:pPr>
        <w:ind w:right="200" w:firstLine="332"/>
        <w:spacing w:after="0" w:line="267" w:lineRule="auto"/>
        <w:tabs>
          <w:tab w:leader="none" w:pos="6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This Plan was initially adopted by the Board of Directors and approved by the stockholders of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30, 2022. The Plan, as so amended and restated, shall be effective as of the date of its approval by the stockholders of the Corporation on the date of its 2025 annual meeting of stockholders.</w:t>
      </w:r>
    </w:p>
    <w:p>
      <w:pPr>
        <w:spacing w:after="0" w:line="173" w:lineRule="exact"/>
        <w:rPr>
          <w:rFonts w:ascii="Times New Roman" w:cs="Times New Roman" w:eastAsia="Times New Roman" w:hAnsi="Times New Roman"/>
          <w:sz w:val="18"/>
          <w:szCs w:val="18"/>
          <w:color w:val="auto"/>
        </w:rPr>
      </w:pPr>
    </w:p>
    <w:p>
      <w:pPr>
        <w:ind w:firstLine="332"/>
        <w:spacing w:after="0" w:line="234" w:lineRule="auto"/>
        <w:tabs>
          <w:tab w:leader="none" w:pos="6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The Plan shall remain available for the grant of Awards until January 30, 2035 or such earlier date as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may determine; provided, however, that ISOs (as defined below) may not be granted under the Plan after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date of the Board of Directors’ most recent approval of the Plan. The expiration of the Committee’s authority to grant Awards under the Plan will not affect the operation of the terms of the Plan or the Corporation’s and Participants’ rights and obligations with respect to Awards granted on or prior to the expiration date of the Plan.</w:t>
      </w:r>
    </w:p>
    <w:p>
      <w:pPr>
        <w:spacing w:after="0" w:line="19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227" w:lineRule="exact"/>
        <w:rPr>
          <w:rFonts w:ascii="Times New Roman" w:cs="Times New Roman" w:eastAsia="Times New Roman" w:hAnsi="Times New Roman"/>
          <w:sz w:val="18"/>
          <w:szCs w:val="18"/>
          <w:b w:val="1"/>
          <w:bCs w:val="1"/>
          <w:color w:val="auto"/>
        </w:rPr>
      </w:pPr>
    </w:p>
    <w:p>
      <w:pPr>
        <w:ind w:firstLine="332"/>
        <w:spacing w:after="0" w:line="255" w:lineRule="auto"/>
        <w:tabs>
          <w:tab w:leader="none" w:pos="6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Aggregate Limits. </w:t>
      </w:r>
      <w:r>
        <w:rPr>
          <w:rFonts w:ascii="Times New Roman" w:cs="Times New Roman" w:eastAsia="Times New Roman" w:hAnsi="Times New Roman"/>
          <w:sz w:val="18"/>
          <w:szCs w:val="18"/>
          <w:color w:val="auto"/>
        </w:rPr>
        <w:t>Subject to adjustment as provided in Section 11, the aggregate number of Shares authorized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Awards under the Plan is 153,200,000. The Shares subject to the Plan may be either Shares reacquired by the Corporation, including Shares purchased in the open market, as applicable, or authorized but unissued Shares. Any Shares subject to an Award which for any reason expires or terminates unexercised or is not earned in full may again be made subject to an Award under the Plan. Notwithstanding the preceding sentence,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ind w:right="140" w:firstLine="332"/>
        <w:spacing w:after="0" w:line="261" w:lineRule="auto"/>
        <w:tabs>
          <w:tab w:leader="none" w:pos="6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Code Limits. </w:t>
      </w:r>
      <w:r>
        <w:rPr>
          <w:rFonts w:ascii="Times New Roman" w:cs="Times New Roman" w:eastAsia="Times New Roman" w:hAnsi="Times New Roman"/>
          <w:sz w:val="18"/>
          <w:szCs w:val="18"/>
          <w:color w:val="auto"/>
        </w:rPr>
        <w:t>Notwithstanding anything to the contrary in this Plan, the foregoing limitations shall be subject to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Section 11. The aggregate number of Shares issued pursuant to incentive stock options granted under the Plan shall not exceed 153,200,000, which limitation shall be subject to adjustment under Section 11 only to the extent that such adjustment is consistent with adjustments permitted of a plan authorizing incentive stock options under Section 422 of the Code.</w:t>
      </w:r>
    </w:p>
    <w:p>
      <w:pPr>
        <w:spacing w:after="0" w:line="1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AWARDS</w:t>
      </w:r>
    </w:p>
    <w:p>
      <w:pPr>
        <w:spacing w:after="0" w:line="227" w:lineRule="exact"/>
        <w:rPr>
          <w:rFonts w:ascii="Times New Roman" w:cs="Times New Roman" w:eastAsia="Times New Roman" w:hAnsi="Times New Roman"/>
          <w:sz w:val="18"/>
          <w:szCs w:val="18"/>
          <w:b w:val="1"/>
          <w:bCs w:val="1"/>
          <w:color w:val="auto"/>
        </w:rPr>
      </w:pPr>
    </w:p>
    <w:p>
      <w:pPr>
        <w:ind w:right="60" w:firstLine="332"/>
        <w:spacing w:after="0" w:line="258" w:lineRule="auto"/>
        <w:tabs>
          <w:tab w:leader="none" w:pos="6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 Types. </w:t>
      </w:r>
      <w:r>
        <w:rPr>
          <w:rFonts w:ascii="Times New Roman" w:cs="Times New Roman" w:eastAsia="Times New Roman" w:hAnsi="Times New Roman"/>
          <w:sz w:val="18"/>
          <w:szCs w:val="18"/>
          <w:color w:val="auto"/>
        </w:rPr>
        <w:t>The Committee, on behalf of the Corporation, is authorized under this Plan to grant, award and enter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arrangements or benefits under the Plan provided that their terms and conditions are not inconsistent with the provisions of the Plan: stock options, stock appreciation rights, restricted stock and restricted stock units. Such arrangements and benefits are sometimes referred to herein as “Awards.” The Committee, in its discretion, may determine that any Award granted hereunder shall be a Performance Award.</w:t>
      </w:r>
    </w:p>
    <w:p>
      <w:pPr>
        <w:spacing w:after="0" w:line="183" w:lineRule="exact"/>
        <w:rPr>
          <w:rFonts w:ascii="Times New Roman" w:cs="Times New Roman" w:eastAsia="Times New Roman" w:hAnsi="Times New Roman"/>
          <w:sz w:val="18"/>
          <w:szCs w:val="18"/>
          <w:color w:val="auto"/>
        </w:rPr>
      </w:pPr>
    </w:p>
    <w:p>
      <w:pPr>
        <w:ind w:left="340" w:right="120" w:firstLine="316"/>
        <w:spacing w:after="0" w:line="258" w:lineRule="auto"/>
        <w:tabs>
          <w:tab w:leader="none" w:pos="87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A “Stock Option” is a right to purchase a number of Shares at such exercise price, at such times, and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terms and conditions as are specified in or determined pursuant to the document(s) evidencing the Award (the “Option Agreement”). The Committee may grant Stock Options intended to be eligible to qualify as incentive stock options (“ISOs”) pursuant to Section 422 of the Code and Stock Options that are not intended to qualify as ISOs (“Non-qualified Stock Options”), as it, in its sole discretion, shall determine.</w:t>
      </w:r>
    </w:p>
    <w:p>
      <w:pPr>
        <w:spacing w:after="0" w:line="183" w:lineRule="exact"/>
        <w:rPr>
          <w:rFonts w:ascii="Times New Roman" w:cs="Times New Roman" w:eastAsia="Times New Roman" w:hAnsi="Times New Roman"/>
          <w:sz w:val="18"/>
          <w:szCs w:val="18"/>
          <w:color w:val="auto"/>
        </w:rPr>
      </w:pPr>
    </w:p>
    <w:p>
      <w:pPr>
        <w:jc w:val="both"/>
        <w:ind w:left="340" w:right="80" w:firstLine="316"/>
        <w:spacing w:after="0" w:line="261" w:lineRule="auto"/>
        <w:tabs>
          <w:tab w:leader="none" w:pos="92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 “Stock Appreciation Right” or “SAR” is a right to receive, in cash or stock (as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value with respect to a specific number of Shares equal to or otherwise based on the excess of (i) the market value of a Share at the time of exercise over (ii) the exercise price of the right, subject to such terms and conditions as are expressed in the document(s) evidencing the Award (the “SAR Agreement”).</w:t>
      </w:r>
    </w:p>
    <w:p>
      <w:pPr>
        <w:spacing w:after="0" w:line="179" w:lineRule="exact"/>
        <w:rPr>
          <w:rFonts w:ascii="Times New Roman" w:cs="Times New Roman" w:eastAsia="Times New Roman" w:hAnsi="Times New Roman"/>
          <w:sz w:val="18"/>
          <w:szCs w:val="18"/>
          <w:color w:val="auto"/>
        </w:rPr>
      </w:pPr>
    </w:p>
    <w:p>
      <w:pPr>
        <w:ind w:left="340" w:firstLine="316"/>
        <w:spacing w:after="0" w:line="284" w:lineRule="auto"/>
        <w:tabs>
          <w:tab w:leader="none" w:pos="97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“Restricted Stock” Award is an award of Shares, the grant, issuance, retention and/or vesting of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conditions as are expressed in the document(s) evidencing the Award (the “Restricted Stock Agreement”).</w:t>
      </w:r>
    </w:p>
    <w:p>
      <w:pPr>
        <w:spacing w:after="0" w:line="158" w:lineRule="exact"/>
        <w:rPr>
          <w:rFonts w:ascii="Times New Roman" w:cs="Times New Roman" w:eastAsia="Times New Roman" w:hAnsi="Times New Roman"/>
          <w:sz w:val="18"/>
          <w:szCs w:val="18"/>
          <w:color w:val="auto"/>
        </w:rPr>
      </w:pPr>
    </w:p>
    <w:p>
      <w:pPr>
        <w:jc w:val="both"/>
        <w:ind w:left="340" w:right="80" w:firstLine="316"/>
        <w:spacing w:after="0" w:line="267" w:lineRule="auto"/>
        <w:tabs>
          <w:tab w:leader="none" w:pos="96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 </w:t>
      </w:r>
      <w:r>
        <w:rPr>
          <w:rFonts w:ascii="Times New Roman" w:cs="Times New Roman" w:eastAsia="Times New Roman" w:hAnsi="Times New Roman"/>
          <w:sz w:val="18"/>
          <w:szCs w:val="18"/>
          <w:color w:val="auto"/>
        </w:rPr>
        <w:t>A “Restricted Stock Unit” Award is an award of a right to receive, in cash or stock (as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the market value of one Share, the grant, issuance, retention and/or vesting of which is subject to such conditions as are expressed in the document(s) evidencing the Award (the “Restricted Stock Unit Agreement”).</w:t>
      </w:r>
    </w:p>
    <w:p>
      <w:pPr>
        <w:spacing w:after="0" w:line="173" w:lineRule="exact"/>
        <w:rPr>
          <w:rFonts w:ascii="Times New Roman" w:cs="Times New Roman" w:eastAsia="Times New Roman" w:hAnsi="Times New Roman"/>
          <w:sz w:val="18"/>
          <w:szCs w:val="18"/>
          <w:color w:val="auto"/>
        </w:rPr>
      </w:pPr>
    </w:p>
    <w:p>
      <w:pPr>
        <w:ind w:right="80" w:firstLine="332"/>
        <w:spacing w:after="0" w:line="284" w:lineRule="auto"/>
        <w:tabs>
          <w:tab w:leader="none" w:pos="6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Grants of Awards. </w:t>
      </w:r>
      <w:r>
        <w:rPr>
          <w:rFonts w:ascii="Times New Roman" w:cs="Times New Roman" w:eastAsia="Times New Roman" w:hAnsi="Times New Roman"/>
          <w:sz w:val="18"/>
          <w:szCs w:val="18"/>
          <w:color w:val="auto"/>
        </w:rPr>
        <w:t>An Award may consist of one of the foregoing arrangements or benefits or two or more of them in tandem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alternative.</w:t>
      </w:r>
    </w:p>
    <w:p>
      <w:pPr>
        <w:spacing w:after="0" w:line="15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CONSULTANT PARTICIPANT AWARDS</w:t>
      </w:r>
    </w:p>
    <w:p>
      <w:pPr>
        <w:spacing w:after="0" w:line="22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Terms and Conditions of Stock Options and SARs</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Committee may grant Stock Options or SARs at any time and from time to time prior to the expiration of the Plan to eligible Participants selected by the Committee. No Participant shall have any rights as a stockholder with respect to any Shares subject to Stock Options or SARs hereunder until said Shares have been issued. Each Stock Option or SAR shall be evidenced only by such agreements, notices and/or terms or conditions documented in such form (including by electronic communications) as may be approved by the Committee. Each Stock Option grant will expressly identify the Stock Option as an ISO or as a Non-qualified Stock Option. Stock Options or SARs granted pursuant to the Plan need not be identical but each must contain or be subject to the following terms and conditions:</w:t>
      </w:r>
    </w:p>
    <w:p>
      <w:pPr>
        <w:spacing w:after="0" w:line="187" w:lineRule="exact"/>
        <w:rPr>
          <w:sz w:val="20"/>
          <w:szCs w:val="20"/>
          <w:color w:val="auto"/>
        </w:rPr>
      </w:pPr>
    </w:p>
    <w:p>
      <w:pPr>
        <w:ind w:left="340" w:right="20" w:firstLine="316"/>
        <w:spacing w:after="0" w:line="257" w:lineRule="auto"/>
        <w:tabs>
          <w:tab w:leader="none" w:pos="87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18"/>
          <w:szCs w:val="18"/>
          <w:color w:val="auto"/>
        </w:rPr>
        <w:t>The purchase price (also referred to as the exercise price) under each Stock Option or SAR granted hereunder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by the Committee. The purchase price per Share shall not be less than 100% of the market value of a Share on the date of grant. The exercise price of a Stock Option shall be paid in cash or in such other form if and to the extent permitted by the Committee, including without limitation by delivery of already owned Shares, withholding (either actually or by attestation) of Shares otherwise issuable under such Stock Option and/or by payment under a broker-assisted sale and remittance program acceptable to the Committee.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48" w:name="page49"/>
    <w:bookmarkEnd w:id="48"/>
    <w:p>
      <w:pPr>
        <w:ind w:right="60" w:firstLine="316"/>
        <w:spacing w:after="0" w:line="258" w:lineRule="auto"/>
        <w:tabs>
          <w:tab w:leader="none" w:pos="5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Repricing. </w:t>
      </w:r>
      <w:r>
        <w:rPr>
          <w:rFonts w:ascii="Times New Roman" w:cs="Times New Roman" w:eastAsia="Times New Roman" w:hAnsi="Times New Roman"/>
          <w:sz w:val="18"/>
          <w:szCs w:val="18"/>
          <w:color w:val="auto"/>
        </w:rPr>
        <w:t>Other than in connection with a change in the Corporation’s capitalization or other transaction as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11(a) through (d) of the Plan, the Corporation shall not, without stockholder approval, reduce the purchase price of a Stock Option or SAR and, at any time when the purchase price of a Stock Option or SAR is above the market value of a Share, the Corporation shall not, without stockholder approval (except in the case of a transaction described in Section 11(a) through (d) of the Plan), cancel and re-grant or exchange such Stock Option or SAR for a new Award with a lower (or no) purchase price or for cash.</w:t>
      </w:r>
    </w:p>
    <w:p>
      <w:pPr>
        <w:spacing w:after="0" w:line="183" w:lineRule="exact"/>
        <w:rPr>
          <w:rFonts w:ascii="Times New Roman" w:cs="Times New Roman" w:eastAsia="Times New Roman" w:hAnsi="Times New Roman"/>
          <w:sz w:val="18"/>
          <w:szCs w:val="18"/>
          <w:color w:val="auto"/>
        </w:rPr>
      </w:pPr>
    </w:p>
    <w:p>
      <w:pPr>
        <w:ind w:right="40" w:firstLine="316"/>
        <w:spacing w:after="0" w:line="267" w:lineRule="auto"/>
        <w:tabs>
          <w:tab w:leader="none" w:pos="6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Reload Grants. </w:t>
      </w:r>
      <w:r>
        <w:rPr>
          <w:rFonts w:ascii="Times New Roman" w:cs="Times New Roman" w:eastAsia="Times New Roman" w:hAnsi="Times New Roman"/>
          <w:sz w:val="18"/>
          <w:szCs w:val="18"/>
          <w:color w:val="auto"/>
        </w:rPr>
        <w:t>Stock Options shall not be granted under the Plan in consideration for and shall not be conditioned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delivery of Shares to the Corporation in payment of the exercise price and/or tax withholding obligation under any other stock option.</w:t>
      </w:r>
    </w:p>
    <w:p>
      <w:pPr>
        <w:spacing w:after="0" w:line="173" w:lineRule="exact"/>
        <w:rPr>
          <w:rFonts w:ascii="Times New Roman" w:cs="Times New Roman" w:eastAsia="Times New Roman" w:hAnsi="Times New Roman"/>
          <w:sz w:val="18"/>
          <w:szCs w:val="18"/>
          <w:color w:val="auto"/>
        </w:rPr>
      </w:pPr>
    </w:p>
    <w:p>
      <w:pPr>
        <w:ind w:right="80" w:firstLine="316"/>
        <w:spacing w:after="0" w:line="257" w:lineRule="auto"/>
        <w:tabs>
          <w:tab w:leader="none" w:pos="6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Duration, Exercise and Termination of Stock Options and SARs. </w:t>
      </w:r>
      <w:r>
        <w:rPr>
          <w:rFonts w:ascii="Times New Roman" w:cs="Times New Roman" w:eastAsia="Times New Roman" w:hAnsi="Times New Roman"/>
          <w:sz w:val="18"/>
          <w:szCs w:val="18"/>
          <w:color w:val="auto"/>
        </w:rPr>
        <w:t>Each Stock Option or SAR shall be exercisable 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and in such installments during the period prior to the expiration of the Stock Option or SAR as determined by the Committee. The Committee shall have the right to make the timing of the ability to exercise any Stock Option or SAR subject to continued employment or service, the passage of time and/or such performance requirements as deemed appropriate by the Committee. At any time after the grant of a Stock Option, the Committee may reduce or eliminate any restrictions on the Participant’s right to exercise all or part of the Stock Option.</w:t>
      </w:r>
    </w:p>
    <w:p>
      <w:pPr>
        <w:spacing w:after="0" w:line="18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Stock Option or SAR must expire within a period of not more than ten (10) years from the grant date. In each case, the Option Agreement or SAR Agreement may provide for expiration prior to the end of the stated term of the Award in the event of the termination of employment or service of the Participant to whom it was granted.</w:t>
      </w:r>
    </w:p>
    <w:p>
      <w:pPr>
        <w:spacing w:after="0" w:line="174" w:lineRule="exact"/>
        <w:rPr>
          <w:sz w:val="20"/>
          <w:szCs w:val="20"/>
          <w:color w:val="auto"/>
        </w:rPr>
      </w:pPr>
    </w:p>
    <w:p>
      <w:pPr>
        <w:ind w:firstLine="316"/>
        <w:spacing w:after="0" w:line="251"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Suspension or Termination of Stock Options and SARs. </w:t>
      </w:r>
      <w:r>
        <w:rPr>
          <w:rFonts w:ascii="Times New Roman" w:cs="Times New Roman" w:eastAsia="Times New Roman" w:hAnsi="Times New Roman"/>
          <w:sz w:val="18"/>
          <w:szCs w:val="18"/>
          <w:color w:val="auto"/>
        </w:rPr>
        <w:t>If at any time (including after a notice of exercise has been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including any Subcommittee or administrator authorized pursuant to Section 3(b) (any such person, an “Authorized Officer”), reasonably believes that a Participant, other than an Outside Director, has committed an act of misconduct as described in this Section, the Authorized Officer may suspend the Participant’s right to exercise any Stock Option or SAR pending a determination of whether an act of misconduct has been committed. If the Committee or an Authorized Officer determines a Participant, other than an Outside Director, has committed an act of embezzlement, fraud, dishonesty, nonpayment of any obligation owed to the Corporation, breach of fiduciary duty or deliberate disregard of Corporation rules resulting in loss, damage or injury to the Corporation, or if a Participant makes an unauthorized disclosure of any Corporation trade secret or confidential information, engages in any conduct constituting unfair competition, induces any customer to breach a contract with the Corporation or induces any principal for whom the Corporation acts as agent to terminate such agency relationship, the Committee or an Authorized Officer may determine that neither the Participant nor his or her estate shall be entitled to exercise any Stock Option or SAR whatsoever. In addition, for any Participant who is designated as an “executive officer” by the Board of Directors, if the Committee determines that the Participant engaged in an act of embezzlement, fraud or breach of fiduciary duty during the Participant’s employment that contributed to an obligation to restate the Corporation’s financial statements (“Contributing Misconduct”), the Committee may require the Participant to repay to the Corporation, in cash and upon demand, the Option Proceeds (as defined below) resulting from any sale or other disposition (including to the Corporation) of Shares issued or issuable upon exercise of a Stock Option or SAR if the sale or disposition was effected during the twelve-month period following the first public issuance or filing with the SEC of the financial statements required to be restated. The term “Option Proceeds” means, with respect to any sale or other disposition (including to the Corporation) of Shares issuable or issued upon exercise of a Stock Option or SAR, an amount determined appropriate by the Committee to reflect the effect of the restatement, up to the amount equal to the number of Shares sold or disposed of multiplied by the difference between the market value per Share at the time of such sale or disposition and the exercise price. The return of Option Proceeds is in addition to and separate from any other relief available to the Corporation due to the executive officer’s Contributing Misconduct. Any determination by the Committee or an Authorized Officer with respect to the foregoing shall be final, conclusive and binding on all interested parties. For any Participant who is an executive officer, the determination of the Committee or of the Authorized Officer shall be subject to the approval of the Board of Directors.</w:t>
      </w:r>
    </w:p>
    <w:p>
      <w:pPr>
        <w:spacing w:after="0" w:line="204" w:lineRule="exact"/>
        <w:rPr>
          <w:rFonts w:ascii="Times New Roman" w:cs="Times New Roman" w:eastAsia="Times New Roman" w:hAnsi="Times New Roman"/>
          <w:sz w:val="18"/>
          <w:szCs w:val="18"/>
          <w:color w:val="auto"/>
        </w:rPr>
      </w:pPr>
    </w:p>
    <w:p>
      <w:pPr>
        <w:ind w:firstLine="316"/>
        <w:spacing w:after="0" w:line="255" w:lineRule="auto"/>
        <w:tabs>
          <w:tab w:leader="none" w:pos="6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and Restrictions Upon Securities Subject to Stock Options or SARs. </w:t>
      </w:r>
      <w:r>
        <w:rPr>
          <w:rFonts w:ascii="Times New Roman" w:cs="Times New Roman" w:eastAsia="Times New Roman" w:hAnsi="Times New Roman"/>
          <w:sz w:val="18"/>
          <w:szCs w:val="18"/>
          <w:color w:val="auto"/>
        </w:rPr>
        <w:t>Subject to the express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Committee may provide that the Shares issued upon exercise of a Stock Option or SAR shall be subject to such further conditions or agreements as the Committee in its discretion may specify prior to the exercise of such Stock Option or SAR, including, without limitation, conditions on vesting or transferability, forfeiture or repurchase provisions. The obligation to make payments with respect to SARs may be satisfied through cash payments or the delivery of Shares, or a combination thereof as the Committee shall determine. The Committee may establish rules for the deferred delivery of Common Stock upon exercise of a Stock Option or SAR with the deferral evidenced by use of Restricted Stock Units equal in number to the number of Shares whose delivery is so deferred.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1320" w:top="119" w:right="999" w:bottom="1440" w:gutter="0" w:footer="0" w:header="0"/>
        </w:sectPr>
      </w:pPr>
    </w:p>
    <w:bookmarkStart w:id="49" w:name="page50"/>
    <w:bookmarkEnd w:id="49"/>
    <w:p>
      <w:pPr>
        <w:ind w:left="340" w:right="720" w:firstLine="316"/>
        <w:spacing w:after="0" w:line="284" w:lineRule="auto"/>
        <w:tabs>
          <w:tab w:leader="none" w:pos="101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Terms and Conditions. </w:t>
      </w:r>
      <w:r>
        <w:rPr>
          <w:rFonts w:ascii="Times New Roman" w:cs="Times New Roman" w:eastAsia="Times New Roman" w:hAnsi="Times New Roman"/>
          <w:sz w:val="18"/>
          <w:szCs w:val="18"/>
          <w:color w:val="auto"/>
        </w:rPr>
        <w:t>Stock Options and SARs may also contain such other provisions, which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inconsistent with any of the foregoing terms, as the Committee shall deem appropriate.</w:t>
      </w:r>
    </w:p>
    <w:p>
      <w:pPr>
        <w:spacing w:after="0" w:line="158" w:lineRule="exact"/>
        <w:rPr>
          <w:rFonts w:ascii="Times New Roman" w:cs="Times New Roman" w:eastAsia="Times New Roman" w:hAnsi="Times New Roman"/>
          <w:sz w:val="18"/>
          <w:szCs w:val="18"/>
          <w:color w:val="auto"/>
        </w:rPr>
      </w:pPr>
    </w:p>
    <w:p>
      <w:pPr>
        <w:ind w:left="340" w:firstLine="316"/>
        <w:spacing w:after="0" w:line="253" w:lineRule="auto"/>
        <w:tabs>
          <w:tab w:leader="none" w:pos="10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ISOs. </w:t>
      </w:r>
      <w:r>
        <w:rPr>
          <w:rFonts w:ascii="Times New Roman" w:cs="Times New Roman" w:eastAsia="Times New Roman" w:hAnsi="Times New Roman"/>
          <w:sz w:val="18"/>
          <w:szCs w:val="18"/>
          <w:color w:val="auto"/>
        </w:rPr>
        <w:t>Stock Options intending to qualify as ISOs may only be granted to employees of the Corporation within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Code, as determined by the Committee. No ISO shall be granted to any person if immediately after the grant of such Award, such person would own stock, including stock subject to outstanding Awards held by him or her under the Plan or any other plan established by the Corporation, amounting to more than ten percent (10%) of the total combined voting power or value of all classes of stock of the Corporation. To the extent that the Option Agreement specifies that a Stock Option is intended to be treated as an ISO, the Stock Option is intended to qualify to the greatest extent possible as an “incentive stock option” within the meaning of Section 422 of the Code, and shall be so construed; provided, however, that any such designation shall not be interpreted as a representation, guarantee or other undertaking on the part of the Corporation that the Stock Option is or will be determined to qualify as an ISO. If and to the extent that any Shares are issued under a portion of any Stock Option that exceeds the $100,000 limitation of Section 422 of the Code, such Shares shall not be treated as issued under an ISO notwithstanding any designation otherwise. Certain decisions, amendments, interpretations and actions by the Committee and certain actions by a Participant may cause a Stock Option to cease to qualify as an ISO pursuant to the Code and by accepting a Stock Option the Participant agrees in advance to such disqualifying action.</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Grant, Terms and Conditions of Restricted Stock and Restricted Stock Units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Committee may grant Restricted Stock or Restricted Stock Units at any time and from time to time prior to the expiration of the Plan to eligible Participants selected by the Committee. A Participant shall have rights as a stockholder with respect to any Shares subject to a Restricted Stock Award hereunder only to the extent specified in this Plan or the Restricted Stock Agreement evidencing such Award. Awards of Restricted Stock or Restricted Stock Units shall be evidenced only by such agreements, notices and/or terms or conditions documented in such form (including by electronic communications) as may be approved by the Committee. Awards of Restricted Stock or Restricted Stock Units granted pursuant to the Plan need not be identical but each must contain or be subject to the following terms and conditions:</w:t>
      </w:r>
    </w:p>
    <w:p>
      <w:pPr>
        <w:spacing w:after="0" w:line="187" w:lineRule="exact"/>
        <w:rPr>
          <w:sz w:val="20"/>
          <w:szCs w:val="20"/>
          <w:color w:val="auto"/>
        </w:rPr>
      </w:pPr>
    </w:p>
    <w:p>
      <w:pPr>
        <w:ind w:left="340" w:right="80" w:firstLine="316"/>
        <w:spacing w:after="0" w:line="256" w:lineRule="auto"/>
        <w:tabs>
          <w:tab w:leader="none" w:pos="8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Terms and Conditions. </w:t>
      </w:r>
      <w:r>
        <w:rPr>
          <w:rFonts w:ascii="Times New Roman" w:cs="Times New Roman" w:eastAsia="Times New Roman" w:hAnsi="Times New Roman"/>
          <w:sz w:val="18"/>
          <w:szCs w:val="18"/>
          <w:color w:val="auto"/>
        </w:rPr>
        <w:t>Each Restricted Stock Agreement and each Restricted Stock Unit Agreement shall contain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(a) the number of Shares subject to such Award or a formula for determining such, (b) the purchase price of the Shares, if any, and the means of payment for the Shares, (c) the performance criteria, if any, and level of achievement versus these criteria that shall determine the number of Shares granted, issued, retainable and/or vested, (d) such terms and conditions on the grant, issuance, vesting and/or forfeiture of the Shares as may be determined from time to time by the Committee, (e) restrictions on the transferability of the Shares and (f) such further terms and conditions as may be determined from time to time by the Committee, in each case not inconsistent with this Plan.</w:t>
      </w:r>
    </w:p>
    <w:p>
      <w:pPr>
        <w:spacing w:after="0" w:line="182" w:lineRule="exact"/>
        <w:rPr>
          <w:rFonts w:ascii="Times New Roman" w:cs="Times New Roman" w:eastAsia="Times New Roman" w:hAnsi="Times New Roman"/>
          <w:sz w:val="18"/>
          <w:szCs w:val="18"/>
          <w:color w:val="auto"/>
        </w:rPr>
      </w:pPr>
    </w:p>
    <w:p>
      <w:pPr>
        <w:ind w:left="340" w:right="20" w:firstLine="316"/>
        <w:spacing w:after="0" w:line="267" w:lineRule="auto"/>
        <w:tabs>
          <w:tab w:leader="none" w:pos="9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Price. </w:t>
      </w:r>
      <w:r>
        <w:rPr>
          <w:rFonts w:ascii="Times New Roman" w:cs="Times New Roman" w:eastAsia="Times New Roman" w:hAnsi="Times New Roman"/>
          <w:sz w:val="18"/>
          <w:szCs w:val="18"/>
          <w:color w:val="auto"/>
        </w:rPr>
        <w:t>Subject to the requirements of applicable law, the Committee shall determine the price, if any, at which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or Restricted Stock Units shall be sold or awarded to a Participant, which may vary from time to time and among Participants and which may be below the market value of such Shares at the date of grant or issuance.</w:t>
      </w:r>
    </w:p>
    <w:p>
      <w:pPr>
        <w:spacing w:after="0" w:line="173" w:lineRule="exact"/>
        <w:rPr>
          <w:rFonts w:ascii="Times New Roman" w:cs="Times New Roman" w:eastAsia="Times New Roman" w:hAnsi="Times New Roman"/>
          <w:sz w:val="18"/>
          <w:szCs w:val="18"/>
          <w:color w:val="auto"/>
        </w:rPr>
      </w:pPr>
    </w:p>
    <w:p>
      <w:pPr>
        <w:ind w:left="340" w:right="60" w:firstLine="316"/>
        <w:spacing w:after="0" w:line="255" w:lineRule="auto"/>
        <w:tabs>
          <w:tab w:leader="none" w:pos="9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 Vesting. </w:t>
      </w:r>
      <w:r>
        <w:rPr>
          <w:rFonts w:ascii="Times New Roman" w:cs="Times New Roman" w:eastAsia="Times New Roman" w:hAnsi="Times New Roman"/>
          <w:sz w:val="18"/>
          <w:szCs w:val="18"/>
          <w:color w:val="auto"/>
        </w:rPr>
        <w:t>The grant, issuance, retention and/or vesting of Shares under Restricted Stock or 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shall be at such time and in such installments as determined by the Committee or under criteria established by the Committee. The Committee shall have the right to make the timing of the grant and/or the issuance, the ability to retain and/or the vesting of Shares under Restricted Stock or Restricted Stock Unit Awards subject to the Participant’s continued employment or service, passage of time and/or such performance criteria and level of achievement versus these criteria, as deemed appropriate by the Committee, which criteria may be based on financial performance and/or personal performance evaluations. No condition that is based on performance criteria and level of achievement versus such criteria shall be based on performance over a period of less than one year.</w:t>
      </w:r>
    </w:p>
    <w:p>
      <w:pPr>
        <w:spacing w:after="0" w:line="184" w:lineRule="exact"/>
        <w:rPr>
          <w:rFonts w:ascii="Times New Roman" w:cs="Times New Roman" w:eastAsia="Times New Roman" w:hAnsi="Times New Roman"/>
          <w:sz w:val="18"/>
          <w:szCs w:val="18"/>
          <w:color w:val="auto"/>
        </w:rPr>
      </w:pPr>
    </w:p>
    <w:p>
      <w:pPr>
        <w:ind w:left="340" w:right="120" w:firstLine="316"/>
        <w:spacing w:after="0" w:line="267" w:lineRule="auto"/>
        <w:tabs>
          <w:tab w:leader="none" w:pos="9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Employment/Service. </w:t>
      </w:r>
      <w:r>
        <w:rPr>
          <w:rFonts w:ascii="Times New Roman" w:cs="Times New Roman" w:eastAsia="Times New Roman" w:hAnsi="Times New Roman"/>
          <w:sz w:val="18"/>
          <w:szCs w:val="18"/>
          <w:color w:val="auto"/>
        </w:rPr>
        <w:t>The Restricted Stock or Restricted Stock Unit Agreement may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forfeiture or cancellation of the Restricted Stock or Restricted Stock Unit Award, in whole or in part, in the event of the termination of employment or service of the Participant to whom it was granted.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0" w:name="page51"/>
    <w:bookmarkEnd w:id="50"/>
    <w:p>
      <w:pPr>
        <w:ind w:left="340" w:right="60" w:firstLine="316"/>
        <w:spacing w:after="0" w:line="255" w:lineRule="auto"/>
        <w:tabs>
          <w:tab w:leader="none" w:pos="91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Except to the extent this Plan or the Committee specifies otherwise, Restricted Stock Units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unfunded and unsecured obligation of the Corporation and do not confer any of the rights of a stockholder until Shares are issued thereunder. Settlement of Restricted Stock Units upon expiration of the deferral or vesting period shall be made in Shares or otherwise as determined by the Committee. Dividends or dividend equivalent rights shall be payable in cash or in additional shares with respect to Restricted Stock Units only to the extent specifically provided for by the Committee and subject to the limitations of Section 10(c). Until a Restricted Stock Unit is settled, the number of Shares represented by a Restricted Stock Unit shall be subject to adjustment pursuant to Section 11. Any Restricted Stock Units that are settled after the Participant’s death shall be distributed to the Participant’s designated beneficiary(ies) or, if none was designated, the Participant’s estate.</w:t>
      </w:r>
    </w:p>
    <w:p>
      <w:pPr>
        <w:spacing w:after="0" w:line="184" w:lineRule="exact"/>
        <w:rPr>
          <w:rFonts w:ascii="Times New Roman" w:cs="Times New Roman" w:eastAsia="Times New Roman" w:hAnsi="Times New Roman"/>
          <w:sz w:val="18"/>
          <w:szCs w:val="18"/>
          <w:color w:val="auto"/>
        </w:rPr>
      </w:pPr>
    </w:p>
    <w:p>
      <w:pPr>
        <w:ind w:left="340" w:firstLine="316"/>
        <w:spacing w:after="0" w:line="251" w:lineRule="auto"/>
        <w:tabs>
          <w:tab w:leader="none" w:pos="9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Suspension or Termination of Restricted Stock and Restricted Stock Units</w:t>
      </w:r>
      <w:r>
        <w:rPr>
          <w:rFonts w:ascii="Times New Roman" w:cs="Times New Roman" w:eastAsia="Times New Roman" w:hAnsi="Times New Roman"/>
          <w:sz w:val="18"/>
          <w:szCs w:val="18"/>
          <w:color w:val="auto"/>
        </w:rPr>
        <w:t>. If at any time the Committee,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Subcommittee or administrator authorized pursuant to Section 3(b) (any such person, an “Authorized Officer”), reasonably believes that a Participant, other than an Outside Director, has committed an act of misconduct as described in this Section, the Authorized Officer may suspend the vesting of Shares under the Participant’s Restricted Stock or Restricted Stock Unit Awards pending a determination of whether an act of misconduct has been committed. If the Committee or an Authorized Officer determines a Participant, other than an Outside Director, has committed an act of embezzlement, fraud, dishonesty, nonpayment of any obligation owed to the Corporation, breach of fiduciary duty or deliberate disregard of Corporation rules resulting in loss, damage or injury to the Corporation, or if a Participant makes an unauthorized disclosure of any Corporation trade secret or confidential information, engages in any conduct constituting unfair competition, induces any customer to breach a contract with the Corporation or induces any principal for whom the Corporation acts as agent to terminate such agency relationship, the Committee or an Authorized Officer may determine that the Participant’s Restricted Stock or Restricted Stock Unit Agreement shall be forfeited and cancelled. In addition, for any Participant who is designated as an “executive officer” by the Board of Directors, if the Committee determines that the Participant engaged in an act of embezzlement, fraud or breach of fiduciary duty during the Participant’s employment that contributed to an obligation to restate the Corporation’s financial statements (“Contributing Misconduct”), the Committee may require the Participant to repay to the Corporation, in cash and upon demand, the Restricted Stock Proceeds (as defined below) resulting from any sale or other disposition (including to the Corporation) of Shares issued or issuable upon the vesting of Restricted Stock or a Restricted Stock Unit if the sale or disposition was effected during the twelve-month period following the first public issuance or filing with the SEC of the financial statements required to be restated. The term “Restricted Stock Proceeds” means, with respect to any sale or other disposition (including to the Corporation) of Shares issued or issuable upon vesting of Restricted Stock or a Restricted Stock Unit, an amount determined appropriate by the Committee to reflect the effect of the restatement, up to the amount equal to the market value per Share at the time of such sale or other disposition multiplied by the number of Shares or units sold or disposed of. The return of Restricted Stock Proceeds is in addition to and separate from any other relief available to the Corporation due to the executive officer’s Contributing Misconduct. Any determination by the Committee or an Authorized Officer with respect to the foregoing shall be final, conclusive and binding on all interested parties. For any Participant who is an executive officer, the determination of the Committee or of the Authorized Officer shall be subject to the approval of the Board of Directors.</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DIRECTOR AWARDS</w:t>
      </w:r>
    </w:p>
    <w:p>
      <w:pPr>
        <w:spacing w:after="0" w:line="22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The number of Awards granted to each Outside Director in a fiscal year of the Corporation (“Outside Director Awards”) is limited, so that the grant date fair value of all Outside Director Awards granted by the Board of Directors combined with all cash-based compensation earned in the same fiscal year, may not exceed $500,000. Notwithstanding anything to the contrary in this Plan, the foregoing limitation shall be subject to adjustment under Section 11. The number of Shares subject to each Outside Director Award, or the formula pursuant to which such number shall be determined, the type or types of Awards included in the Outside Director Awards, the date of grant and the vesting, expiration and other terms applicable to such Outside Director Awards shall be specified from time to time by the Board of Directors, subject to the terms of this Plan, including the terms specified in Section 8. If the Board of Directors reasonably believes that an Outside Director has committed an act of misconduct as specified in Section 8(a)(v) or 8(b)(vi), the Board of Directors may suspend the Outside Director’s right to exercise any Stock Option or SAR and/or the vesting of any Restricted Stock or Restricted Stock Unit Award pending a determination of whether an act of misconduct has been committed. If the Board of Directors determines that an Outside Director has committed an act of misconduct, neither the Outside Director nor his or her estate shall be entitled to exercise any Stock Option or SAR whatsoever and shall forfeit any unvested Restricted Stock or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9" w:right="1019" w:bottom="1440" w:gutter="0" w:footer="0" w:header="0"/>
        </w:sectPr>
      </w:pPr>
    </w:p>
    <w:bookmarkStart w:id="51" w:name="page52"/>
    <w:bookmarkEnd w:id="51"/>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 APPLICABLE TO AWARDS</w:t>
      </w:r>
    </w:p>
    <w:p>
      <w:pPr>
        <w:spacing w:after="0" w:line="227" w:lineRule="exact"/>
        <w:rPr>
          <w:rFonts w:ascii="Times New Roman" w:cs="Times New Roman" w:eastAsia="Times New Roman" w:hAnsi="Times New Roman"/>
          <w:sz w:val="18"/>
          <w:szCs w:val="18"/>
          <w:b w:val="1"/>
          <w:bCs w:val="1"/>
          <w:color w:val="auto"/>
        </w:rPr>
      </w:pPr>
    </w:p>
    <w:p>
      <w:pPr>
        <w:ind w:firstLine="332"/>
        <w:spacing w:after="0" w:line="253" w:lineRule="auto"/>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Unless the agreement or other document evidencing an Award (or an amendment thereto authorized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expressly states that the Award is transferable as provided hereunder, no Award granted under this Plan, nor any interest in such Award, may be sold, assigned, conveyed, gifted, pledged, hypothecated or otherwise transferred in any manner, other than by will or the laws of descent and distribution or as permitted by Rule 701 of the Securities Act of 1933. Further, until the Corporation becomes subject to the reporting requirements of Section 13 or 15(d) of the Exchange Act, or after the Board of Directors or the Committee, as applicable,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w:t>
      </w:r>
    </w:p>
    <w:p>
      <w:pPr>
        <w:spacing w:after="0" w:line="191" w:lineRule="exact"/>
        <w:rPr>
          <w:rFonts w:ascii="Times New Roman" w:cs="Times New Roman" w:eastAsia="Times New Roman" w:hAnsi="Times New Roman"/>
          <w:sz w:val="18"/>
          <w:szCs w:val="18"/>
          <w:color w:val="auto"/>
        </w:rPr>
      </w:pPr>
    </w:p>
    <w:p>
      <w:pPr>
        <w:ind w:right="140" w:firstLine="332"/>
        <w:spacing w:after="0" w:line="267" w:lineRule="auto"/>
        <w:tabs>
          <w:tab w:leader="none" w:pos="64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Performance Criteria. </w:t>
      </w:r>
      <w:r>
        <w:rPr>
          <w:rFonts w:ascii="Times New Roman" w:cs="Times New Roman" w:eastAsia="Times New Roman" w:hAnsi="Times New Roman"/>
          <w:sz w:val="17"/>
          <w:szCs w:val="17"/>
          <w:color w:val="auto"/>
        </w:rPr>
        <w:t>For purposes of this Plan, the term “Performance Criteria” shall mean any one or more of the following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criteria or any other performance criteria, either individually, alternatively or in any combination, applied to either the Corporation as a whole or to a business unit or Subsidiary, either individually, alternatively or in any combination, and measured either annually or cumulatively over a period of years, on an absolute basis or relative to a pre- established target, to previous years’ results or to a designated comparison group, on a U.S. generally accepted accounting principles (“GAAP”) or non-GAAP basis, in each case as specified by the Committee in the Award: (a) cash flow, (b) earnings per share, (c) earnings before one or more of interest, taxes, depreciation and amortization, (d) return on equity, (e) total stockholder return, (f) share price performance, (g) return on capital, (h) return on assets or net assets, (i) revenue, (j) income or net income, (k) operating income or net operating income, (l) operating profit or net operating profit, (m) gross margin, operating margin or profit margin, (n) return on operating revenue, (o) return on invested capital,</w:t>
      </w:r>
    </w:p>
    <w:p>
      <w:pPr>
        <w:spacing w:after="0" w:line="7" w:lineRule="exact"/>
        <w:rPr>
          <w:rFonts w:ascii="Times New Roman" w:cs="Times New Roman" w:eastAsia="Times New Roman" w:hAnsi="Times New Roman"/>
          <w:sz w:val="17"/>
          <w:szCs w:val="17"/>
          <w:color w:val="auto"/>
        </w:rPr>
      </w:pPr>
    </w:p>
    <w:p>
      <w:pPr>
        <w:ind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 market segment share, (q) product release schedules, (r) new product innovation, (s) product cost reduction through advanced technology, (t) brand recognition/acceptance, (u) product ship targets, or (v) customer satisfaction. The Committee may appropriately adjust any evaluation of performance under a Performance Criteria to exclude any of the following events that occurs during a performance period: (i) asset write-downs, (ii) litigation or claim judgments or settlements, (iii) the effect of changes in or provisions under tax law, accounting principles or other such laws or provisions affecting reported results, (iv) accruals for reorganization and restructuring programs, (v) any infrequently occurring or other unusual items, either under applicable accounting provisions or described in management’s discussion and analysis of financial condition and results of operations appearing in the Corporation’s annual report to stockholders for the applicable year, and (vi) any other events as the Committee shall deem appropriate, if such adjustment is timely approved in connection with the establishment of Performance Criteria. Notwithstanding satisfaction of any completion of any Performance Criteria, to the extent specified at the time of grant of an Award, the number of Shares, Stock Options, SARs, Restricted Stock Units or other benefits granted, issued, retainable and/or vested under an Award on account of satisfaction of such Performance Criteria may be reduced by the Committee on the basis of such further considerations as the Committee in its sole discretion shall determine.</w:t>
      </w:r>
    </w:p>
    <w:p>
      <w:pPr>
        <w:spacing w:after="0" w:line="189" w:lineRule="exact"/>
        <w:rPr>
          <w:rFonts w:ascii="Times New Roman" w:cs="Times New Roman" w:eastAsia="Times New Roman" w:hAnsi="Times New Roman"/>
          <w:sz w:val="17"/>
          <w:szCs w:val="17"/>
          <w:color w:val="auto"/>
        </w:rPr>
      </w:pPr>
    </w:p>
    <w:p>
      <w:pPr>
        <w:ind w:right="20" w:firstLine="332"/>
        <w:spacing w:after="0" w:line="256" w:lineRule="auto"/>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Unless otherwise provided by the Committee, no adjustment shall be made in Shares issuable under Awards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cash dividends that may be paid or other rights that may be issued to the holders of Shares prior to their issuance under any Award. The Committee shall specify whether dividends or dividend equivalent amounts shall be credited and/or payable to any Participant with respect to the Shares subject to any Award; provided, however, that in no event will dividends or dividend equivalents be credited or payable in respect of Stock Options or SARs. Notwithstanding the foregoing, dividends or dividend equivalents credited/payable in connection with an Award that is not yet vested shall be subject to the same restrictions and risk of forfeiture as the underlying Award and shall not be paid until the underlying Award vests.</w:t>
      </w:r>
    </w:p>
    <w:p>
      <w:pPr>
        <w:spacing w:after="0" w:line="182" w:lineRule="exact"/>
        <w:rPr>
          <w:rFonts w:ascii="Times New Roman" w:cs="Times New Roman" w:eastAsia="Times New Roman" w:hAnsi="Times New Roman"/>
          <w:sz w:val="18"/>
          <w:szCs w:val="18"/>
          <w:color w:val="auto"/>
        </w:rPr>
      </w:pPr>
    </w:p>
    <w:p>
      <w:pPr>
        <w:ind w:right="60" w:firstLine="332"/>
        <w:spacing w:after="0" w:line="255" w:lineRule="auto"/>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Documents Evidencing Awards. </w:t>
      </w:r>
      <w:r>
        <w:rPr>
          <w:rFonts w:ascii="Times New Roman" w:cs="Times New Roman" w:eastAsia="Times New Roman" w:hAnsi="Times New Roman"/>
          <w:sz w:val="18"/>
          <w:szCs w:val="18"/>
          <w:color w:val="auto"/>
        </w:rPr>
        <w:t>The Committee shall, subject to applicable law, determine the date an Award is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ind w:left="652" w:hanging="328"/>
        <w:spacing w:after="0"/>
        <w:tabs>
          <w:tab w:leader="none" w:pos="6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Restrictions on Awards.</w:t>
      </w:r>
    </w:p>
    <w:p>
      <w:pPr>
        <w:spacing w:after="0" w:line="227" w:lineRule="exact"/>
        <w:rPr>
          <w:rFonts w:ascii="Times New Roman" w:cs="Times New Roman" w:eastAsia="Times New Roman" w:hAnsi="Times New Roman"/>
          <w:sz w:val="18"/>
          <w:szCs w:val="18"/>
          <w:color w:val="auto"/>
        </w:rPr>
      </w:pPr>
    </w:p>
    <w:p>
      <w:pPr>
        <w:ind w:left="332" w:right="80" w:firstLine="316"/>
        <w:spacing w:after="0" w:line="258" w:lineRule="auto"/>
        <w:tabs>
          <w:tab w:leader="none" w:pos="871"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the time an Award is granted or by subsequent action, the Committee may, but need not, impose such restrictions, conditions or limitations as it determines appropriate as to the timing and manner of any resales by a Participant or other subsequent transfers by a Participant of any Shares issued under an Award, including without limitation (a) restrictions under an insider trading policy, (b) restrictions designed to delay and/or coordinate the timing and manner of sales by the Participant or Participants, and (c) restrictions as to the use of a specified brokerage firm for receipt, resales or other transfers of such Shares.</w:t>
      </w:r>
    </w:p>
    <w:p>
      <w:pPr>
        <w:spacing w:after="0" w:line="183" w:lineRule="exact"/>
        <w:rPr>
          <w:rFonts w:ascii="Times New Roman" w:cs="Times New Roman" w:eastAsia="Times New Roman" w:hAnsi="Times New Roman"/>
          <w:sz w:val="18"/>
          <w:szCs w:val="18"/>
          <w:color w:val="auto"/>
        </w:rPr>
      </w:pPr>
    </w:p>
    <w:p>
      <w:pPr>
        <w:ind w:left="332" w:right="20" w:firstLine="316"/>
        <w:spacing w:after="0" w:line="268" w:lineRule="auto"/>
        <w:tabs>
          <w:tab w:leader="none" w:pos="921"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 initial offering of the Corporation’s Shares pursuant to a registration statement filed by the Corporation with the Securities and Exchange Commission and upon request of the Corporation or the underwriters managing such offering of the Corporation’s securities, Participants shall not sell, make any short sale of, loan, grant any option for the purchase of, or otherwise dispose of any securities of the Corporation however or whenever acquired (other than those included in the registration) without the prior written consent of the Corporation or such underwriters, as the case may be, for such period of time (not to exceed 180 days) from the effective date of such registration as may be requested by the Corporation or such managing underwriters and Participant shall execute an agreement reflecting the foregoing as may be requested by the underwriters in connection with such offering. Notwithstanding the foregoing, if during the last 17 days of the restricted period, the Corporation issues an earnings release or material news or a material event relating to the Corporation occurs, or prior to the expiration of the restricted period the Corporation announces that it will release earnings results during the 16-day period beginning on the last day of the restricted period, then, upon the request of the managing underwriter, to the extent required by any Financial Industry Regulatory Authority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81" w:lineRule="exact"/>
        <w:rPr>
          <w:rFonts w:ascii="Times New Roman" w:cs="Times New Roman" w:eastAsia="Times New Roman" w:hAnsi="Times New Roman"/>
          <w:sz w:val="17"/>
          <w:szCs w:val="17"/>
          <w:color w:val="auto"/>
        </w:rPr>
      </w:pPr>
    </w:p>
    <w:p>
      <w:pPr>
        <w:ind w:left="-8" w:firstLine="332"/>
        <w:spacing w:after="0" w:line="257"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Subsidiary Awards. </w:t>
      </w:r>
      <w:r>
        <w:rPr>
          <w:rFonts w:ascii="Times New Roman" w:cs="Times New Roman" w:eastAsia="Times New Roman" w:hAnsi="Times New Roman"/>
          <w:sz w:val="18"/>
          <w:szCs w:val="18"/>
          <w:color w:val="auto"/>
        </w:rPr>
        <w:t>In the case of a grant of an Award to any Participant employed by or providing services to a Subsidiary,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may, if the Committee so directs, be implemented by the Corporation issuing any subject Shares to the Subsidiary, for such lawful consideration as the Committee may determine, upon the condition or understanding that the Subsidiary will transfer the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p>
    <w:p>
      <w:pPr>
        <w:spacing w:after="0" w:line="182" w:lineRule="exact"/>
        <w:rPr>
          <w:rFonts w:ascii="Times New Roman" w:cs="Times New Roman" w:eastAsia="Times New Roman" w:hAnsi="Times New Roman"/>
          <w:sz w:val="18"/>
          <w:szCs w:val="18"/>
          <w:color w:val="auto"/>
        </w:rPr>
      </w:pPr>
    </w:p>
    <w:p>
      <w:pPr>
        <w:ind w:left="-8" w:firstLine="332"/>
        <w:spacing w:after="0" w:line="256"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Recovery</w:t>
      </w:r>
      <w:r>
        <w:rPr>
          <w:rFonts w:ascii="Times New Roman" w:cs="Times New Roman" w:eastAsia="Times New Roman" w:hAnsi="Times New Roman"/>
          <w:sz w:val="18"/>
          <w:szCs w:val="18"/>
          <w:color w:val="auto"/>
        </w:rPr>
        <w:t>. This provision applies to the Compensation Recoupment Policy adopted by the Corporation’s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on September 7, 2023 (the “Clawback Policy”) and any other policy adopted by any exchange on which the securities of the Corporation are listed pursuant to Section 10D of the Exchange Act, as applicable. To the extent the Clawback Policy or any other similar policy requires the repayment of incentive-based compensation received by a Participant, whether paid pursuant to an Award granted under this Plan or any other plan of incentive-based compensation maintained in the past or adopted in the future by the Corporation, by accepting an Award under this Plan, the Participant agrees to the repayment of such amounts to the extent required by such policy and applicable law.</w:t>
      </w:r>
    </w:p>
    <w:p>
      <w:pPr>
        <w:spacing w:after="0" w:line="180"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AND CHANGES IN THE COMMON STOCK</w:t>
      </w:r>
    </w:p>
    <w:p>
      <w:pPr>
        <w:spacing w:after="0" w:line="229" w:lineRule="exact"/>
        <w:rPr>
          <w:rFonts w:ascii="Times New Roman" w:cs="Times New Roman" w:eastAsia="Times New Roman" w:hAnsi="Times New Roman"/>
          <w:sz w:val="18"/>
          <w:szCs w:val="18"/>
          <w:b w:val="1"/>
          <w:bCs w:val="1"/>
          <w:color w:val="auto"/>
        </w:rPr>
      </w:pPr>
    </w:p>
    <w:p>
      <w:pPr>
        <w:ind w:left="-8" w:right="60" w:firstLine="332"/>
        <w:spacing w:after="0" w:line="252"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outstanding Awards shall not affect in any way the right or power of the Corporation or its shareholders to make or authorize any or all adjustments, recapitalizations, reorganizations, exchanges, or other changes in the Corporation’s capital structure or its business, or any merger or consolidation of the Corporation or any issuance of Shares or other securities or subscription rights thereto, or any issuance of bonds, debentures, preferred or prior preference stock ahead of or affecting the Shares or other securities of the Corporation or the rights thereof, or the dissolution or liquidation of the Corporation, or any sale or transfer of all or any part of its assets or business, or any other corporate act or proceeding, whether of a similar character or otherwise. Further, except as expressly provided herein or by the Committee, (i) the issuance by the Corporation of shares of stock or any class of securities convertible into shares of stock of any class, for cash, property, labor or services, upon direct sale, upon the exercise of rights or warrants to subscribe therefor, or upon conversion of shares or obligations of the Corporation convertible into such shares or other securities, (ii) the payment of a dividend in property other than Shares, or (iii) the occurrence of any similar transaction, and in any case whether or not for fair value, shall not affect, and no adjustment by reason thereof shall be made with respect to, the number of Shares subject to Stock Options or other Awards theretofore granted or the purchase price per Share, unless the Committee shall determine, in its sole discretion, that an adjustment is necessary or appropriate provided, however, that the Administrator will make such adjustments to an Award required by Section 25102(o) of the California Corporations Code to the extent the Corporation is relying upon the exemption afforded thereby with respect to the Award.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119" w:right="999" w:bottom="1440" w:gutter="0" w:footer="0" w:header="0"/>
        </w:sectPr>
      </w:pPr>
    </w:p>
    <w:bookmarkStart w:id="53" w:name="page54"/>
    <w:bookmarkEnd w:id="53"/>
    <w:p>
      <w:pPr>
        <w:ind w:right="40" w:firstLine="332"/>
        <w:spacing w:after="0" w:line="254"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outstanding Shares or other securities of the Corporation, or both, for which the Award is then exercisable or as to which the Award is to be settled shall at any time be changed or exchanged by declaration of a stock dividend, stock split, combination of shares, extraordinary dividend of cash and/or assets, recapitalization, reorganization or any similar equity restructuring transaction (as that term is used in Accounting Standards Codification 718) affecting the Shares or other securities of the Corporation, the Committee shall equitably adjust the number and kind of Shares or other securities that are subject to this Plan and to the limits under Sections 6 and 9 and that are subject to any Awards theretofore granted, and the exercise or settlement prices of such Awards, so as to maintain the proportionate number of Shares or other securities subject to such Awards without changing the aggregate exercise or settlement price, if any.</w:t>
      </w:r>
    </w:p>
    <w:p>
      <w:pPr>
        <w:spacing w:after="0" w:line="191" w:lineRule="exact"/>
        <w:rPr>
          <w:rFonts w:ascii="Times New Roman" w:cs="Times New Roman" w:eastAsia="Times New Roman" w:hAnsi="Times New Roman"/>
          <w:sz w:val="18"/>
          <w:szCs w:val="18"/>
          <w:color w:val="auto"/>
        </w:rPr>
      </w:pPr>
    </w:p>
    <w:p>
      <w:pPr>
        <w:ind w:right="40" w:firstLine="332"/>
        <w:spacing w:after="0" w:line="282"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purchase fractional Shares shall result from any adjustment in Stock Options or SARs pursuant to this Section 11. In case of any such adjustment, the Shares subject to the Stock Option or SAR shall be rounded down to the nearest whole share.</w:t>
      </w:r>
    </w:p>
    <w:p>
      <w:pPr>
        <w:spacing w:after="0" w:line="161" w:lineRule="exact"/>
        <w:rPr>
          <w:rFonts w:ascii="Times New Roman" w:cs="Times New Roman" w:eastAsia="Times New Roman" w:hAnsi="Times New Roman"/>
          <w:sz w:val="18"/>
          <w:szCs w:val="18"/>
          <w:color w:val="auto"/>
        </w:rPr>
      </w:pPr>
    </w:p>
    <w:p>
      <w:pPr>
        <w:ind w:right="20" w:firstLine="332"/>
        <w:spacing w:after="0" w:line="258"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hereof to the contrary notwithstanding (except Section 11(a)), in the event the Corporation is a party to a merger or other reorganization, outstanding Awards shall be subject to the agreement of merger or reorganization. Such agreement may provide, without limitation, for the assumption of outstanding Awards by the surviving corporation or its parent, for their continuation by the Corporation (if the Corporation is a surviving corporation), for accelerated vesting and accelerated expiration, or for settlement in cash.</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LISTING OR QUALIFICATION OF COMMON STOCK</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the Committee determines in its discretion that the listing or qualification of the Shares available for issuance under</w:t>
      </w:r>
    </w:p>
    <w:p>
      <w:pPr>
        <w:spacing w:after="0" w:line="27"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the Plan on any securities exchange or quotation or trading system or under any applicable law or governmental regulation is necessary as a condition to the issuance of such Shares, a Stock Option or SAR may not be exercised in whole or in part and a Restricted Stock or Restricted Stock Unit Award shall not vest or be settled unless such listing, qualification, consent or approval has been unconditionally obtained.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TERMINATION OR AMENDMENT OF THE PLAN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may amend, alter or discontinue the Plan and the Board of Directors or the Committee may to the extent permitted by the Plan amend any agreement or other document evidencing an Award made under this Plan, including pursuant to Section 3(c)(vii), provided, however, that the Corporation shall submit for stockholder approval any amendment (other than an amendment pursuant to the adjustment provisions of Section 11) required to be submitted for stockholder approval by an applicable stock exchange or a national market system upon which Shares are traded or that otherwise would:</w:t>
      </w:r>
    </w:p>
    <w:p>
      <w:pPr>
        <w:spacing w:after="0" w:line="18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Shares for which Awards may be granted under this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at which Stock Options may be granted below the price provided for in Section 8(a);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option price of outstanding 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Participants;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limits in Section 6.</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no such amendment or alteration shall be made which would impair the rights of any Participant, without such Participant’s consent, under any Award theretofore granted, provided that no such consent shall be required with respect to any amendment or alteration made pursuant to Section 3(c)(vii) or if the Committee otherwise determines in its sole discretion that such amendment or alteration either (i) is required or advisable in order for the Corporation,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14. WITHHOLDING</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the Committee may and/or a Participant shall make arrangements satisfactory to the Corporation for the satisfaction of any withholding tax obligations that arise with respect to any Stock Option, SAR, Restricted Stock or Restricted Stock Unit Award, or any sale of Shares. The Corporation shall not be required to issue Shares or to recognize the disposition of such Shares until such obligations are satisfied. To the extent permitted or required by the Committee, these obligations may or shall be satisfied by having the Corporation withhold a portion of the Shares of stock that otherwise would be issued to a Participant under such Award or by tendering Shares previously acquired by the Participant equal to an amount no greater than the maximum statutory tax rate applicable to such Participant in all relevant jurisdictions, and in all cases reduced by the amount of any withholding obligation a Participant satisfies by cash payment to the Corporation.</w:t>
      </w:r>
    </w:p>
    <w:p>
      <w:pPr>
        <w:spacing w:after="0" w:line="18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7" w:lineRule="exact"/>
        <w:rPr>
          <w:rFonts w:ascii="Times New Roman" w:cs="Times New Roman" w:eastAsia="Times New Roman" w:hAnsi="Times New Roman"/>
          <w:sz w:val="18"/>
          <w:szCs w:val="18"/>
          <w:b w:val="1"/>
          <w:bCs w:val="1"/>
          <w:color w:val="auto"/>
        </w:rPr>
      </w:pPr>
    </w:p>
    <w:p>
      <w:pPr>
        <w:ind w:right="100" w:firstLine="332"/>
        <w:spacing w:after="0" w:line="258"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Employment At Will. </w:t>
      </w:r>
      <w:r>
        <w:rPr>
          <w:rFonts w:ascii="Times New Roman" w:cs="Times New Roman" w:eastAsia="Times New Roman" w:hAnsi="Times New Roman"/>
          <w:sz w:val="18"/>
          <w:szCs w:val="18"/>
          <w:color w:val="auto"/>
        </w:rPr>
        <w:t>Neither the Plan nor the grant of any Award nor any action by the Corporation, any Subsidiary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shall be held or construed to confer upon any person any right to be continued in the employ of or service to the Corporation or a Subsidiary. The Corporation and each Subsidiary expressly reserve the right to discharge, without liability but subject to his or her rights under this Plan, any Participant whenever in the sole discretion of the Corporation or a Subsidiary, as the case may be, it may determine to do so.</w:t>
      </w:r>
    </w:p>
    <w:p>
      <w:pPr>
        <w:spacing w:after="0" w:line="183" w:lineRule="exact"/>
        <w:rPr>
          <w:rFonts w:ascii="Times New Roman" w:cs="Times New Roman" w:eastAsia="Times New Roman" w:hAnsi="Times New Roman"/>
          <w:sz w:val="18"/>
          <w:szCs w:val="18"/>
          <w:color w:val="auto"/>
        </w:rPr>
      </w:pPr>
    </w:p>
    <w:p>
      <w:pPr>
        <w:ind w:right="80" w:firstLine="332"/>
        <w:spacing w:after="0" w:line="258"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Plan and any agreements or other documents hereunder shall be interpreted and construed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laws of the State of Delaware and applicable federal law. The Committee may provide that any dispute as to any Award shall be presented and determined in such forum as the Committee may specify, including through binding arbitration. Any reference in this Plan or in the agreement or other document evidencing any Award to a provision of law or to a rule or regulation shall be deemed to include any successor law, rule or regulation of similar effect or applicability.</w:t>
      </w:r>
    </w:p>
    <w:p>
      <w:pPr>
        <w:spacing w:after="0" w:line="183" w:lineRule="exact"/>
        <w:rPr>
          <w:rFonts w:ascii="Times New Roman" w:cs="Times New Roman" w:eastAsia="Times New Roman" w:hAnsi="Times New Roman"/>
          <w:sz w:val="18"/>
          <w:szCs w:val="18"/>
          <w:color w:val="auto"/>
        </w:rPr>
      </w:pPr>
    </w:p>
    <w:p>
      <w:pPr>
        <w:ind w:firstLine="332"/>
        <w:spacing w:after="0" w:line="258"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Plan. </w:t>
      </w:r>
      <w:r>
        <w:rPr>
          <w:rFonts w:ascii="Times New Roman" w:cs="Times New Roman" w:eastAsia="Times New Roman" w:hAnsi="Times New Roman"/>
          <w:sz w:val="18"/>
          <w:szCs w:val="18"/>
          <w:color w:val="auto"/>
        </w:rPr>
        <w:t>Insofar as it provides for Awards, the Plan shall be unfunded. Although bookkeeping accounts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with respect to Participants who are granted Awards under this Plan, any such accounts will be used merely as a bookkeeping convenience. The Corporation shall not be required to segregate any assets which may at any time be represented by Awards, nor shall this Plan be construed as providing for such segregation, nor shall the Corporation or the Committee be deemed to be a trustee of stock or cash to be awarded under the Plan.</w:t>
      </w:r>
    </w:p>
    <w:p>
      <w:pPr>
        <w:spacing w:after="0" w:line="183" w:lineRule="exact"/>
        <w:rPr>
          <w:rFonts w:ascii="Times New Roman" w:cs="Times New Roman" w:eastAsia="Times New Roman" w:hAnsi="Times New Roman"/>
          <w:sz w:val="18"/>
          <w:szCs w:val="18"/>
          <w:color w:val="auto"/>
        </w:rPr>
      </w:pPr>
    </w:p>
    <w:p>
      <w:pPr>
        <w:ind w:right="40" w:firstLine="332"/>
        <w:spacing w:after="0" w:line="258"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Administrator. </w:t>
      </w:r>
      <w:r>
        <w:rPr>
          <w:rFonts w:ascii="Times New Roman" w:cs="Times New Roman" w:eastAsia="Times New Roman" w:hAnsi="Times New Roman"/>
          <w:sz w:val="18"/>
          <w:szCs w:val="18"/>
          <w:color w:val="auto"/>
        </w:rPr>
        <w:t>In connection with a Participant’s participation in the Plan, the Corporation may use the services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party administrator, including a brokerage firm administrator, and the Corporation may provide this administrator with personal information about a Participant, including a Participant’s name, social security number and address, as well as the details of each Award, and this administrator may provide information to the Corporation concerning the exercise of a Participant’s rights and account data as it relates to Awards under the Plan.</w:t>
      </w:r>
    </w:p>
    <w:p>
      <w:pPr>
        <w:spacing w:after="0" w:line="183" w:lineRule="exact"/>
        <w:rPr>
          <w:rFonts w:ascii="Times New Roman" w:cs="Times New Roman" w:eastAsia="Times New Roman" w:hAnsi="Times New Roman"/>
          <w:sz w:val="18"/>
          <w:szCs w:val="18"/>
          <w:color w:val="auto"/>
        </w:rPr>
      </w:pPr>
    </w:p>
    <w:p>
      <w:pPr>
        <w:jc w:val="both"/>
        <w:ind w:right="60" w:firstLine="332"/>
        <w:spacing w:after="0" w:line="290" w:lineRule="auto"/>
        <w:tabs>
          <w:tab w:leader="none" w:pos="64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Representations</w:t>
      </w:r>
      <w:r>
        <w:rPr>
          <w:rFonts w:ascii="Times New Roman" w:cs="Times New Roman" w:eastAsia="Times New Roman" w:hAnsi="Times New Roman"/>
          <w:sz w:val="17"/>
          <w:szCs w:val="17"/>
          <w:color w:val="auto"/>
        </w:rPr>
        <w:t>. As a condition to the exercise of an Award, the Corporation may require the person exercising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to represent and warrant at the time of any such exercise that the Shares are being purchased only for investment and without any present intention to sell or distribute such Shares if, in the opinion of counsel for the Corporation, such a representation is required.</w:t>
      </w:r>
    </w:p>
    <w:p>
      <w:pPr>
        <w:spacing w:after="0" w:line="153"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OF PLAN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Neither the adoption of this Plan by the Board of Directors nor the submission of this Plan to the shareholders of the Corporation for approval shall be construed as creating any limitations on the power of the Board of Directors or the Committee to adopt such other incentive arrangements as either may deem desirable, including, without limitation, the granting of stock options, stock appreciation rights, restricted stock or restricted stock units otherwise than under this Plan, and such arrangements may be either generally applicable or applicable only in specific cases.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17. COMPLIANCE WITH OTHER LAWS AND REGULATIONS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This Plan, the grant and exercise of Awards thereunder, and the obligation of the Corporation to sell, issue or deliver Shares under such Awards, shall be subject to all applicable federal, state and local laws, rules and regulations and to such approvals by any governmental or regulatory agency as may be required. The Corporation shall not be required to register in a Participant’s name or deliver any Shares prior to the completion of any registration or qualification of such Shares under any federal, state or local law or any ruling or regulation of any government body which the Committee shall determine to be necessary or advisable. To the extent the Corporation is unable to or the Committee deems it infeasible to obtain authority from any regulatory body having jurisdiction, which authority is deemed by the Corporation’s counsel to be necessary or advisable for the lawful issuance and sale of any Shares hereunder, the Corporation shall be relieved of any liability with respect to the failure to issue or sell such Shares as to which such requisite authority shall not have been obtained. No Stock Option shall be exercisable and no Shares shall be issued and/or transferable under any other Award unless a registration statement with respect to the Shares underlying such Stock Option is effective and current or the Corporation has determined that such registration is unnecessary.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LIABILITY OF CORPORATION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Corporation shall not be liable to a Participant or other persons as to: (a) the non-issuance or sale of Shares as to which the Corporation has been unable to obtain from any regulatory body having jurisdiction the authority deemed by the Corporation’s counsel to be necessary to the lawful issuance and sale of any Shares hereunder; and (b) any tax consequence expected, but not realized, by any Participant or other person due to the receipt, exercise or settlement of any Stock Option or other Award granted hereunder.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21F1F"/>
        </w:rPr>
        <w:t>Amnon Shashua</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1"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320"/>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221F1F"/>
        </w:rPr>
        <w:t>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221F1F"/>
        </w:rPr>
        <w:t>Professor Amnon Shashua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1"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21F1F"/>
        </w:rPr>
        <w:t>Moran Shemesh Rojansky</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1"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221F1F"/>
        </w:rPr>
        <w:t>Moran Shemesh Rojansky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1" w:right="1440" w:bottom="1440" w:gutter="0" w:footer="0" w:header="0"/>
        </w:sectPr>
      </w:pPr>
    </w:p>
    <w:bookmarkStart w:id="60" w:name="page61"/>
    <w:bookmarkEnd w:id="60"/>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100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 adopted pursuant to Section 906 of the Sarbanes-Oxley Act of 2002.</w:t>
      </w:r>
    </w:p>
    <w:p>
      <w:pPr>
        <w:spacing w:after="0" w:line="15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June 28, 2025 as filed with the Securities and Exchange Commission on the date hereof (the “Report”), I, </w:t>
      </w:r>
      <w:r>
        <w:rPr>
          <w:rFonts w:ascii="Times New Roman" w:cs="Times New Roman" w:eastAsia="Times New Roman" w:hAnsi="Times New Roman"/>
          <w:sz w:val="18"/>
          <w:szCs w:val="18"/>
          <w:color w:val="221F1F"/>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221F1F"/>
        </w:rPr>
        <w:t>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221F1F"/>
        </w:rPr>
        <w:t>Professor Amnon Shashua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Financial Officer of Mobileye Global Inc. pursuant to 18 U.S.C. § 1350 as adopted pursuant to Section 906 of the Sarbanes-Oxley Act of 2002.</w:t>
      </w:r>
    </w:p>
    <w:p>
      <w:pPr>
        <w:spacing w:after="0" w:line="15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June 28, 2025 as filed with the Securities and Exchange Commission on the date hereof (the “Report”), I, </w:t>
      </w:r>
      <w:r>
        <w:rPr>
          <w:rFonts w:ascii="Times New Roman" w:cs="Times New Roman" w:eastAsia="Times New Roman" w:hAnsi="Times New Roman"/>
          <w:sz w:val="18"/>
          <w:szCs w:val="18"/>
          <w:color w:val="221F1F"/>
        </w:rPr>
        <w:t>Moran Shemesh Rojansky</w:t>
      </w:r>
      <w:r>
        <w:rPr>
          <w:rFonts w:ascii="Times New Roman" w:cs="Times New Roman" w:eastAsia="Times New Roman" w:hAnsi="Times New Roman"/>
          <w:sz w:val="18"/>
          <w:szCs w:val="18"/>
          <w:color w:val="auto"/>
        </w:rPr>
        <w:t>, certify, pursuant to 18 U.S.C. § 1350, as adopted pursuant to § 906 of the Sarbanes- Oxley Act of 2002, that:</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221F1F"/>
        </w:rPr>
        <w:t>Moran Shemesh Rojansky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lvl w:ilvl="1">
      <w:lvlJc w:val="left"/>
      <w:lvlText w:val="(%2)"/>
      <w:numFmt w:val="lowerLetter"/>
      <w:start w:val="1"/>
    </w:lvl>
  </w:abstractNum>
  <w:abstractNum w:abstractNumId="7">
    <w:nsid w:val="628C895D"/>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8">
    <w:nsid w:val="333AB1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0">
    <w:nsid w:val="2443A85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
    <w:nsid w:val="2D1D5A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
    <w:nsid w:val="6763845E"/>
    <w:multiLevelType w:val="hybridMultilevel"/>
    <w:lvl w:ilvl="0">
      <w:lvlJc w:val="left"/>
      <w:lvlText w:val="%1."/>
      <w:numFmt w:val="decimal"/>
      <w:start w:val="5"/>
    </w:lvl>
    <w:lvl w:ilvl="1">
      <w:lvlJc w:val="left"/>
      <w:lvlText w:val="(%2)"/>
      <w:numFmt w:val="lowerLetter"/>
      <w:start w:val="1"/>
    </w:lvl>
  </w:abstractNum>
  <w:abstractNum w:abstractNumId="13">
    <w:nsid w:val="75A2A8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
    <w:nsid w:val="8EDBDA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
    <w:nsid w:val="79838CB2"/>
    <w:multiLevelType w:val="hybridMultilevel"/>
    <w:lvl w:ilvl="0">
      <w:lvlJc w:val="left"/>
      <w:lvlText w:val="(%1)"/>
      <w:numFmt w:val="lowerRoman"/>
      <w:start w:val="1"/>
    </w:lvl>
  </w:abstractNum>
  <w:abstractNum w:abstractNumId="16">
    <w:nsid w:val="4353D0CD"/>
    <w:multiLevelType w:val="hybridMultilevel"/>
    <w:lvl w:ilvl="0">
      <w:lvlJc w:val="left"/>
      <w:lvlText w:val="(%1)"/>
      <w:numFmt w:val="lowerRoman"/>
      <w:start w:val="2"/>
    </w:lvl>
  </w:abstractNum>
  <w:abstractNum w:abstractNumId="17">
    <w:nsid w:val="B03E0C6"/>
    <w:multiLevelType w:val="hybridMultilevel"/>
    <w:lvl w:ilvl="0">
      <w:lvlJc w:val="left"/>
      <w:lvlText w:val="(%1)"/>
      <w:numFmt w:val="lowerRoman"/>
      <w:start w:val="5"/>
    </w:lvl>
  </w:abstractNum>
  <w:abstractNum w:abstractNumId="18">
    <w:nsid w:val="189A769B"/>
    <w:multiLevelType w:val="hybridMultilevel"/>
    <w:lvl w:ilvl="0">
      <w:lvlJc w:val="left"/>
      <w:lvlText w:val="%1"/>
      <w:numFmt w:val="lowerLetter"/>
      <w:start w:val="1"/>
    </w:lvl>
    <w:lvl w:ilvl="1">
      <w:lvlJc w:val="left"/>
      <w:lvlText w:val="(%2)"/>
      <w:numFmt w:val="lowerRoman"/>
      <w:start w:val="7"/>
    </w:lvl>
  </w:abstractNum>
  <w:abstractNum w:abstractNumId="19">
    <w:nsid w:val="54E49EB4"/>
    <w:multiLevelType w:val="hybridMultilevel"/>
    <w:lvl w:ilvl="0">
      <w:lvlJc w:val="left"/>
      <w:lvlText w:val="(%1)"/>
      <w:numFmt w:val="lowerLetter"/>
      <w:start w:val="2"/>
    </w:lvl>
    <w:lvl w:ilvl="1">
      <w:lvlJc w:val="left"/>
      <w:lvlText w:val="%2"/>
      <w:numFmt w:val="lowerRoman"/>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1"/>
      <w:numFmt w:val="decimal"/>
      <w:start w:val="1"/>
    </w:lvl>
    <w:lvl w:ilvl="1">
      <w:lvlJc w:val="left"/>
      <w:lvlText w:val="(%2)"/>
      <w:numFmt w:val="lowerRoman"/>
      <w:start w:val="5"/>
    </w:lvl>
  </w:abstractNum>
  <w:abstractNum w:abstractNumId="22">
    <w:nsid w:val="836C40E"/>
    <w:multiLevelType w:val="hybridMultilevel"/>
    <w:lvl w:ilvl="0">
      <w:lvlJc w:val="left"/>
      <w:lvlText w:val="%1."/>
      <w:numFmt w:val="decimal"/>
      <w:start w:val="9"/>
    </w:lvl>
    <w:lvl w:ilvl="1">
      <w:lvlJc w:val="left"/>
      <w:lvlText w:val="%2"/>
      <w:numFmt w:val="lowerRoman"/>
      <w:start w:val="1"/>
    </w:lvl>
  </w:abstractNum>
  <w:abstractNum w:abstractNumId="23">
    <w:nsid w:val="2901D82"/>
    <w:multiLevelType w:val="hybridMultilevel"/>
    <w:lvl w:ilvl="0">
      <w:lvlJc w:val="left"/>
      <w:lvlText w:val="%1."/>
      <w:numFmt w:val="decimal"/>
      <w:start w:val="10"/>
    </w:lvl>
    <w:lvl w:ilvl="1">
      <w:lvlJc w:val="left"/>
      <w:lvlText w:val="(%2)"/>
      <w:numFmt w:val="lowerLetter"/>
      <w:start w:val="1"/>
    </w:lvl>
  </w:abstractNum>
  <w:abstractNum w:abstractNumId="24">
    <w:nsid w:val="3A95F87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5">
    <w:nsid w:val="813864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6">
    <w:nsid w:val="1E7FF521"/>
    <w:multiLevelType w:val="hybridMultilevel"/>
    <w:lvl w:ilvl="0">
      <w:lvlJc w:val="left"/>
      <w:lvlText w:val="%1"/>
      <w:numFmt w:val="decimal"/>
      <w:start w:val="1"/>
    </w:lvl>
    <w:lvl w:ilvl="1">
      <w:lvlJc w:val="left"/>
      <w:lvlText w:val="(%2)"/>
      <w:numFmt w:val="lowerLetter"/>
      <w:start w:val="2"/>
    </w:lvl>
  </w:abstractNum>
  <w:abstractNum w:abstractNumId="27">
    <w:nsid w:val="7C3DBD3D"/>
    <w:multiLevelType w:val="hybridMultilevel"/>
    <w:lvl w:ilvl="0">
      <w:lvlJc w:val="left"/>
      <w:lvlText w:val="%1."/>
      <w:numFmt w:val="decimal"/>
      <w:start w:val="12"/>
    </w:lvl>
    <w:lvl w:ilvl="1">
      <w:lvlJc w:val="left"/>
      <w:lvlText w:val="%2"/>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15"/>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2025-07-24T15:25:38Z</dcterms:created>
  <dcterms:modified xsi:type="dcterms:W3CDTF">2025-07-24T15:25:38Z</dcterms:modified>
</cp:coreProperties>
</file>