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24, 2025</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9"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Har Hotzvim, 1 Shlomo Momo HaLevi Street</w:t>
      </w:r>
    </w:p>
    <w:p>
      <w:pPr>
        <w:spacing w:after="0" w:line="2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Jerusalem, Israel</w:t>
      </w:r>
    </w:p>
    <w:p>
      <w:pPr>
        <w:spacing w:after="0" w:line="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9777015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7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5"/>
        </w:trPr>
        <w:tc>
          <w:tcPr>
            <w:tcW w:w="4520" w:type="dxa"/>
            <w:vAlign w:val="bottom"/>
            <w:tcBorders>
              <w:top w:val="single" w:sz="8" w:color="auto"/>
              <w:left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April 24, 2025 Mobileye Global Inc. issued a press release announcing its financial results for the quarter ended March 29, 2025. A copy of the press release is furnished as Exhibit 99.1 to this Current Report on Form 8-K.</w:t>
      </w:r>
    </w:p>
    <w:p>
      <w:pPr>
        <w:spacing w:after="0" w:line="16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Pr>
          <w:p>
            <w:pPr>
              <w:spacing w:after="0"/>
              <w:rPr>
                <w:sz w:val="24"/>
                <w:szCs w:val="24"/>
                <w:color w:val="auto"/>
              </w:rPr>
            </w:pPr>
          </w:p>
        </w:tc>
        <w:tc>
          <w:tcPr>
            <w:tcW w:w="9740" w:type="dxa"/>
            <w:vAlign w:val="bottom"/>
            <w:gridSpan w:val="2"/>
          </w:tcPr>
          <w:p>
            <w:pPr>
              <w:ind w:left="4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0000EE"/>
              </w:rPr>
              <w:t>Press release issued by Mobileye Global Inc. on April 24, 2025</w:t>
            </w:r>
          </w:p>
        </w:tc>
      </w:tr>
      <w:tr>
        <w:trPr>
          <w:trHeight w:val="20"/>
        </w:trPr>
        <w:tc>
          <w:tcPr>
            <w:tcW w:w="3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Moran Shemesh Rojansky</w:t>
      </w:r>
    </w:p>
    <w:p>
      <w:pPr>
        <w:spacing w:after="0" w:line="9"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Releases First Quarter 2025 Results and Reaffirms Full-Year Outlook</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Revenue of $438 million in the first quarter, which was an 83% year over year increase compared to Q1 2024, a period that was impacted by a significant drawdown of inventory at our Tier 1 customers.</w:t>
      </w:r>
    </w:p>
    <w:p>
      <w:pPr>
        <w:spacing w:after="0" w:line="161" w:lineRule="exact"/>
        <w:rPr>
          <w:rFonts w:ascii="Times New Roman" w:cs="Times New Roman" w:eastAsia="Times New Roman" w:hAnsi="Times New Roman"/>
          <w:sz w:val="18"/>
          <w:szCs w:val="18"/>
          <w:color w:val="101820"/>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Diluted EPS (GAAP) was $(0.13) and Adjusted Diluted EPS (Non-GAAP) was $0.08 in the first quarter.</w:t>
      </w:r>
    </w:p>
    <w:p>
      <w:pPr>
        <w:spacing w:after="0" w:line="225" w:lineRule="exact"/>
        <w:rPr>
          <w:rFonts w:ascii="Times New Roman" w:cs="Times New Roman" w:eastAsia="Times New Roman" w:hAnsi="Times New Roman"/>
          <w:sz w:val="18"/>
          <w:szCs w:val="18"/>
          <w:color w:val="101820"/>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Business development activity was strong in Q1, including first Surround ADAS design win, acceleration in the mobility-as-a-service space, and continued progress toward SuperVision wins.</w:t>
      </w:r>
    </w:p>
    <w:p>
      <w:pPr>
        <w:spacing w:after="0" w:line="161" w:lineRule="exact"/>
        <w:rPr>
          <w:rFonts w:ascii="Times New Roman" w:cs="Times New Roman" w:eastAsia="Times New Roman" w:hAnsi="Times New Roman"/>
          <w:sz w:val="18"/>
          <w:szCs w:val="18"/>
          <w:color w:val="101820"/>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Reaffirming full-year 2025 outlook originally provided on January 30th, assuming continuation of currently-announced automotive-related tariffs (without any further changes). We expect Q2 2025 revenue to increase approximately 7% year over year compared to Q2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101820"/>
        </w:rPr>
        <w:t xml:space="preserve">JERUSALEM – April 24, 2025 – Mobileye Global Inc. (Nasdaq: MBLY) (“Mobileye”) today released its financial results for the three months ended </w:t>
      </w:r>
      <w:r>
        <w:rPr>
          <w:rFonts w:ascii="Times New Roman" w:cs="Times New Roman" w:eastAsia="Times New Roman" w:hAnsi="Times New Roman"/>
          <w:sz w:val="18"/>
          <w:szCs w:val="18"/>
          <w:color w:val="000000"/>
        </w:rPr>
        <w:t>March 29, 2025</w:t>
      </w:r>
      <w:r>
        <w:rPr>
          <w:rFonts w:ascii="Times New Roman" w:cs="Times New Roman" w:eastAsia="Times New Roman" w:hAnsi="Times New Roman"/>
          <w:sz w:val="18"/>
          <w:szCs w:val="18"/>
          <w:color w:val="101820"/>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strong revenue trends to-date and our own analysis of likely production impacts of the current tariff conditions (including the most recent third party forecasts), we continue to expect to deliver revenue and profitability within the guidance range. While uncertainty has clearly risen, our original outlook was designed to account for some amount of macro deterioration in 2025,” said Mobileye President and CEO Professor Amnon Shashua. “Business development activity was strong in Q1. In fact, Q1 was one of the largest quarters on record in terms of projected future volumes from design wins. Among other important wins, notable achievements were an ADAS design win with a customer we haven’t had since 2016, our first Surround ADAS design win with Volkswagen Group, and acceleration for our Mobileye Drive robotaxi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2025 Business Highlights</w:t>
      </w:r>
    </w:p>
    <w:p>
      <w:pPr>
        <w:spacing w:after="0" w:line="229" w:lineRule="exact"/>
        <w:rPr>
          <w:sz w:val="20"/>
          <w:szCs w:val="20"/>
          <w:color w:val="auto"/>
        </w:rPr>
      </w:pPr>
    </w:p>
    <w:p>
      <w:pPr>
        <w:jc w:val="both"/>
        <w:ind w:left="660" w:hanging="328"/>
        <w:spacing w:after="0" w:line="23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EyeQ6 Lite gained additional momentum as the enabler for next-generation high-volume OEM ADAS programs. Projected lifetime volumes for the design wins awarded in Q1 2025, much of which was EyeQ6L, already represent a high majority of what we achieved all of last year.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Notable strategic wins included the first ADAS design win since 2016 with a European OEM and a REM harvesting and cloud-enhanced ADAS win with a Korean OEM.</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our first Surround ADAS win with the mainstream brands of Volkswagen Group. This program is strategic because it cuts across VW’s highest-volume platform and supports both next-generation safety and cost-efficient highway hands-free driving. It is also the first time an OEM has sourced a Level 2+ program in which the software stack, including perception, mapping, driving policy, and driving functions are vertically-integrated by one supplier on a single SoC on a single ECU.</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a strategic program award for our Imaging Radar product from a European OEM is imminent. Our proprietary Imaging Radar is expected to be utilized as an enabler of a Level 3 program.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activity in the robotaxi / MaaS segment continues to accelerate. The Lyft relationship (originally announced in November 2024) evolved with the announcement of Marubeni as the fleet owner / operator and Dallas, Texas as the geography for initial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Summary and Key Highlights (Unaudited)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26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320" w:type="dxa"/>
            <w:vAlign w:val="bottom"/>
            <w:vMerge w:val="restart"/>
          </w:tcPr>
          <w:p>
            <w:pPr>
              <w:spacing w:after="0"/>
              <w:rPr>
                <w:sz w:val="24"/>
                <w:szCs w:val="24"/>
                <w:color w:val="auto"/>
              </w:rPr>
            </w:pP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Y/Y</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3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2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22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320" w:type="dxa"/>
            <w:vAlign w:val="bottom"/>
            <w:vMerge w:val="restart"/>
          </w:tcPr>
          <w:p>
            <w:pPr>
              <w:spacing w:after="0"/>
              <w:rPr>
                <w:sz w:val="24"/>
                <w:szCs w:val="24"/>
                <w:color w:val="auto"/>
              </w:rPr>
            </w:pP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Y/Y</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+680bps</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(Loss)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(0.07)</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Meaningful</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Revenue increased 83% compared to the first quarter of 2024. This was related primarily to the normalization of order activity after the meaningful drawdown of inventory at our Tier 1 customers during the first quarter of 2024.</w:t>
      </w:r>
    </w:p>
    <w:p>
      <w:pPr>
        <w:spacing w:after="0" w:line="161" w:lineRule="exact"/>
        <w:rPr>
          <w:rFonts w:ascii="Times New Roman" w:cs="Times New Roman" w:eastAsia="Times New Roman" w:hAnsi="Times New Roman"/>
          <w:sz w:val="18"/>
          <w:szCs w:val="18"/>
          <w:color w:val="101820"/>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Gross Margin increased by nearly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101820"/>
        </w:rPr>
        <w:t xml:space="preserve"> percentage points in the first quarter of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01820"/>
        </w:rPr>
        <w:t xml:space="preserve"> as compared to the prior year period. The increase was primarily due to similar levels of amortization of intangible assets on a significantly higher revenue base.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Adjusted Gross Margin increased by nearly 7 percentage points in the first quarter of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01820"/>
        </w:rPr>
        <w:t xml:space="preserve"> as compared to the prior year period. The increase was primarily due to changes in the mix of volume between EyeQ SoC and SuperVision.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Operating Margin increased by nearly </w:t>
      </w:r>
      <w:r>
        <w:rPr>
          <w:rFonts w:ascii="Times New Roman" w:cs="Times New Roman" w:eastAsia="Times New Roman" w:hAnsi="Times New Roman"/>
          <w:sz w:val="18"/>
          <w:szCs w:val="18"/>
          <w:color w:val="000000"/>
        </w:rPr>
        <w:t>73</w:t>
      </w:r>
      <w:r>
        <w:rPr>
          <w:rFonts w:ascii="Times New Roman" w:cs="Times New Roman" w:eastAsia="Times New Roman" w:hAnsi="Times New Roman"/>
          <w:sz w:val="18"/>
          <w:szCs w:val="18"/>
          <w:color w:val="101820"/>
        </w:rPr>
        <w:t xml:space="preserve"> percentage points in the first quarter of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01820"/>
        </w:rPr>
        <w:t xml:space="preserve"> as compared to the prior year period. The increase was primarily due to higher Gross Margin and lower operating expenses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Adjusted Operating Margin increased to a positive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101820"/>
        </w:rPr>
        <w:t xml:space="preserve"> in the first quarter of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01820"/>
        </w:rPr>
        <w:t xml:space="preserve"> as compared to </w:t>
      </w:r>
      <w:r>
        <w:rPr>
          <w:rFonts w:ascii="Times New Roman" w:cs="Times New Roman" w:eastAsia="Times New Roman" w:hAnsi="Times New Roman"/>
          <w:sz w:val="18"/>
          <w:szCs w:val="18"/>
          <w:color w:val="000000"/>
        </w:rPr>
        <w:t>(27%) in</w:t>
      </w:r>
      <w:r>
        <w:rPr>
          <w:rFonts w:ascii="Times New Roman" w:cs="Times New Roman" w:eastAsia="Times New Roman" w:hAnsi="Times New Roman"/>
          <w:sz w:val="18"/>
          <w:szCs w:val="18"/>
          <w:color w:val="101820"/>
        </w:rPr>
        <w:t xml:space="preserve"> the prior year period. In addition to higher Adjusted Gross Margin, the most significant impact was lower operating expenses as a percentage of revenue due to the unusually low revenue base in the first quarter of 2024.</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 xml:space="preserve">Operating cash flow for the three months ended </w:t>
      </w:r>
      <w:r>
        <w:rPr>
          <w:rFonts w:ascii="Times New Roman" w:cs="Times New Roman" w:eastAsia="Times New Roman" w:hAnsi="Times New Roman"/>
          <w:sz w:val="18"/>
          <w:szCs w:val="18"/>
          <w:color w:val="000000"/>
        </w:rPr>
        <w:t>March 29, 2025</w:t>
      </w:r>
      <w:r>
        <w:rPr>
          <w:rFonts w:ascii="Times New Roman" w:cs="Times New Roman" w:eastAsia="Times New Roman" w:hAnsi="Times New Roman"/>
          <w:sz w:val="18"/>
          <w:szCs w:val="18"/>
          <w:color w:val="101820"/>
        </w:rPr>
        <w:t xml:space="preserve"> was $109 million. Cash used in purchases of property and equipment was $14 million for that same period.</w:t>
      </w:r>
    </w:p>
    <w:p>
      <w:pPr>
        <w:spacing w:after="0" w:line="202" w:lineRule="exact"/>
        <w:rPr>
          <w:sz w:val="20"/>
          <w:szCs w:val="20"/>
          <w:color w:val="auto"/>
        </w:rPr>
      </w:pPr>
    </w:p>
    <w:p>
      <w:pPr>
        <w:jc w:val="both"/>
        <w:ind w:left="340" w:hanging="8"/>
        <w:spacing w:after="0" w:line="224" w:lineRule="auto"/>
        <w:tabs>
          <w:tab w:leader="none" w:pos="46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These expectations are based on estimated volumes, which are based on projections of future production volumes that were provided by our current and prospective OEMs at the time of sourcing the design wins for the models related to those design wins. Further, achievement of a design win is an estimate only and subject to multiple factors, many of which are outside of Mobileye’s control. Any statement on the timing of a design win is an estimate only and subject to change. See the disclaimer under the heading “Forward-Looking Statements” below for important limitations applicable to these estimates.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 for the 2025 Fiscal Year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101820"/>
        </w:rPr>
        <w:t>The following information reflects Mobileye’s expectations for Revenue, Operating Loss and Adjusted Operating Income results for the full year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01820"/>
        </w:rPr>
        <w:t xml:space="preserve"> This guidance, which is unchanged from the expectations disclosed in our January 30, 2025 earnings press release, incorporates our best estimates of production impacts related to current tariffs imposed on complete vehicles imported into the United States and announced tariffs on imported vehicle components used in US vehicle production expected to go into effect on May 3</w:t>
      </w:r>
      <w:r>
        <w:rPr>
          <w:rFonts w:ascii="Times New Roman" w:cs="Times New Roman" w:eastAsia="Times New Roman" w:hAnsi="Times New Roman"/>
          <w:sz w:val="29"/>
          <w:szCs w:val="29"/>
          <w:color w:val="101820"/>
          <w:vertAlign w:val="superscript"/>
        </w:rPr>
        <w:t>rd</w:t>
      </w:r>
      <w:r>
        <w:rPr>
          <w:rFonts w:ascii="Times New Roman" w:cs="Times New Roman" w:eastAsia="Times New Roman" w:hAnsi="Times New Roman"/>
          <w:sz w:val="18"/>
          <w:szCs w:val="18"/>
          <w:color w:val="101820"/>
        </w:rPr>
        <w:t>, 2025, but assuming no further tariff developments or increases.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01820"/>
        </w:rPr>
        <w:t>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Share-based compensation expense. These statements represent forward-looking information and may not represent a financial outlook, and actual results may vary. Please see the risks and assumptions referred to in the Forward-Looking Statements section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Full Year 2025</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00" w:type="dxa"/>
            <w:vAlign w:val="bottom"/>
          </w:tcPr>
          <w:p>
            <w:pPr>
              <w:spacing w:after="0"/>
              <w:rPr>
                <w:sz w:val="19"/>
                <w:szCs w:val="19"/>
                <w:color w:val="auto"/>
              </w:rPr>
            </w:pPr>
          </w:p>
        </w:tc>
      </w:tr>
      <w:tr>
        <w:trPr>
          <w:trHeight w:val="223"/>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1,810</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01820"/>
        </w:rPr>
        <w:t xml:space="preserve">Mobileye will host a conference call today, April 24, 2025, at 8:00 am ET (3:00pm IT) to review its results and provide a general business update. The conference call will be accessible live via a webcast on Mobileye’s investor relations site, which can be found at </w:t>
      </w:r>
      <w:r>
        <w:rPr>
          <w:rFonts w:ascii="Times New Roman" w:cs="Times New Roman" w:eastAsia="Times New Roman" w:hAnsi="Times New Roman"/>
          <w:sz w:val="18"/>
          <w:szCs w:val="18"/>
          <w:color w:val="000000"/>
        </w:rPr>
        <w:t>ir.mobileye.com, a</w:t>
      </w:r>
      <w:r>
        <w:rPr>
          <w:rFonts w:ascii="Times New Roman" w:cs="Times New Roman" w:eastAsia="Times New Roman" w:hAnsi="Times New Roman"/>
          <w:sz w:val="18"/>
          <w:szCs w:val="18"/>
          <w:color w:val="101820"/>
        </w:rPr>
        <w:t>nd a replay of the webcast will be made available shortly after the event’s conclusion.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(Loss) as operating loss presented in accordance with GAAP, adjusted to exclude amortization of acquisition related intangibles and share-based compensation expenses.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is calculated by dividing Adjusted Net Income for the period by the weighted-average number of common shares outstanding during the period. Adjusted Diluted EPS is calculated by dividing Adjusted Net Income (Loss) by the weighted-average number of common shares outstanding during the period, while giving effect to all potentially dilutive common shares to the extent they are 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approximately 210 million vehicles worldwide have been built with Mobileye technology inside. In 2022 Mobileye listed as an independent company separate from Intel (Nasdaq: INTC), which retains majority ownership. For more information, visit https://www.mobileye.com.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62626"/>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2025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62626"/>
        </w:rPr>
        <w:t xml:space="preserve">Important factors that may materially affect such forward-looking statements and projections include the following: further deterioration of macroeconomic conditions due to ongoing global economic and political uncertainty (as our current guidance assumes the estimated production and/or demand impact of current tariff conditions); </w:t>
      </w:r>
      <w:r>
        <w:rPr>
          <w:rFonts w:ascii="Times New Roman" w:cs="Times New Roman" w:eastAsia="Times New Roman" w:hAnsi="Times New Roman"/>
          <w:sz w:val="18"/>
          <w:szCs w:val="18"/>
          <w:color w:val="000000"/>
        </w:rPr>
        <w:t>future business, social and environmental performance, goals and measures; our anticipated growth prospects and trends in</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our ability to effectively compete in the markets in which we operate; future products and technology, and the expected availability and benefits of such products and technology; development of regulatory frameworks for current and future technology; changes in regulation and trade policy, including increased tariffs, in regions in which we operate, including the U.S., Europe and China;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adverse conditions in Israel, including as a result of war and geopolitical conflict, which may affect our operations and may limit our ability to produce and sell our solutions; any disruption in our operations by the obligations of our personnel to perform military service as a result of current or future military actions involving Israel; availability, uses, sufficiency and cost of capital and capital resources, including expected returns to stockholders such as dividends, and the expected timing of future dividends; tax- and accounting-related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8"/>
          <w:szCs w:val="18"/>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 xml:space="preserve">Detailed information regarding these and other factors that could affect Mobileye’s business and results is included in Mobileye’s SEC filings, including the company’s Annual Report on Form 10-K for the year ended December 28, 2024, particularly in the section entitled “Item 1A. Risk Factors”. Copies of these filings may be obtained by visiting our Investor Relations website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262626"/>
        </w:rPr>
        <w:t xml:space="preserve"> or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 (unaudited)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amounts</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30, 2024</w:t>
            </w:r>
          </w:p>
        </w:tc>
        <w:tc>
          <w:tcPr>
            <w:tcW w:w="100" w:type="dxa"/>
            <w:vAlign w:val="bottom"/>
          </w:tcPr>
          <w:p>
            <w:pPr>
              <w:spacing w:after="0"/>
              <w:rPr>
                <w:sz w:val="19"/>
                <w:szCs w:val="19"/>
                <w:color w:val="auto"/>
              </w:rPr>
            </w:pPr>
          </w:p>
        </w:tc>
      </w:tr>
      <w:tr>
        <w:trPr>
          <w:trHeight w:val="209"/>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185</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194"/>
        </w:trPr>
        <w:tc>
          <w:tcPr>
            <w:tcW w:w="8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 per share attributed to</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A and Class B stockholders (in millions):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806</w:t>
            </w:r>
          </w:p>
        </w:tc>
      </w:tr>
      <w:tr>
        <w:trPr>
          <w:trHeight w:val="675"/>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28,</w:t>
            </w: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00" w:type="dxa"/>
            <w:vAlign w:val="bottom"/>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30, 2024</w:t>
            </w:r>
          </w:p>
        </w:tc>
        <w:tc>
          <w:tcPr>
            <w:tcW w:w="100" w:type="dxa"/>
            <w:vAlign w:val="bottom"/>
            <w:gridSpan w:val="2"/>
          </w:tcPr>
          <w:p>
            <w:pPr>
              <w:spacing w:after="0"/>
              <w:rPr>
                <w:sz w:val="19"/>
                <w:szCs w:val="19"/>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120" w:type="dxa"/>
            <w:vAlign w:val="bottom"/>
          </w:tcPr>
          <w:p>
            <w:pPr>
              <w:spacing w:after="0"/>
              <w:rPr>
                <w:sz w:val="18"/>
                <w:szCs w:val="18"/>
                <w:color w:val="auto"/>
              </w:rPr>
            </w:pPr>
          </w:p>
        </w:tc>
        <w:tc>
          <w:tcPr>
            <w:tcW w:w="15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Decrease (increase) in other long term assets</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long-term liabilities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120" w:type="dxa"/>
            <w:vAlign w:val="bottom"/>
          </w:tcPr>
          <w:p>
            <w:pPr>
              <w:spacing w:after="0"/>
              <w:rPr>
                <w:sz w:val="19"/>
                <w:szCs w:val="19"/>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8"/>
        </w:trPr>
        <w:tc>
          <w:tcPr>
            <w:tcW w:w="7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20" w:type="dxa"/>
            <w:vAlign w:val="bottom"/>
          </w:tcPr>
          <w:p>
            <w:pPr>
              <w:spacing w:after="0"/>
              <w:rPr>
                <w:sz w:val="19"/>
                <w:szCs w:val="19"/>
                <w:color w:val="auto"/>
              </w:rPr>
            </w:pPr>
          </w:p>
        </w:tc>
        <w:tc>
          <w:tcPr>
            <w:tcW w:w="276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00" w:type="dxa"/>
            <w:vAlign w:val="bottom"/>
          </w:tcPr>
          <w:p>
            <w:pPr>
              <w:spacing w:after="0"/>
              <w:rPr>
                <w:sz w:val="19"/>
                <w:szCs w:val="19"/>
                <w:color w:val="auto"/>
              </w:rPr>
            </w:pP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160" w:type="dxa"/>
            <w:vAlign w:val="bottom"/>
          </w:tcPr>
          <w:p>
            <w:pPr>
              <w:spacing w:after="0"/>
              <w:rPr>
                <w:sz w:val="19"/>
                <w:szCs w:val="19"/>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3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6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20" w:type="dxa"/>
            <w:vAlign w:val="bottom"/>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w w:val="88"/>
              </w:rPr>
              <w:t>69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20" w:type="dxa"/>
            <w:vAlign w:val="bottom"/>
          </w:tcPr>
          <w:p>
            <w:pPr>
              <w:spacing w:after="0"/>
              <w:rPr>
                <w:sz w:val="18"/>
                <w:szCs w:val="18"/>
                <w:color w:val="auto"/>
              </w:rPr>
            </w:pPr>
          </w:p>
        </w:tc>
        <w:tc>
          <w:tcPr>
            <w:tcW w:w="126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w w:val="88"/>
              </w:rPr>
              <w:t>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5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and Margin to Non-GAAP Adjusted Operating Income and Margin</w:t>
      </w:r>
      <w:r>
        <w:rPr>
          <w:rFonts w:ascii="Times New Roman" w:cs="Times New Roman" w:eastAsia="Times New Roman" w:hAnsi="Times New Roman"/>
          <w:sz w:val="29"/>
          <w:szCs w:val="29"/>
          <w:color w:val="101820"/>
          <w:vertAlign w:val="superscript"/>
        </w:rPr>
        <w:t>3</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00" w:type="dxa"/>
            <w:vAlign w:val="bottom"/>
          </w:tcPr>
          <w:p>
            <w:pPr>
              <w:spacing w:after="0"/>
              <w:rPr>
                <w:sz w:val="19"/>
                <w:szCs w:val="19"/>
                <w:color w:val="auto"/>
              </w:rPr>
            </w:pPr>
          </w:p>
        </w:tc>
        <w:tc>
          <w:tcPr>
            <w:tcW w:w="278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200" w:type="dxa"/>
            <w:vAlign w:val="bottom"/>
          </w:tcPr>
          <w:p>
            <w:pPr>
              <w:spacing w:after="0"/>
              <w:rPr>
                <w:sz w:val="19"/>
                <w:szCs w:val="19"/>
                <w:color w:val="auto"/>
              </w:rPr>
            </w:pPr>
          </w:p>
        </w:tc>
        <w:tc>
          <w:tcPr>
            <w:tcW w:w="24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220" w:type="dxa"/>
            <w:vAlign w:val="bottom"/>
          </w:tcPr>
          <w:p>
            <w:pPr>
              <w:spacing w:after="0"/>
              <w:rPr>
                <w:sz w:val="19"/>
                <w:szCs w:val="19"/>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Revenue</w:t>
            </w:r>
          </w:p>
        </w:tc>
        <w:tc>
          <w:tcPr>
            <w:tcW w:w="220" w:type="dxa"/>
            <w:vAlign w:val="bottom"/>
            <w:tcBorders>
              <w:bottom w:val="single" w:sz="8" w:color="CCEEFF"/>
            </w:tcBorders>
          </w:tcPr>
          <w:p>
            <w:pPr>
              <w:spacing w:after="0"/>
              <w:rPr>
                <w:sz w:val="19"/>
                <w:szCs w:val="19"/>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1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3"/>
              </w:rPr>
              <w:t>)%</w:t>
            </w:r>
          </w:p>
        </w:tc>
      </w:tr>
      <w:tr>
        <w:trPr>
          <w:trHeight w:val="20"/>
        </w:trPr>
        <w:tc>
          <w:tcPr>
            <w:tcW w:w="5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101820"/>
          <w:vertAlign w:val="superscript"/>
        </w:rPr>
        <w:t>3</w:t>
      </w:r>
      <w:r>
        <w:rPr>
          <w:rFonts w:ascii="Times New Roman" w:cs="Times New Roman" w:eastAsia="Times New Roman" w:hAnsi="Times New Roman"/>
          <w:sz w:val="18"/>
          <w:szCs w:val="18"/>
          <w:color w:val="auto"/>
        </w:rPr>
        <w:t>Adjusted operating margin is calculated as adjusted operating income (loss)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7"/>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March 30, 2024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Amount</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r>
      <w:tr>
        <w:trPr>
          <w:trHeight w:val="589"/>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 Average System Price (unaudited)</w:t>
            </w:r>
            <w:r>
              <w:rPr>
                <w:rFonts w:ascii="Times New Roman" w:cs="Times New Roman" w:eastAsia="Times New Roman" w:hAnsi="Times New Roman"/>
                <w:sz w:val="29"/>
                <w:szCs w:val="29"/>
                <w:color w:val="auto"/>
                <w:vertAlign w:val="superscript"/>
              </w:rPr>
              <w:t>4</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00" w:type="dxa"/>
            <w:vAlign w:val="bottom"/>
          </w:tcPr>
          <w:p>
            <w:pPr>
              <w:spacing w:after="0"/>
              <w:rPr>
                <w:sz w:val="24"/>
                <w:szCs w:val="24"/>
                <w:color w:val="auto"/>
              </w:rPr>
            </w:pPr>
          </w:p>
        </w:tc>
        <w:tc>
          <w:tcPr>
            <w:tcW w:w="12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Q3 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Q1 2025</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EyeQ and SuperVision revenue (U.S. dollars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1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54.4</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bl>
    <w:p>
      <w:pPr>
        <w:spacing w:after="0" w:line="201"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Average System Price is calculated as the sum of revenue related to EyeQ</w:t>
      </w:r>
      <w:r>
        <w:rPr>
          <w:rFonts w:ascii="Times New Roman" w:cs="Times New Roman" w:eastAsia="Times New Roman" w:hAnsi="Times New Roman"/>
          <w:sz w:val="29"/>
          <w:szCs w:val="29"/>
          <w:color w:val="000000"/>
          <w:vertAlign w:val="superscript"/>
        </w:rPr>
        <w:t>TM</w:t>
      </w:r>
      <w:r>
        <w:rPr>
          <w:rFonts w:ascii="Times New Roman" w:cs="Times New Roman" w:eastAsia="Times New Roman" w:hAnsi="Times New Roman"/>
          <w:sz w:val="18"/>
          <w:szCs w:val="18"/>
          <w:color w:val="101820"/>
        </w:rPr>
        <w:t xml:space="preserve"> and SuperVision systems, divided by the number of systems shipped.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2025-04-24T06:37:40Z</dcterms:created>
  <dcterms:modified xsi:type="dcterms:W3CDTF">2025-04-24T06:37:40Z</dcterms:modified>
</cp:coreProperties>
</file>