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300"/>
          </w:cols>
          <w:pgMar w:left="580" w:top="205" w:right="1019"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525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supplement and the accompanying prospectus are not an offer to</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or sale is not permitted.</w:t>
            </w:r>
          </w:p>
        </w:tc>
      </w:tr>
      <w:tr>
        <w:trPr>
          <w:trHeight w:val="300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 may change. This preliminary</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in any jurisdiction where the offer</w:t>
            </w:r>
          </w:p>
        </w:tc>
      </w:tr>
      <w:tr>
        <w:trPr>
          <w:trHeight w:val="206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supplement is not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soliciting an offer to buy these</w:t>
            </w:r>
          </w:p>
        </w:tc>
      </w:tr>
      <w:tr>
        <w:trPr>
          <w:trHeight w:val="210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information in this preliminary</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and we are not</w:t>
            </w:r>
          </w:p>
        </w:tc>
      </w:tr>
      <w:tr>
        <w:trPr>
          <w:trHeight w:val="27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6"/>
              </w:rPr>
              <w:t>The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4"/>
              </w:rPr>
              <w:t>sell</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 Filed pursuant to Rule 424(b)(7)​</w:t>
      </w:r>
    </w:p>
    <w:p>
      <w:pPr>
        <w:jc w:val="right"/>
        <w:ind w:right="20"/>
        <w:spacing w:after="0" w:line="206" w:lineRule="auto"/>
        <w:rPr>
          <w:sz w:val="20"/>
          <w:szCs w:val="20"/>
          <w:color w:val="auto"/>
        </w:rPr>
      </w:pPr>
      <w:r>
        <w:rPr>
          <w:rFonts w:ascii="Times New Roman" w:cs="Times New Roman" w:eastAsia="Times New Roman" w:hAnsi="Times New Roman"/>
          <w:sz w:val="18"/>
          <w:szCs w:val="18"/>
          <w:b w:val="1"/>
          <w:bCs w:val="1"/>
          <w:color w:val="auto"/>
        </w:rPr>
        <w:t> Registration No. 333-277937​</w:t>
      </w:r>
    </w:p>
    <w:p>
      <w:pPr>
        <w:ind w:left="2860"/>
        <w:spacing w:after="0" w:line="211" w:lineRule="auto"/>
        <w:rPr>
          <w:sz w:val="20"/>
          <w:szCs w:val="20"/>
          <w:color w:val="auto"/>
        </w:rPr>
      </w:pPr>
      <w:r>
        <w:rPr>
          <w:rFonts w:ascii="Times New Roman" w:cs="Times New Roman" w:eastAsia="Times New Roman" w:hAnsi="Times New Roman"/>
          <w:sz w:val="16"/>
          <w:szCs w:val="16"/>
          <w:b w:val="1"/>
          <w:bCs w:val="1"/>
          <w:color w:val="FC0014"/>
        </w:rPr>
        <w:t>PRELIMINARY PROSPECTUS SUPPLEMENT</w:t>
      </w:r>
    </w:p>
    <w:p>
      <w:pPr>
        <w:spacing w:after="0" w:line="1"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6"/>
          <w:szCs w:val="16"/>
          <w:b w:val="1"/>
          <w:bCs w:val="1"/>
          <w:color w:val="FC0014"/>
        </w:rPr>
        <w:t>SUBJECT TO COMPLETION, DATED JULY 8, 2025</w:t>
      </w:r>
    </w:p>
    <w:p>
      <w:pPr>
        <w:spacing w:after="0" w:line="214" w:lineRule="auto"/>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rPr>
          <w:sz w:val="20"/>
          <w:szCs w:val="20"/>
          <w:color w:val="auto"/>
        </w:rPr>
      </w:pPr>
      <w:r>
        <w:rPr>
          <w:rFonts w:ascii="Times New Roman" w:cs="Times New Roman" w:eastAsia="Times New Roman" w:hAnsi="Times New Roman"/>
          <w:sz w:val="16"/>
          <w:szCs w:val="16"/>
          <w:b w:val="1"/>
          <w:bCs w:val="1"/>
          <w:color w:val="auto"/>
        </w:rPr>
        <w:t>(To Prospectus Dated March 14, 2024)</w:t>
      </w:r>
      <w:r>
        <w:rPr>
          <w:rFonts w:ascii="Times New Roman" w:cs="Times New Roman" w:eastAsia="Times New Roman" w:hAnsi="Times New Roman"/>
          <w:sz w:val="17"/>
          <w:szCs w:val="17"/>
          <w:color w:val="auto"/>
        </w:rPr>
        <w:t>​</w:t>
      </w:r>
    </w:p>
    <w:p>
      <w:pPr>
        <w:spacing w:after="0" w:line="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45,000,000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2356485</wp:posOffset>
            </wp:positionH>
            <wp:positionV relativeFrom="paragraph">
              <wp:posOffset>40640</wp:posOffset>
            </wp:positionV>
            <wp:extent cx="1071880"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88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Mobileye Global Inc.</w:t>
      </w:r>
    </w:p>
    <w:p>
      <w:pPr>
        <w:spacing w:after="0" w:line="3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9" w:lineRule="exact"/>
        <w:rPr>
          <w:sz w:val="24"/>
          <w:szCs w:val="24"/>
          <w:color w:val="auto"/>
        </w:rPr>
      </w:pPr>
    </w:p>
    <w:p>
      <w:pPr>
        <w:ind w:right="120" w:firstLine="360"/>
        <w:spacing w:after="0" w:line="219" w:lineRule="auto"/>
        <w:rPr>
          <w:sz w:val="20"/>
          <w:szCs w:val="20"/>
          <w:color w:val="auto"/>
        </w:rPr>
      </w:pPr>
      <w:r>
        <w:rPr>
          <w:rFonts w:ascii="Times New Roman" w:cs="Times New Roman" w:eastAsia="Times New Roman" w:hAnsi="Times New Roman"/>
          <w:sz w:val="16"/>
          <w:szCs w:val="16"/>
          <w:color w:val="auto"/>
        </w:rPr>
        <w:t>The selling stockholder identified in this prospectus supplement, Intel Overseas Funding Corporation, a wholly owned subsidiary of Intel Corporation (“Intel”), is offering 45,000,000 shares of our Class A common stock. The shares of Class A common stock being offered by the selling stockholder represent shares of Class A common stock issuable to the selling stockholder upon conversion of shares of our Class B common stock held by the selling stockholder immediately prior to closing of this offering. See “Principal and Selling Stockholders.” We will not receive any proceeds from this offering.</w:t>
      </w:r>
    </w:p>
    <w:p>
      <w:pPr>
        <w:spacing w:after="0" w:line="7" w:lineRule="exact"/>
        <w:rPr>
          <w:sz w:val="24"/>
          <w:szCs w:val="24"/>
          <w:color w:val="auto"/>
        </w:rPr>
      </w:pPr>
    </w:p>
    <w:p>
      <w:pPr>
        <w:ind w:right="500" w:firstLine="360"/>
        <w:spacing w:after="0" w:line="245" w:lineRule="auto"/>
        <w:rPr>
          <w:sz w:val="20"/>
          <w:szCs w:val="20"/>
          <w:color w:val="auto"/>
        </w:rPr>
      </w:pPr>
      <w:r>
        <w:rPr>
          <w:rFonts w:ascii="Times New Roman" w:cs="Times New Roman" w:eastAsia="Times New Roman" w:hAnsi="Times New Roman"/>
          <w:sz w:val="16"/>
          <w:szCs w:val="16"/>
          <w:color w:val="auto"/>
        </w:rPr>
        <w:t>Our Class A common stock is listed on The Nasdaq Global Select Market (“Nasdaq”) under the symbol “MBLY.” The last reported sale price of our Class A common stock on the Nasdaq on July 7, 2025 was $18.41 per share.</w:t>
      </w:r>
    </w:p>
    <w:p>
      <w:pPr>
        <w:spacing w:after="0" w:line="2" w:lineRule="exact"/>
        <w:rPr>
          <w:sz w:val="24"/>
          <w:szCs w:val="24"/>
          <w:color w:val="auto"/>
        </w:rPr>
      </w:pPr>
    </w:p>
    <w:p>
      <w:pPr>
        <w:jc w:val="both"/>
        <w:ind w:right="80" w:firstLine="360"/>
        <w:spacing w:after="0" w:line="216" w:lineRule="auto"/>
        <w:rPr>
          <w:sz w:val="20"/>
          <w:szCs w:val="20"/>
          <w:color w:val="auto"/>
        </w:rPr>
      </w:pPr>
      <w:r>
        <w:rPr>
          <w:rFonts w:ascii="Times New Roman" w:cs="Times New Roman" w:eastAsia="Times New Roman" w:hAnsi="Times New Roman"/>
          <w:sz w:val="16"/>
          <w:szCs w:val="16"/>
          <w:color w:val="auto"/>
        </w:rPr>
        <w:t>We have two classes of authorized common stock: Class A common stock and Class B common stock. The rights of the holders of our Class A common stock and Class B common stock are identical, except with respect to voting, transfer, and conversion rights. Each share of our Class A common stock is entitled to one vote. Each share of our Class B common stock is entitled to ten votes and is convertible at any time into one share of our Class A common stock, subject to certain conditions. Intel beneficially owns all of the outstanding shares of our Class B common stock representing approximately 98.6% of the voting power of our common stock.</w:t>
      </w:r>
    </w:p>
    <w:p>
      <w:pPr>
        <w:ind w:right="220"/>
        <w:spacing w:after="0"/>
        <w:rPr>
          <w:sz w:val="20"/>
          <w:szCs w:val="20"/>
          <w:color w:val="auto"/>
        </w:rPr>
      </w:pPr>
      <w:r>
        <w:rPr>
          <w:rFonts w:ascii="Times New Roman" w:cs="Times New Roman" w:eastAsia="Times New Roman" w:hAnsi="Times New Roman"/>
          <w:sz w:val="16"/>
          <w:szCs w:val="16"/>
          <w:color w:val="auto"/>
        </w:rPr>
        <w:t>Immediately following the completion of this offering, the Concurrent Share Repurchase (as defined below) and the Conversion (as defined below), Intel will continue to beneficially own all of the outstanding shares of our Class B common stock and will beneficially own 50 million shares of our Class A common stock, which will represent approximately 81.9% of our outstanding common stock (or approximately 81.1% if the underwriters exercise their option to purchase additional shares of our Class A common stock in full) and approximately 97.7% of the voting power of our common stock (or approximately 97.6% if the underwriters exercise their option to purchase additional shares of our Class A common stock in full). As a result, we are and will continue to be a “controlled company” within the meaning of the corporate governance standards of Nasdaq. See “Management —  Controlled Company Exemption.”</w:t>
      </w:r>
    </w:p>
    <w:p>
      <w:pPr>
        <w:spacing w:after="0" w:line="44" w:lineRule="exact"/>
        <w:rPr>
          <w:sz w:val="24"/>
          <w:szCs w:val="24"/>
          <w:color w:val="auto"/>
        </w:rPr>
      </w:pPr>
    </w:p>
    <w:p>
      <w:pPr>
        <w:ind w:right="120" w:firstLine="360"/>
        <w:spacing w:after="0" w:line="218" w:lineRule="auto"/>
        <w:rPr>
          <w:sz w:val="20"/>
          <w:szCs w:val="20"/>
          <w:color w:val="auto"/>
        </w:rPr>
      </w:pPr>
      <w:r>
        <w:rPr>
          <w:rFonts w:ascii="Times New Roman" w:cs="Times New Roman" w:eastAsia="Times New Roman" w:hAnsi="Times New Roman"/>
          <w:sz w:val="16"/>
          <w:szCs w:val="16"/>
          <w:color w:val="auto"/>
        </w:rPr>
        <w:t>Pursuant to a privately negotiated agreement between us and the selling stockholder, we have separately agreed to purchase from the selling stockholder $100 million aggregate amount of shares of Class A common stock in a private transaction at a price per share equal to the per share price at which the underwriters will purchase the Class A common stock from the selling stockholder in this offering (the “Concurrent Share Repurchase”). Accordingly, assuming a repurchase price of $18.41 per share, which was the last reported sale price per share of our Class A common stock on Nasdaq on July 7, 2025, we expect to repurchase 5,431,831 shares of Class A common stock in the Concurrent Share Repurchase transaction upon the closing of this offering. This offering is not conditioned upon the closing of the Concurrent Share Repurchase or the Conversion, but the Concurrent Share Repurchase and the Conversion are conditioned upon the closing of this offering. The underwriters will not receive any compensation for the shares of our Class A common stock being repurchased by us. See “Concurrent Share Repurchase.”</w:t>
      </w:r>
    </w:p>
    <w:p>
      <w:pPr>
        <w:spacing w:after="0" w:line="8" w:lineRule="exact"/>
        <w:rPr>
          <w:sz w:val="24"/>
          <w:szCs w:val="24"/>
          <w:color w:val="auto"/>
        </w:rPr>
      </w:pPr>
    </w:p>
    <w:p>
      <w:pPr>
        <w:ind w:right="240" w:firstLine="360"/>
        <w:spacing w:after="0"/>
        <w:rPr>
          <w:sz w:val="20"/>
          <w:szCs w:val="20"/>
          <w:color w:val="auto"/>
        </w:rPr>
      </w:pPr>
      <w:r>
        <w:rPr>
          <w:rFonts w:ascii="Times New Roman" w:cs="Times New Roman" w:eastAsia="Times New Roman" w:hAnsi="Times New Roman"/>
          <w:sz w:val="16"/>
          <w:szCs w:val="16"/>
          <w:color w:val="auto"/>
        </w:rPr>
        <w:t>In addition, the selling stockholder has informed us of its plan to voluntarily convert an additional 50 million shares of our outstanding Class B common stock that it holds into 50 million shares of Class A common stock, contingent on the closing of this offering (the “Conversion”). The selling stockholder has further informed us that it intends to hold such shares of Class A common stock at this time and that the Conversion is being effected solely to increase the number of shares of Class A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90170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1" w:lineRule="exact"/>
        <w:rPr>
          <w:sz w:val="24"/>
          <w:szCs w:val="24"/>
          <w:color w:val="auto"/>
        </w:rPr>
      </w:pPr>
    </w:p>
    <w:p>
      <w:pPr>
        <w:ind w:right="180" w:firstLine="360"/>
        <w:spacing w:after="0" w:line="23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Investing in our common stock involves risks. See “Risk Factors” beginning on page </w:t>
      </w:r>
      <w:r>
        <w:rPr>
          <w:rFonts w:ascii="Times New Roman" w:cs="Times New Roman" w:eastAsia="Times New Roman" w:hAnsi="Times New Roman"/>
          <w:sz w:val="16"/>
          <w:szCs w:val="16"/>
          <w:b w:val="1"/>
          <w:bCs w:val="1"/>
          <w:u w:val="single" w:color="auto"/>
          <w:color w:val="0000EE"/>
        </w:rPr>
        <w:t>S-9</w:t>
      </w:r>
      <w:r>
        <w:rPr>
          <w:rFonts w:ascii="Times New Roman" w:cs="Times New Roman" w:eastAsia="Times New Roman" w:hAnsi="Times New Roman"/>
          <w:sz w:val="16"/>
          <w:szCs w:val="16"/>
          <w:b w:val="1"/>
          <w:bCs w:val="1"/>
          <w:color w:val="auto"/>
        </w:rPr>
        <w:t xml:space="preserve">, and the information in the section entitled “Item 1.A. Risk Factors” in </w:t>
      </w:r>
      <w:hyperlink r:id="rId10">
        <w:r>
          <w:rPr>
            <w:rFonts w:ascii="Times New Roman" w:cs="Times New Roman" w:eastAsia="Times New Roman" w:hAnsi="Times New Roman"/>
            <w:sz w:val="16"/>
            <w:szCs w:val="16"/>
            <w:b w:val="1"/>
            <w:bCs w:val="1"/>
            <w:u w:val="single" w:color="auto"/>
            <w:color w:val="0000EE"/>
          </w:rPr>
          <w:t>our Annual Report on Form 10-K for the year ended December 28, 2024</w:t>
        </w:r>
        <w:r>
          <w:rPr>
            <w:rFonts w:ascii="Times New Roman" w:cs="Times New Roman" w:eastAsia="Times New Roman" w:hAnsi="Times New Roman"/>
            <w:sz w:val="16"/>
            <w:szCs w:val="16"/>
            <w:b w:val="1"/>
            <w:bCs w:val="1"/>
            <w:u w:val="single" w:color="auto"/>
            <w:color w:val="auto"/>
          </w:rPr>
          <w:t xml:space="preserve"> </w:t>
        </w:r>
      </w:hyperlink>
      <w:r>
        <w:rPr>
          <w:rFonts w:ascii="Times New Roman" w:cs="Times New Roman" w:eastAsia="Times New Roman" w:hAnsi="Times New Roman"/>
          <w:sz w:val="16"/>
          <w:szCs w:val="16"/>
          <w:b w:val="1"/>
          <w:bCs w:val="1"/>
          <w:color w:val="auto"/>
        </w:rPr>
        <w:t>(the “2024 Form 10-K”) incorporated by reference herein, to read about certain factors you should consider before buying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46990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33" w:lineRule="exact"/>
        <w:rPr>
          <w:sz w:val="24"/>
          <w:szCs w:val="24"/>
          <w:color w:val="auto"/>
        </w:rPr>
      </w:pPr>
    </w:p>
    <w:p>
      <w:pPr>
        <w:ind w:right="200" w:firstLine="360"/>
        <w:spacing w:after="0" w:line="233"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(the “SEC”) nor any state securities commission has approved or disapproved of these securities or passed upon the adequacy or accuracy of this prospectus supplement and the accompanying prospectus. Any representation to the contrary is a criminal offense.</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Per Share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2080" w:type="dxa"/>
            <w:vAlign w:val="bottom"/>
            <w:vMerge w:val="restart"/>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83"/>
        </w:trPr>
        <w:tc>
          <w:tcPr>
            <w:tcW w:w="5600" w:type="dxa"/>
            <w:vAlign w:val="bottom"/>
            <w:gridSpan w:val="2"/>
            <w:vMerge w:val="continue"/>
            <w:shd w:val="clear" w:color="auto" w:fill="CCEEFF"/>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8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 xml:space="preserve">​$         </w:t>
            </w:r>
          </w:p>
        </w:tc>
        <w:tc>
          <w:tcPr>
            <w:tcW w:w="140" w:type="dxa"/>
            <w:vAlign w:val="bottom"/>
            <w:vMerge w:val="continue"/>
            <w:shd w:val="clear" w:color="auto" w:fill="CCEEFF"/>
          </w:tcPr>
          <w:p>
            <w:pPr>
              <w:spacing w:after="0"/>
              <w:rPr>
                <w:sz w:val="15"/>
                <w:szCs w:val="15"/>
                <w:color w:val="auto"/>
              </w:rPr>
            </w:pPr>
          </w:p>
        </w:tc>
        <w:tc>
          <w:tcPr>
            <w:tcW w:w="580" w:type="dxa"/>
            <w:vAlign w:val="bottom"/>
            <w:gridSpan w:val="3"/>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 xml:space="preserve">​​$         </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19"/>
                <w:szCs w:val="19"/>
                <w:color w:val="auto"/>
                <w:vertAlign w:val="superscript"/>
              </w:rPr>
              <w:t>(1)</w:t>
            </w:r>
          </w:p>
        </w:tc>
        <w:tc>
          <w:tcPr>
            <w:tcW w:w="218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the selling stockholder</w:t>
            </w:r>
          </w:p>
        </w:tc>
        <w:tc>
          <w:tcPr>
            <w:tcW w:w="21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shd w:val="clear" w:color="auto" w:fill="CCEEFF"/>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1940" w:type="dxa"/>
            <w:vAlign w:val="bottom"/>
            <w:tcBorders>
              <w:bottom w:val="single" w:sz="8" w:color="auto"/>
            </w:tcBorders>
          </w:tcPr>
          <w:p>
            <w:pPr>
              <w:spacing w:after="0"/>
              <w:rPr>
                <w:sz w:val="15"/>
                <w:szCs w:val="15"/>
                <w:color w:val="auto"/>
              </w:rPr>
            </w:pPr>
          </w:p>
        </w:tc>
        <w:tc>
          <w:tcPr>
            <w:tcW w:w="3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-496570</wp:posOffset>
            </wp:positionV>
            <wp:extent cx="5452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115" w:lineRule="exact"/>
        <w:rPr>
          <w:sz w:val="24"/>
          <w:szCs w:val="24"/>
          <w:color w:val="auto"/>
        </w:rPr>
      </w:pPr>
    </w:p>
    <w:p>
      <w:pPr>
        <w:ind w:left="360" w:hanging="360"/>
        <w:spacing w:after="0"/>
        <w:tabs>
          <w:tab w:leader="none" w:pos="3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“Underwriting” for a description of the compensation payable to the underwriters.</w:t>
      </w:r>
    </w:p>
    <w:p>
      <w:pPr>
        <w:spacing w:after="0" w:line="59" w:lineRule="exact"/>
        <w:rPr>
          <w:sz w:val="24"/>
          <w:szCs w:val="24"/>
          <w:color w:val="auto"/>
        </w:rPr>
      </w:pPr>
    </w:p>
    <w:p>
      <w:pPr>
        <w:ind w:right="340" w:firstLine="360"/>
        <w:spacing w:after="0" w:line="245" w:lineRule="auto"/>
        <w:rPr>
          <w:sz w:val="20"/>
          <w:szCs w:val="20"/>
          <w:color w:val="auto"/>
        </w:rPr>
      </w:pPr>
      <w:r>
        <w:rPr>
          <w:rFonts w:ascii="Times New Roman" w:cs="Times New Roman" w:eastAsia="Times New Roman" w:hAnsi="Times New Roman"/>
          <w:sz w:val="16"/>
          <w:szCs w:val="16"/>
          <w:color w:val="auto"/>
        </w:rPr>
        <w:t>The selling stockholder has granted the underwriters a 30-day option to purchase up to an additional 6,750,000 shares of our Class A common stock at the public offering price less the underwriting discount.</w:t>
      </w:r>
    </w:p>
    <w:p>
      <w:pPr>
        <w:spacing w:after="0" w:line="2" w:lineRule="exact"/>
        <w:rPr>
          <w:sz w:val="24"/>
          <w:szCs w:val="24"/>
          <w:color w:val="auto"/>
        </w:rPr>
      </w:pPr>
    </w:p>
    <w:p>
      <w:pPr>
        <w:ind w:left="360"/>
        <w:spacing w:after="0"/>
        <w:tabs>
          <w:tab w:leader="none" w:pos="7860" w:val="left"/>
        </w:tabs>
        <w:rPr>
          <w:sz w:val="20"/>
          <w:szCs w:val="20"/>
          <w:color w:val="auto"/>
        </w:rPr>
      </w:pPr>
      <w:r>
        <w:rPr>
          <w:rFonts w:ascii="Times New Roman" w:cs="Times New Roman" w:eastAsia="Times New Roman" w:hAnsi="Times New Roman"/>
          <w:sz w:val="16"/>
          <w:szCs w:val="16"/>
          <w:color w:val="auto"/>
        </w:rPr>
        <w:t>The underwriters expect to deliver the shares of Class A common stock against payment on or about</w:t>
      </w:r>
      <w:r>
        <w:rPr>
          <w:sz w:val="20"/>
          <w:szCs w:val="20"/>
          <w:color w:val="auto"/>
        </w:rPr>
        <w:tab/>
      </w:r>
      <w:r>
        <w:rPr>
          <w:rFonts w:ascii="Times New Roman" w:cs="Times New Roman" w:eastAsia="Times New Roman" w:hAnsi="Times New Roman"/>
          <w:sz w:val="16"/>
          <w:szCs w:val="16"/>
          <w:color w:val="auto"/>
        </w:rPr>
        <w:t>, 2025.</w:t>
      </w:r>
    </w:p>
    <w:p>
      <w:pPr>
        <w:spacing w:after="0" w:line="26" w:lineRule="exact"/>
        <w:rPr>
          <w:sz w:val="24"/>
          <w:szCs w:val="24"/>
          <w:color w:val="auto"/>
        </w:rPr>
      </w:pPr>
    </w:p>
    <w:p>
      <w:pPr>
        <w:spacing w:after="0"/>
        <w:tabs>
          <w:tab w:leader="none" w:pos="560" w:val="left"/>
          <w:tab w:leader="none" w:pos="4460" w:val="left"/>
          <w:tab w:leader="none" w:pos="5920" w:val="left"/>
          <w:tab w:leader="none" w:pos="9060" w:val="left"/>
        </w:tabs>
        <w:rPr>
          <w:sz w:val="20"/>
          <w:szCs w:val="20"/>
          <w:color w:val="auto"/>
        </w:rPr>
      </w:pP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Goldman Sachs &amp; Co. LLC</w:t>
      </w:r>
      <w:r>
        <w:rPr>
          <w:sz w:val="20"/>
          <w:szCs w:val="20"/>
          <w:color w:val="auto"/>
        </w:rPr>
        <w:tab/>
      </w: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9"/>
          <w:szCs w:val="29"/>
          <w:b w:val="1"/>
          <w:bCs w:val="1"/>
          <w:color w:val="auto"/>
        </w:rPr>
        <w:t>​</w:t>
      </w:r>
    </w:p>
    <w:p>
      <w:pPr>
        <w:spacing w:after="0" w:line="170" w:lineRule="exact"/>
        <w:rPr>
          <w:sz w:val="24"/>
          <w:szCs w:val="24"/>
          <w:color w:val="auto"/>
        </w:rPr>
      </w:pPr>
    </w:p>
    <w:p>
      <w:pPr>
        <w:sectPr>
          <w:pgSz w:w="11900" w:h="16838" w:orient="portrait"/>
          <w:cols w:equalWidth="0" w:num="2">
            <w:col w:w="740" w:space="400"/>
            <w:col w:w="9160"/>
          </w:cols>
          <w:pgMar w:left="580" w:top="205" w:right="1019" w:bottom="1440" w:gutter="0" w:footer="0" w:header="0"/>
          <w:type w:val="continuous"/>
        </w:sectPr>
      </w:pPr>
    </w:p>
    <w:p>
      <w:pPr>
        <w:ind w:left="4220"/>
        <w:spacing w:after="0"/>
        <w:tabs>
          <w:tab w:leader="none" w:pos="6760" w:val="left"/>
        </w:tabs>
        <w:rPr>
          <w:sz w:val="20"/>
          <w:szCs w:val="20"/>
          <w:color w:val="auto"/>
        </w:rPr>
      </w:pPr>
      <w:r>
        <w:rPr>
          <w:rFonts w:ascii="Times New Roman" w:cs="Times New Roman" w:eastAsia="Times New Roman" w:hAnsi="Times New Roman"/>
          <w:sz w:val="16"/>
          <w:szCs w:val="16"/>
          <w:b w:val="1"/>
          <w:bCs w:val="1"/>
          <w:color w:val="auto"/>
        </w:rPr>
        <w:t>Prospectus Supplement dated</w:t>
      </w:r>
      <w:r>
        <w:rPr>
          <w:sz w:val="20"/>
          <w:szCs w:val="20"/>
          <w:color w:val="auto"/>
        </w:rPr>
        <w:tab/>
      </w:r>
      <w:r>
        <w:rPr>
          <w:rFonts w:ascii="Times New Roman" w:cs="Times New Roman" w:eastAsia="Times New Roman" w:hAnsi="Times New Roman"/>
          <w:sz w:val="15"/>
          <w:szCs w:val="15"/>
          <w:b w:val="1"/>
          <w:bCs w:val="1"/>
          <w:color w:val="auto"/>
        </w:rPr>
        <w:t>,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240665</wp:posOffset>
            </wp:positionV>
            <wp:extent cx="68065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300"/>
          </w:cols>
          <w:pgMar w:left="580" w:top="205" w:right="101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-214630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Supplement 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Concurrent Share Repurchase and Conversion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 Federal Income Tax Considerations for Non-U.S. 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by Reference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Additional Information</w:t>
      </w:r>
    </w:p>
    <w:p>
      <w:pPr>
        <w:spacing w:after="0" w:line="2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50" w:lineRule="exact"/>
        <w:rPr>
          <w:sz w:val="20"/>
          <w:szCs w:val="20"/>
          <w:color w:val="auto"/>
        </w:rPr>
      </w:pPr>
    </w:p>
    <w:p>
      <w:pPr>
        <w:ind w:left="1260" w:right="940"/>
        <w:spacing w:after="0" w:line="305" w:lineRule="auto"/>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-184785</wp:posOffset>
            </wp:positionV>
            <wp:extent cx="52120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SECURITYHOLDERS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680"/>
        <w:spacing w:after="0" w:line="344" w:lineRule="auto"/>
        <w:rPr>
          <w:sz w:val="20"/>
          <w:szCs w:val="20"/>
          <w:color w:val="auto"/>
        </w:rPr>
      </w:pPr>
      <w:r>
        <w:rPr>
          <w:rFonts w:ascii="Times New Roman" w:cs="Times New Roman" w:eastAsia="Times New Roman" w:hAnsi="Times New Roman"/>
          <w:sz w:val="18"/>
          <w:szCs w:val="18"/>
          <w:u w:val="single" w:color="auto"/>
          <w:color w:val="0000EE"/>
        </w:rPr>
        <w:t>WHERE YOU CAN FIND MORE INFORMATION INCORPORATION OF CERTAIN DOCUMENTS BY REFERENCE</w:t>
      </w:r>
    </w:p>
    <w:p>
      <w:pPr>
        <w:spacing w:after="0" w:line="1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S-9</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0"/>
          <w:szCs w:val="10"/>
          <w:b w:val="1"/>
          <w:bCs w:val="1"/>
          <w:color w:val="auto"/>
        </w:rPr>
        <w:t>AGE</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9" w:lineRule="exact"/>
        <w:rPr>
          <w:sz w:val="20"/>
          <w:szCs w:val="20"/>
          <w:color w:val="auto"/>
        </w:rPr>
      </w:pPr>
    </w:p>
    <w:p>
      <w:pPr>
        <w:sectPr>
          <w:pgSz w:w="11900" w:h="16838" w:orient="portrait"/>
          <w:cols w:equalWidth="0" w:num="2">
            <w:col w:w="8160" w:space="720"/>
            <w:col w:w="999"/>
          </w:cols>
          <w:pgMar w:left="580" w:top="97" w:right="1440" w:bottom="1440" w:gutter="0" w:footer="0" w:header="0"/>
          <w:type w:val="continuous"/>
        </w:sect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U.S. Securities and Exchange Commission (the “SEC”) using a “shelf” registration process. The accompanying prospectus provides you with a general description of the securities that may be offered by us or any selling shareholder, some of which may not apply to this offering. This prospectus supplement and the information incorporated by reference in this prospectus supplement adds to, updates and, where applicable, modifies and supersedes information contained or incorporated by reference in the accompanying prospectus. If there is any inconsistency between the information in this prospectus supplement and in the accompanying prospectus, you should rely on the information in this prospectus supplement. Before purchasing shares of Class A common stock, you should carefully read both this prospectus supplement and the accompanying prospectus, together with the additional information described under the heading “Incorporation by Reference.” These documents contain important information that</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auto"/>
        </w:rPr>
        <w:t>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this prospectus supplement, all references to “we,” “us,” “our,” our “company,” “Mobileye,” the “Company,” and similar terms refer to Mobileye Global Inc. and its consolidated subsidiaries, except as the context requires with respect to our historical results of operations as described in our historical financial statements incorporated by reference herein. References to “Moovit” refer to GG Acquisition Ltd., Moovit App Global Ltd., and their consolidated subsidiaries.</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a 52- or 53-week fiscal year that ends on the last Saturday in December. Fiscal years 2024 and 2023 were 52-week fiscal years; fiscal year 2022 was a 53-week fiscal year. Fiscal year 2025 will be a 52-week fiscal year. Any references to our performance for the years 2024, 2023 and 2022, are references to our fiscal years ended December 28, 2024, December 30, 2023 and December 31, 2022, respectively, and all references to our financial condition as of the end of 2024 and 2023 are references to the end of such fiscal years. Certain amounts, percentages, and other figures presented in this prospectus supplement have been subject to rounding adjustments. Accordingly, figures shown as totals, dollars, or percentage amounts of changes may not represent the arithmetic summation or calculation of the figures that precede them.</w:t>
      </w:r>
    </w:p>
    <w:p>
      <w:pPr>
        <w:spacing w:after="0" w:line="11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Neither we, the selling stockholder nor any of the underwriters has authorized anyone to provide you with different or additional information or to make any representations other than those contained in this prospectus supplement, the accompanying prospectus or in any free writing prospectuses we have authorized for use with respect to this offering. We, the selling stockholder and the underwriters take no responsibility for, and can provide no assurance as to the reliability of, any other information that others may give you or any representation that others may make to you. We, the selling stockholder and the underwriters are not making an offer of these securities in any state, country, or other jurisdiction where the offer is not permitted. You should not assume that the information in this prospectus supplement, the accompanying prospectus or any free writing prospectus is accurate as of any date other than the date of the applicable document regardless of its time of delivery or the time of any sales of our common stock. Our business, results of operations, and financial condition may have changed since the date of the applicable document.</w:t>
      </w:r>
    </w:p>
    <w:p>
      <w:pPr>
        <w:spacing w:after="0" w:line="34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Financial statements included in the documents incorporated by reference in this prospectus supplement have been prepared in accordance with United States Generally Accepted Accounting Principles (“GAAP”). We have included or incorporated by reference in this prospectus supplement certain non-GAAP financial measures, as well as the reconciliations of those measures to the most directly comparable GAAP financial measures, as further described under “Item 7. Management’s Discussion and Analysis of Financial Condition and Result of Operations — Non-GAAP Financial Measures” of our 2024 10-K and</w:t>
      </w:r>
    </w:p>
    <w:p>
      <w:pPr>
        <w:spacing w:after="0" w:line="5"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 of Operations — Non-GAAP Financial Measures” in our Quarterly Report on Form 10-Q for the quarterly period ended March 29, 2025 (the “Q1 Quarterly Report”), which are incorporated by reference herein. These non-GAAP measures are provided because our management uses these financial measures to make decisions, establish business plans and forecasts, identify trends affecting our business, and evaluate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5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and does not contain all the information you should consider before making an investment decision. You should read the entire prospectus supplement carefully, including the sections entitled “Risk Factors” and “Cautionary Note Regarding Forward-Looking Statements,” the sections entitled “Item 1A. Risk Factors” and</w:t>
      </w:r>
    </w:p>
    <w:p>
      <w:pPr>
        <w:ind w:left="1280" w:right="519"/>
        <w:spacing w:after="0" w:line="242" w:lineRule="auto"/>
        <w:rPr>
          <w:sz w:val="20"/>
          <w:szCs w:val="20"/>
          <w:color w:val="auto"/>
        </w:rPr>
      </w:pPr>
      <w:r>
        <w:rPr>
          <w:rFonts w:ascii="Times New Roman" w:cs="Times New Roman" w:eastAsia="Times New Roman" w:hAnsi="Times New Roman"/>
          <w:sz w:val="18"/>
          <w:szCs w:val="18"/>
          <w:i w:val="1"/>
          <w:iCs w:val="1"/>
          <w:color w:val="auto"/>
        </w:rPr>
        <w:t>“Item 7. Management’s Discussion and Analysis of Financial Condition and Results of Operations” in our 2024 Form 10-K incorporated by reference herein, the section entitled “Item 2. Management’s Discussion and Analysis of Financial Condition and Result of Operations — Non-GAAP Financial Measures” in our Q1 Quarterly Report incorporated by reference herein, and our historical financial statements and the accompanying notes incorporated by reference in this prospectus supplement, before making an investment decision.</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80" w:right="439" w:firstLine="360"/>
        <w:spacing w:after="0" w:line="250"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10" w:lineRule="exact"/>
        <w:rPr>
          <w:sz w:val="20"/>
          <w:szCs w:val="20"/>
          <w:color w:val="auto"/>
        </w:rPr>
      </w:pPr>
    </w:p>
    <w:p>
      <w:pPr>
        <w:ind w:left="1280" w:right="439" w:firstLine="360"/>
        <w:spacing w:after="0" w:line="246"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4" w:lineRule="exact"/>
        <w:rPr>
          <w:sz w:val="20"/>
          <w:szCs w:val="20"/>
          <w:color w:val="auto"/>
        </w:rPr>
      </w:pPr>
    </w:p>
    <w:p>
      <w:pPr>
        <w:ind w:left="1280" w:right="459" w:firstLine="360"/>
        <w:spacing w:after="0" w:line="243" w:lineRule="auto"/>
        <w:rPr>
          <w:sz w:val="20"/>
          <w:szCs w:val="20"/>
          <w:color w:val="auto"/>
        </w:rPr>
      </w:pPr>
      <w:r>
        <w:rPr>
          <w:rFonts w:ascii="Times New Roman" w:cs="Times New Roman" w:eastAsia="Times New Roman" w:hAnsi="Times New Roman"/>
          <w:sz w:val="18"/>
          <w:szCs w:val="18"/>
          <w:color w:val="auto"/>
        </w:rPr>
        <w:t>While today ADAS is central to the advancement of automotive safety, we believe that an evolutionary path toward fully autonomous vehicles is the future of mobility. While still nascent, full autonomy — where a human is not actively engaged in driving the vehicle for extended periods of time — requires the autonomous driving solution to be capable of navigating any environment in any condition at any time. The ability to drive autonomously not only requires a substantial amount of data, but also a robust technology platform that optimizes both precision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safety) and recall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availability) without compromise, and can withstand the validation and audit process of global regulatory bodies. Further, the autonomous driving solution needs to be produced at a cost that makes it affordable. We are building our technology platform to address these fundamental and significant challenges in order to enable a full spectrum of solutions, from ADAS to autonomous driving, with several incremental steps in between.</w:t>
      </w:r>
    </w:p>
    <w:p>
      <w:pPr>
        <w:spacing w:after="0" w:line="118" w:lineRule="exact"/>
        <w:rPr>
          <w:sz w:val="20"/>
          <w:szCs w:val="20"/>
          <w:color w:val="auto"/>
        </w:rPr>
      </w:pPr>
    </w:p>
    <w:p>
      <w:pPr>
        <w:ind w:left="1280" w:right="499" w:firstLine="360"/>
        <w:spacing w:after="0" w:line="243"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efficient and modular by design, enabling our customers to productize our most advanced solutions today and then leverage those investments to launch even more advanced systems in a modular and incremental manner. Our solutions are also highly customizable, which allows our customers to benefit from the core technology supporting our advanced solutions while also augmenting and differentiating their offerings.</w:t>
      </w:r>
    </w:p>
    <w:p>
      <w:pPr>
        <w:spacing w:after="0" w:line="1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ind w:left="1280" w:right="519" w:firstLine="360"/>
        <w:spacing w:after="0" w:line="246" w:lineRule="auto"/>
        <w:rPr>
          <w:sz w:val="20"/>
          <w:szCs w:val="20"/>
          <w:color w:val="auto"/>
        </w:rPr>
      </w:pPr>
      <w:r>
        <w:rPr>
          <w:rFonts w:ascii="Times New Roman" w:cs="Times New Roman" w:eastAsia="Times New Roman" w:hAnsi="Times New Roman"/>
          <w:sz w:val="18"/>
          <w:szCs w:val="18"/>
          <w:color w:val="auto"/>
        </w:rPr>
        <w:t>Mobileye was founded in Israel in 1999. Our co-founder, Professor Amnon Shashua, is our President and Chief Executive Officer. Our principal executive offices are located at Har Hotzvim, 1 Shlomo Momo HaLevi Street, Jerusalem 9777015, Israel, and our phone number is +972-2-541-7333. Our website address is www.mobileye.com. The information contained in, or that can be accessed through, our website is not incorporated by reference in, and is not part of, this prospectus supplement.</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48" w:lineRule="exact"/>
        <w:rPr>
          <w:sz w:val="20"/>
          <w:szCs w:val="20"/>
          <w:color w:val="auto"/>
        </w:rPr>
      </w:pPr>
    </w:p>
    <w:p>
      <w:pPr>
        <w:ind w:left="1280" w:right="1139" w:firstLine="360"/>
        <w:spacing w:after="0" w:line="282" w:lineRule="auto"/>
        <w:rPr>
          <w:sz w:val="20"/>
          <w:szCs w:val="20"/>
          <w:color w:val="auto"/>
        </w:rPr>
      </w:pPr>
      <w:r>
        <w:rPr>
          <w:rFonts w:ascii="Times New Roman" w:cs="Times New Roman" w:eastAsia="Times New Roman" w:hAnsi="Times New Roman"/>
          <w:sz w:val="18"/>
          <w:szCs w:val="18"/>
          <w:color w:val="auto"/>
        </w:rPr>
        <w:t>The Mobileye name, our logo, and other trademarks mentioned in this prospectus supplement, including, among others, EyeQ™, EyeQ Kit™, Road Experience Management™, REM™, True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659"/>
        <w:spacing w:after="0" w:line="258" w:lineRule="auto"/>
        <w:rPr>
          <w:sz w:val="20"/>
          <w:szCs w:val="20"/>
          <w:color w:val="auto"/>
        </w:rPr>
      </w:pPr>
      <w:r>
        <w:rPr>
          <w:rFonts w:ascii="Times New Roman" w:cs="Times New Roman" w:eastAsia="Times New Roman" w:hAnsi="Times New Roman"/>
          <w:sz w:val="18"/>
          <w:szCs w:val="18"/>
          <w:color w:val="auto"/>
        </w:rPr>
        <w:t>Redundancy™, Mobileye Chauffeur™, Mobileye Drive™, Mobileye SuperVision™, and Moovit, are the property of Mobileye. Trade names, trademarks, and service marks of other companies appearing or incorporated by reference in this prospectus supplement are the property of their respective holders.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Events in Israel</w:t>
      </w:r>
    </w:p>
    <w:p>
      <w:pPr>
        <w:spacing w:after="0" w:line="160"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On June 13, 2025, Israel launched a preemptive attack on Iran, to which Iran responded with ballistic missile and drone attacks. On June 23, 2025, Israel and Iran agreed to a ceasefire, although there is no assurance that the ceasefire will continue. How long and how severe the current conflict may become is unknown at this time, and any continued clash among Israel and Iran or other countries or militant groups in the region may escalate in the future into a greater regional conflict. We expect that the current conflict as well as the security escalation in Israel will not have a material impact on our business results in the short term. We have a business continuity plan in place to address a range of scenarios, including potential escalations, which we believe has proven effective over the past 18 months. However, since these are events beyond our control, their continuation or cessation may affect our expectations. We continue to monitor political and military developments closely and examine the consequences for our operations and assets.</w:t>
      </w:r>
    </w:p>
    <w:p>
      <w:pPr>
        <w:spacing w:after="0" w:line="18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Agreement with TSMC</w:t>
      </w:r>
    </w:p>
    <w:p>
      <w:pPr>
        <w:spacing w:after="0" w:line="160" w:lineRule="exact"/>
        <w:rPr>
          <w:sz w:val="20"/>
          <w:szCs w:val="20"/>
          <w:color w:val="auto"/>
        </w:rPr>
      </w:pPr>
    </w:p>
    <w:p>
      <w:pPr>
        <w:ind w:left="1280" w:right="499" w:firstLine="360"/>
        <w:spacing w:after="0" w:line="246" w:lineRule="auto"/>
        <w:rPr>
          <w:sz w:val="20"/>
          <w:szCs w:val="20"/>
          <w:color w:val="auto"/>
        </w:rPr>
      </w:pPr>
      <w:r>
        <w:rPr>
          <w:rFonts w:ascii="Times New Roman" w:cs="Times New Roman" w:eastAsia="Times New Roman" w:hAnsi="Times New Roman"/>
          <w:sz w:val="18"/>
          <w:szCs w:val="18"/>
          <w:color w:val="auto"/>
        </w:rPr>
        <w:t>We have a long-standing relationship with STMicroelectronics to manufacture our EyeQ products. As part of an effort to establish redundancy and better control of our supply chain, we have sought additional qualified suppliers, and we have recently entered into an agreement with TSMC (Taiwan Semiconductor Manufacturing Company Ltd.) under which it will manufacture components of our imaging radar and some of our future generations of our EyeQ product, and potentially other future products.</w:t>
      </w:r>
    </w:p>
    <w:p>
      <w:pPr>
        <w:spacing w:after="0" w:line="19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Preliminary Estimated Results for the Three Months Ended June 28, 2025</w:t>
      </w:r>
    </w:p>
    <w:p>
      <w:pPr>
        <w:spacing w:after="0" w:line="146" w:lineRule="exact"/>
        <w:rPr>
          <w:sz w:val="20"/>
          <w:szCs w:val="20"/>
          <w:color w:val="auto"/>
        </w:rPr>
      </w:pPr>
    </w:p>
    <w:p>
      <w:pPr>
        <w:jc w:val="both"/>
        <w:ind w:left="1280" w:right="5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reflects certain preliminary estimated results for the three months ended June 28, 2025 and actual financial results derived from our unaudited condensed consolidated financial statements for the three months ended June 29, 2024:</w:t>
      </w:r>
    </w:p>
    <w:p>
      <w:pPr>
        <w:spacing w:after="0" w:line="123" w:lineRule="exact"/>
        <w:rPr>
          <w:sz w:val="20"/>
          <w:szCs w:val="20"/>
          <w:color w:val="auto"/>
        </w:rPr>
      </w:pPr>
    </w:p>
    <w:tbl>
      <w:tblPr>
        <w:tblLayout w:type="fixed"/>
        <w:tblInd w:w="164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6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(Ended)</w:t>
            </w:r>
          </w:p>
        </w:tc>
        <w:tc>
          <w:tcPr>
            <w:tcW w:w="40" w:type="dxa"/>
            <w:vAlign w:val="bottom"/>
          </w:tcPr>
          <w:p>
            <w:pPr>
              <w:spacing w:after="0"/>
              <w:rPr>
                <w:sz w:val="16"/>
                <w:szCs w:val="16"/>
                <w:color w:val="auto"/>
              </w:rPr>
            </w:pPr>
          </w:p>
        </w:tc>
      </w:tr>
      <w:tr>
        <w:trPr>
          <w:trHeight w:val="37"/>
        </w:trPr>
        <w:tc>
          <w:tcPr>
            <w:tcW w:w="488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r>
      <w:tr>
        <w:trPr>
          <w:trHeight w:val="200"/>
        </w:trPr>
        <w:tc>
          <w:tcPr>
            <w:tcW w:w="4880" w:type="dxa"/>
            <w:vAlign w:val="bottom"/>
          </w:tcPr>
          <w:p>
            <w:pPr>
              <w:spacing w:after="0"/>
              <w:rPr>
                <w:sz w:val="17"/>
                <w:szCs w:val="17"/>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June 28, 2025 (estimated)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June 29, 2024</w:t>
            </w:r>
          </w:p>
        </w:tc>
        <w:tc>
          <w:tcPr>
            <w:tcW w:w="40" w:type="dxa"/>
            <w:vAlign w:val="bottom"/>
          </w:tcPr>
          <w:p>
            <w:pPr>
              <w:spacing w:after="0"/>
              <w:rPr>
                <w:sz w:val="17"/>
                <w:szCs w:val="17"/>
                <w:color w:val="auto"/>
              </w:rPr>
            </w:pPr>
          </w:p>
        </w:tc>
      </w:tr>
      <w:tr>
        <w:trPr>
          <w:trHeight w:val="37"/>
        </w:trPr>
        <w:tc>
          <w:tcPr>
            <w:tcW w:w="48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36"/>
        </w:trPr>
        <w:tc>
          <w:tcPr>
            <w:tcW w:w="4880" w:type="dxa"/>
            <w:vAlign w:val="bottom"/>
          </w:tcPr>
          <w:p>
            <w:pPr>
              <w:spacing w:after="0"/>
              <w:rPr>
                <w:sz w:val="20"/>
                <w:szCs w:val="20"/>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Pr>
          <w:p>
            <w:pPr>
              <w:spacing w:after="0"/>
              <w:rPr>
                <w:sz w:val="20"/>
                <w:szCs w:val="20"/>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0"/>
        </w:trPr>
        <w:tc>
          <w:tcPr>
            <w:tcW w:w="48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millions)</w:t>
            </w:r>
          </w:p>
        </w:tc>
        <w:tc>
          <w:tcPr>
            <w:tcW w:w="3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37"/>
        </w:trPr>
        <w:tc>
          <w:tcPr>
            <w:tcW w:w="4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40" w:type="dxa"/>
            <w:vAlign w:val="bottom"/>
          </w:tcPr>
          <w:p>
            <w:pPr>
              <w:spacing w:after="0"/>
              <w:rPr>
                <w:sz w:val="3"/>
                <w:szCs w:val="3"/>
                <w:color w:val="auto"/>
              </w:rPr>
            </w:pPr>
          </w:p>
        </w:tc>
      </w:tr>
      <w:tr>
        <w:trPr>
          <w:trHeight w:val="25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​$439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(82)</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(76)</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98</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104</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46" w:lineRule="exact"/>
        <w:rPr>
          <w:sz w:val="20"/>
          <w:szCs w:val="20"/>
          <w:color w:val="auto"/>
        </w:rPr>
      </w:pPr>
    </w:p>
    <w:p>
      <w:pPr>
        <w:ind w:left="1640" w:right="439" w:hanging="362"/>
        <w:spacing w:after="0" w:line="253" w:lineRule="auto"/>
        <w:tabs>
          <w:tab w:leader="none" w:pos="1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is a non-GAAP financial measure. In addition to our financial results determined in accordance with GAAP, our management uses Adjusted Operating Income as a key measure in operating our business. We use this non-GAAP financial measure to make strategic decisions, establish business plans and forecasts, identify trends affecting our business, and evaluate performance. For example, we use this non-GAAP financial measure to assess our pricing and sourcing strategy, in the preparation of our annual operating budget, and as a measure of our operating performance. We believe that Adjusted Operating Income may be helpful to investors because it allows for greater transparency into what measures our management (and Intel’s management) uses in operating our business and measuring our performance, and enables comparison of financial trends and results between periods where items may vary independent of business performance. This non-GAAP financial measure is presented for supplemental informational purposes only, should not be considered a substitute for financial information presented in accordance with GAAP, and may be different from similarly titled non-GAAP measures used by other companies.</w:t>
      </w:r>
    </w:p>
    <w:p>
      <w:pPr>
        <w:spacing w:after="0" w:line="338" w:lineRule="exact"/>
        <w:rPr>
          <w:sz w:val="20"/>
          <w:szCs w:val="20"/>
          <w:color w:val="auto"/>
        </w:rPr>
      </w:pPr>
    </w:p>
    <w:p>
      <w:pPr>
        <w:jc w:val="center"/>
        <w:ind w:left="1580" w:right="280"/>
        <w:spacing w:after="0" w:line="266" w:lineRule="auto"/>
        <w:rPr>
          <w:sz w:val="20"/>
          <w:szCs w:val="20"/>
          <w:color w:val="auto"/>
        </w:rPr>
      </w:pPr>
      <w:r>
        <w:rPr>
          <w:rFonts w:ascii="Times New Roman" w:cs="Times New Roman" w:eastAsia="Times New Roman" w:hAnsi="Times New Roman"/>
          <w:sz w:val="18"/>
          <w:szCs w:val="18"/>
          <w:color w:val="auto"/>
        </w:rPr>
        <w:t>We believe excluding items that neither relate to the ordinary course of business nor reflect our underlying business performance, such as the amortization of intangible assets, enables management and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spacing w:after="0" w:line="250" w:lineRule="auto"/>
        <w:rPr>
          <w:sz w:val="20"/>
          <w:szCs w:val="20"/>
          <w:color w:val="auto"/>
        </w:rPr>
      </w:pPr>
      <w:r>
        <w:rPr>
          <w:rFonts w:ascii="Times New Roman" w:cs="Times New Roman" w:eastAsia="Times New Roman" w:hAnsi="Times New Roman"/>
          <w:sz w:val="18"/>
          <w:szCs w:val="18"/>
          <w:color w:val="auto"/>
        </w:rPr>
        <w:t>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10" w:lineRule="exact"/>
        <w:rPr>
          <w:sz w:val="20"/>
          <w:szCs w:val="20"/>
          <w:color w:val="auto"/>
        </w:rPr>
      </w:pPr>
    </w:p>
    <w:p>
      <w:pPr>
        <w:ind w:left="1280" w:right="419" w:firstLine="360"/>
        <w:spacing w:after="0" w:line="252"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and share-based compensation expense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332" w:lineRule="exact"/>
        <w:rPr>
          <w:sz w:val="20"/>
          <w:szCs w:val="20"/>
          <w:color w:val="auto"/>
        </w:rPr>
      </w:pPr>
    </w:p>
    <w:p>
      <w:pPr>
        <w:ind w:left="1280" w:right="519" w:firstLine="360"/>
        <w:spacing w:after="0" w:line="258" w:lineRule="auto"/>
        <w:rPr>
          <w:sz w:val="20"/>
          <w:szCs w:val="20"/>
          <w:color w:val="auto"/>
        </w:rPr>
      </w:pPr>
      <w:r>
        <w:rPr>
          <w:rFonts w:ascii="Times New Roman" w:cs="Times New Roman" w:eastAsia="Times New Roman" w:hAnsi="Times New Roman"/>
          <w:sz w:val="18"/>
          <w:szCs w:val="18"/>
          <w:color w:val="auto"/>
        </w:rPr>
        <w:t>A reconciliation is provided below for Adjusted Operating Income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consolidated financial statements and related notes in our 2024 Form 10-K and our Q1 Quarterly Report, which are incorporated by reference herein.</w:t>
      </w:r>
    </w:p>
    <w:p>
      <w:pPr>
        <w:spacing w:after="0" w:line="116" w:lineRule="exact"/>
        <w:rPr>
          <w:sz w:val="20"/>
          <w:szCs w:val="20"/>
          <w:color w:val="auto"/>
        </w:rPr>
      </w:pPr>
    </w:p>
    <w:p>
      <w:pPr>
        <w:ind w:left="1280" w:right="479" w:firstLine="360"/>
        <w:spacing w:after="0" w:line="282" w:lineRule="auto"/>
        <w:rPr>
          <w:sz w:val="20"/>
          <w:szCs w:val="20"/>
          <w:color w:val="auto"/>
        </w:rPr>
      </w:pPr>
      <w:r>
        <w:rPr>
          <w:rFonts w:ascii="Times New Roman" w:cs="Times New Roman" w:eastAsia="Times New Roman" w:hAnsi="Times New Roman"/>
          <w:sz w:val="18"/>
          <w:szCs w:val="18"/>
          <w:color w:val="auto"/>
        </w:rPr>
        <w:t>We define Adjusted Operating Income as operating income (loss) presented in accordance with GAAP, adjusted to exclude amortization of acquisition related intangibles and share-based compensation expense.</w:t>
      </w:r>
    </w:p>
    <w:p>
      <w:pPr>
        <w:spacing w:after="0" w:line="101" w:lineRule="exact"/>
        <w:rPr>
          <w:sz w:val="20"/>
          <w:szCs w:val="20"/>
          <w:color w:val="auto"/>
        </w:rPr>
      </w:pPr>
    </w:p>
    <w:tbl>
      <w:tblPr>
        <w:tblLayout w:type="fixed"/>
        <w:tblInd w:w="164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7"/>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 (Ended)</w:t>
            </w:r>
          </w:p>
        </w:tc>
        <w:tc>
          <w:tcPr>
            <w:tcW w:w="40" w:type="dxa"/>
            <w:vAlign w:val="bottom"/>
          </w:tcPr>
          <w:p>
            <w:pPr>
              <w:spacing w:after="0"/>
              <w:rPr>
                <w:sz w:val="16"/>
                <w:szCs w:val="16"/>
                <w:color w:val="auto"/>
              </w:rPr>
            </w:pPr>
          </w:p>
        </w:tc>
      </w:tr>
      <w:tr>
        <w:trPr>
          <w:trHeight w:val="37"/>
        </w:trPr>
        <w:tc>
          <w:tcPr>
            <w:tcW w:w="4880" w:type="dxa"/>
            <w:vAlign w:val="bottom"/>
          </w:tcPr>
          <w:p>
            <w:pPr>
              <w:spacing w:after="0"/>
              <w:rPr>
                <w:sz w:val="3"/>
                <w:szCs w:val="3"/>
                <w:color w:val="auto"/>
              </w:rPr>
            </w:pPr>
          </w:p>
        </w:tc>
        <w:tc>
          <w:tcPr>
            <w:tcW w:w="1520" w:type="dxa"/>
            <w:vAlign w:val="bottom"/>
            <w:tcBorders>
              <w:bottom w:val="single" w:sz="8" w:color="auto"/>
            </w:tcBorders>
            <w:gridSpan w:val="4"/>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r>
      <w:tr>
        <w:trPr>
          <w:trHeight w:val="200"/>
        </w:trPr>
        <w:tc>
          <w:tcPr>
            <w:tcW w:w="4880" w:type="dxa"/>
            <w:vAlign w:val="bottom"/>
          </w:tcPr>
          <w:p>
            <w:pPr>
              <w:spacing w:after="0"/>
              <w:rPr>
                <w:sz w:val="17"/>
                <w:szCs w:val="17"/>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June 28, 2025 (estimated)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June 29, 2024</w:t>
            </w:r>
          </w:p>
        </w:tc>
        <w:tc>
          <w:tcPr>
            <w:tcW w:w="40" w:type="dxa"/>
            <w:vAlign w:val="bottom"/>
          </w:tcPr>
          <w:p>
            <w:pPr>
              <w:spacing w:after="0"/>
              <w:rPr>
                <w:sz w:val="17"/>
                <w:szCs w:val="17"/>
                <w:color w:val="auto"/>
              </w:rPr>
            </w:pPr>
          </w:p>
        </w:tc>
      </w:tr>
      <w:tr>
        <w:trPr>
          <w:trHeight w:val="37"/>
        </w:trPr>
        <w:tc>
          <w:tcPr>
            <w:tcW w:w="4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37"/>
        </w:trPr>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240" w:type="dxa"/>
            <w:vAlign w:val="bottom"/>
          </w:tcPr>
          <w:p>
            <w:pPr>
              <w:spacing w:after="0"/>
              <w:rPr>
                <w:sz w:val="20"/>
                <w:szCs w:val="20"/>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0"/>
        </w:trPr>
        <w:tc>
          <w:tcPr>
            <w:tcW w:w="48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3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37"/>
        </w:trPr>
        <w:tc>
          <w:tcPr>
            <w:tcW w:w="488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40" w:type="dxa"/>
            <w:vAlign w:val="bottom"/>
          </w:tcPr>
          <w:p>
            <w:pPr>
              <w:spacing w:after="0"/>
              <w:rPr>
                <w:sz w:val="3"/>
                <w:szCs w:val="3"/>
                <w:color w:val="auto"/>
              </w:rPr>
            </w:pPr>
          </w:p>
        </w:tc>
      </w:tr>
      <w:tr>
        <w:trPr>
          <w:trHeight w:val="25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(82)</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(76)</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(94)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111</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111</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111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69</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104</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03"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We estimate that our revenue for the three months ended June 28, 2025 will be between $502 million and $506 million, an increase of $63 million to $67 million, or approximately 14% to 15%, as compared to revenue of $439 million for the three months ended June 29, 2024. The increase in our revenue is expected to be primarily due to an increase in EyeQ SOC revenue resulting from higher customer demand and the normalization of excess inventory by our Tier 1 customers that was previously used to satisfy demand during 2024. Our quarterly preliminary results reflect strong industry conditions; we continue to monitor for potential headwinds from tariffs and other macroeconomic conditions.</w:t>
      </w:r>
    </w:p>
    <w:p>
      <w:pPr>
        <w:spacing w:after="0" w:line="121" w:lineRule="exact"/>
        <w:rPr>
          <w:sz w:val="20"/>
          <w:szCs w:val="20"/>
          <w:color w:val="auto"/>
        </w:rPr>
      </w:pPr>
    </w:p>
    <w:p>
      <w:pPr>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We have provided ranges of preliminary estimated results for selected unaudited financial information for the three months ended June 28, 2025. Our final results remain subject to management’s final review and adjustments, our other closing procedures, and any subsequent events. Accordingly, you should not place undue reliance on our preliminary estimated results for the three months ended June 28, 2025, which may differ from actual results. During the course of the preparation of our unaudited condensed consolidated financial statements for the three months ended June 28, 2025 and the notes thereto by management, additional items that require adjustments to the preliminary estimated results presented herein may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59"/>
        <w:spacing w:after="0" w:line="261" w:lineRule="auto"/>
        <w:rPr>
          <w:sz w:val="20"/>
          <w:szCs w:val="20"/>
          <w:color w:val="auto"/>
        </w:rPr>
      </w:pPr>
      <w:r>
        <w:rPr>
          <w:rFonts w:ascii="Times New Roman" w:cs="Times New Roman" w:eastAsia="Times New Roman" w:hAnsi="Times New Roman"/>
          <w:sz w:val="18"/>
          <w:szCs w:val="18"/>
          <w:color w:val="auto"/>
        </w:rPr>
        <w:t>identified. The preliminary estimated results that are presented as ranges are not intended to imply that actual results could not fall outside of the estimated ranges. For further discussion of some of the factors that may cause actual results to vary materially from the preliminary estimated results provided above, see “Cautionary Statement Regarding Forward-Looking Statements” and “Risk Factors.”</w:t>
      </w:r>
    </w:p>
    <w:p>
      <w:pPr>
        <w:spacing w:after="0" w:line="112" w:lineRule="exact"/>
        <w:rPr>
          <w:sz w:val="20"/>
          <w:szCs w:val="20"/>
          <w:color w:val="auto"/>
        </w:rPr>
      </w:pPr>
    </w:p>
    <w:p>
      <w:pPr>
        <w:ind w:left="1280" w:right="499" w:firstLine="360"/>
        <w:spacing w:after="0" w:line="256" w:lineRule="auto"/>
        <w:rPr>
          <w:sz w:val="20"/>
          <w:szCs w:val="20"/>
          <w:color w:val="auto"/>
        </w:rPr>
      </w:pPr>
      <w:r>
        <w:rPr>
          <w:rFonts w:ascii="Times New Roman" w:cs="Times New Roman" w:eastAsia="Times New Roman" w:hAnsi="Times New Roman"/>
          <w:sz w:val="18"/>
          <w:szCs w:val="18"/>
          <w:color w:val="auto"/>
        </w:rPr>
        <w:t>The preliminary estimated financial data included in this prospectus supplement has been prepared on the basis of currently available information by, and is the responsibility of, management. Our independent registered public accounting firm, Kesselman &amp; Kesselman, Certified Public Accountants (Isr.), a member firm of PricewaterhouseCoopers International Limited, has not audited, reviewed, examined, compiled, nor applied agreed-upon procedures with respect to the preliminary estimated financial data. Accordingly, Kesselman &amp; Kesselman does not express an opinion or any other form of assurance with respect thereto.</w:t>
      </w:r>
    </w:p>
    <w:p>
      <w:pPr>
        <w:spacing w:after="0" w:line="120" w:lineRule="exact"/>
        <w:rPr>
          <w:sz w:val="20"/>
          <w:szCs w:val="20"/>
          <w:color w:val="auto"/>
        </w:rPr>
      </w:pPr>
    </w:p>
    <w:p>
      <w:pPr>
        <w:ind w:left="1280" w:right="419" w:firstLine="360"/>
        <w:spacing w:after="0" w:line="261" w:lineRule="auto"/>
        <w:rPr>
          <w:sz w:val="20"/>
          <w:szCs w:val="20"/>
          <w:color w:val="auto"/>
        </w:rPr>
      </w:pPr>
      <w:r>
        <w:rPr>
          <w:rFonts w:ascii="Times New Roman" w:cs="Times New Roman" w:eastAsia="Times New Roman" w:hAnsi="Times New Roman"/>
          <w:sz w:val="18"/>
          <w:szCs w:val="18"/>
          <w:color w:val="auto"/>
        </w:rPr>
        <w:t>The preliminary estimated results provided herein do not represent a comprehensive statement of our financial results and should not be viewed as a substitute for the unaudited condensed consolidated financial statements prepared in accordance with GAAP. In addition, the preliminary estimates for the three months ended June 28, 2025 are not necessarily indicative of the results to be achieved in any future period.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Mobileye Global Inc.</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Class A common stock offered by the</w:t>
      </w:r>
    </w:p>
    <w:p>
      <w:pPr>
        <w:spacing w:after="0" w:line="27" w:lineRule="exact"/>
        <w:rPr>
          <w:sz w:val="20"/>
          <w:szCs w:val="20"/>
          <w:color w:val="auto"/>
        </w:rPr>
      </w:pPr>
    </w:p>
    <w:p>
      <w:pPr>
        <w:ind w:left="1460"/>
        <w:spacing w:after="0"/>
        <w:tabs>
          <w:tab w:leader="none" w:pos="4720" w:val="left"/>
        </w:tabs>
        <w:rPr>
          <w:sz w:val="20"/>
          <w:szCs w:val="20"/>
          <w:color w:val="auto"/>
        </w:rPr>
      </w:pPr>
      <w:r>
        <w:rPr>
          <w:rFonts w:ascii="Times New Roman" w:cs="Times New Roman" w:eastAsia="Times New Roman" w:hAnsi="Times New Roman"/>
          <w:sz w:val="18"/>
          <w:szCs w:val="18"/>
          <w:color w:val="auto"/>
        </w:rPr>
        <w:t>selling stockholder</w:t>
      </w:r>
      <w:r>
        <w:rPr>
          <w:sz w:val="20"/>
          <w:szCs w:val="20"/>
          <w:color w:val="auto"/>
        </w:rPr>
        <w:tab/>
      </w:r>
      <w:r>
        <w:rPr>
          <w:rFonts w:ascii="Times New Roman" w:cs="Times New Roman" w:eastAsia="Times New Roman" w:hAnsi="Times New Roman"/>
          <w:sz w:val="18"/>
          <w:szCs w:val="18"/>
          <w:color w:val="auto"/>
        </w:rPr>
        <w:t>45,000,000 shares</w:t>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Option to purchase additional shares of</w:t>
      </w:r>
    </w:p>
    <w:p>
      <w:pPr>
        <w:spacing w:after="0" w:line="27" w:lineRule="exact"/>
        <w:rPr>
          <w:sz w:val="20"/>
          <w:szCs w:val="20"/>
          <w:color w:val="auto"/>
        </w:rPr>
      </w:pPr>
    </w:p>
    <w:p>
      <w:pPr>
        <w:ind w:left="1460"/>
        <w:spacing w:after="0"/>
        <w:tabs>
          <w:tab w:leader="none" w:pos="472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18"/>
          <w:szCs w:val="18"/>
          <w:color w:val="auto"/>
        </w:rPr>
        <w:t>The selling stockholder has granted the underwriters an option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to purchase up to 6,750,000 additional shares of Class A</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common stock. The underwriters may exercise this option at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any time within 30 days from the date of this prospectus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supplement. See “Underwriting.”</w:t>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Concurrent Share Repurchase and</w:t>
      </w:r>
    </w:p>
    <w:p>
      <w:pPr>
        <w:spacing w:after="0" w:line="27" w:lineRule="exact"/>
        <w:rPr>
          <w:sz w:val="20"/>
          <w:szCs w:val="20"/>
          <w:color w:val="auto"/>
        </w:rPr>
      </w:pPr>
    </w:p>
    <w:p>
      <w:pPr>
        <w:ind w:left="1460"/>
        <w:spacing w:after="0"/>
        <w:tabs>
          <w:tab w:leader="none" w:pos="4720" w:val="left"/>
        </w:tabs>
        <w:rPr>
          <w:sz w:val="20"/>
          <w:szCs w:val="20"/>
          <w:color w:val="auto"/>
        </w:rPr>
      </w:pPr>
      <w:r>
        <w:rPr>
          <w:rFonts w:ascii="Times New Roman" w:cs="Times New Roman" w:eastAsia="Times New Roman" w:hAnsi="Times New Roman"/>
          <w:sz w:val="18"/>
          <w:szCs w:val="18"/>
          <w:color w:val="auto"/>
        </w:rPr>
        <w:t>Conversion</w:t>
      </w:r>
      <w:r>
        <w:rPr>
          <w:sz w:val="20"/>
          <w:szCs w:val="20"/>
          <w:color w:val="auto"/>
        </w:rPr>
        <w:tab/>
      </w:r>
      <w:r>
        <w:rPr>
          <w:rFonts w:ascii="Times New Roman" w:cs="Times New Roman" w:eastAsia="Times New Roman" w:hAnsi="Times New Roman"/>
          <w:sz w:val="18"/>
          <w:szCs w:val="18"/>
          <w:color w:val="auto"/>
        </w:rPr>
        <w:t>Pursuant to a privately negotiated agreement between us and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selling stockholder, we have separately agreed to purchase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from the selling stockholder $100 million aggregate amount 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shares of Class A common stock in a private transaction at a</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price per share equal to the per share price at which the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underwriters will purchase the Class A common stock from</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selling stockholder in this offering (the “Concurrent Share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Repurchase”). Accordingly, assuming a repurchase price 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$18.41 per share, which was the last reported sale price per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 of our Class A common stock on Nasdaq on July 7,</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2025, we expect to repurchase 5,431,831 shares of Class A</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common stock in the Concurrent Share Repurchase transaction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upon the closing of this offering. This offering is not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conditioned upon the closing of the Concurrent Share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Repurchase, but the Concurrent Share Repurchase is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conditioned upon the closing of this offering. The terms and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conditions of the Concurrent Share Repurchase were reviewed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and approved by the disinterested members of the audit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committee of our board of directors and by our board 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directors. The Concurrent Share Repurchase will be funded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from our existing cash on hand. The underwriters will not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receive any compensation for the shares of our Class A</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common stock being repurchased by us.</w:t>
      </w:r>
    </w:p>
    <w:p>
      <w:pPr>
        <w:spacing w:after="0" w:line="13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In addition, the selling stockholder has informed us of its plan</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to voluntarily convert an additional 50 million shares of our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outstanding Class B common stock that it holds into</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50 million shares of Class A common stock, contingent on the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closing of this offering. The selling stockholder has further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informed us that it intends to hold such shares of Class A</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common stock at this time and that the Conversion is being</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effected solely to increase the number of shares of Class A</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common stock issued and outstanding. This offering is not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conditioned upon the closing of the Conversion, but the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Conversion is conditioned upon the closing of this offering.</w:t>
      </w:r>
    </w:p>
    <w:p>
      <w:pPr>
        <w:spacing w:after="0" w:line="13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See “Concurrent Share Repurchase and Conversion.”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60" w:hanging="179"/>
        <w:spacing w:after="0" w:line="263" w:lineRule="auto"/>
        <w:rPr>
          <w:sz w:val="20"/>
          <w:szCs w:val="20"/>
          <w:color w:val="auto"/>
        </w:rPr>
      </w:pPr>
      <w:r>
        <w:rPr>
          <w:rFonts w:ascii="Times New Roman" w:cs="Times New Roman" w:eastAsia="Times New Roman" w:hAnsi="Times New Roman"/>
          <w:sz w:val="18"/>
          <w:szCs w:val="18"/>
          <w:color w:val="auto"/>
        </w:rPr>
        <w:t>Class A common stock to be outstanding after this offering, the Concurrent Share Repurchase and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60" w:hanging="179"/>
        <w:spacing w:after="0" w:line="263" w:lineRule="auto"/>
        <w:rPr>
          <w:sz w:val="20"/>
          <w:szCs w:val="20"/>
          <w:color w:val="auto"/>
        </w:rPr>
      </w:pPr>
      <w:r>
        <w:rPr>
          <w:rFonts w:ascii="Times New Roman" w:cs="Times New Roman" w:eastAsia="Times New Roman" w:hAnsi="Times New Roman"/>
          <w:sz w:val="18"/>
          <w:szCs w:val="18"/>
          <w:color w:val="auto"/>
        </w:rPr>
        <w:t>Class B common stock to be outstanding after this offering, the Concurrent Share Repurchase and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60" w:hanging="179"/>
        <w:spacing w:after="0" w:line="261" w:lineRule="auto"/>
        <w:rPr>
          <w:sz w:val="20"/>
          <w:szCs w:val="20"/>
          <w:color w:val="auto"/>
        </w:rPr>
      </w:pPr>
      <w:r>
        <w:rPr>
          <w:rFonts w:ascii="Times New Roman" w:cs="Times New Roman" w:eastAsia="Times New Roman" w:hAnsi="Times New Roman"/>
          <w:sz w:val="18"/>
          <w:szCs w:val="18"/>
          <w:color w:val="auto"/>
        </w:rPr>
        <w:t>Total shares of common stock to be outstanding after this offering, the Concurrent Share Repurchase and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Voting power held by holders of</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Class A common stock other than the</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selling stockholder after giving effect</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to this offering, the Concurrent Share</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Repurchase and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60" w:right="40" w:hanging="179"/>
        <w:spacing w:after="0" w:line="261" w:lineRule="auto"/>
        <w:rPr>
          <w:sz w:val="20"/>
          <w:szCs w:val="20"/>
          <w:color w:val="auto"/>
        </w:rPr>
      </w:pPr>
      <w:r>
        <w:rPr>
          <w:rFonts w:ascii="Times New Roman" w:cs="Times New Roman" w:eastAsia="Times New Roman" w:hAnsi="Times New Roman"/>
          <w:sz w:val="18"/>
          <w:szCs w:val="18"/>
          <w:color w:val="auto"/>
        </w:rPr>
        <w:t>Voting power held by the selling stockholder after giving effect to this offering, the Concurrent Share Repurchase and the Conversion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79"/>
        <w:spacing w:after="0" w:line="255" w:lineRule="auto"/>
        <w:rPr>
          <w:sz w:val="20"/>
          <w:szCs w:val="20"/>
          <w:color w:val="auto"/>
        </w:rPr>
      </w:pPr>
      <w:r>
        <w:rPr>
          <w:rFonts w:ascii="Times New Roman" w:cs="Times New Roman" w:eastAsia="Times New Roman" w:hAnsi="Times New Roman"/>
          <w:sz w:val="18"/>
          <w:szCs w:val="18"/>
          <w:color w:val="auto"/>
        </w:rPr>
        <w:t>195,983,569 shares, or 202,733,569 shares if the underwriters exercise their option to purchase additional shares of Class A common stock in full (assuming, in each case, 5,431,831 shares of Class A common stock are repurchased by us in the Concurrent Share Repurchase based on a repurchase price of $18.41 per share, the last reported sale price per share of our common stock on Nasdaq on July 7,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79"/>
        <w:spacing w:after="0" w:line="255" w:lineRule="auto"/>
        <w:rPr>
          <w:sz w:val="20"/>
          <w:szCs w:val="20"/>
          <w:color w:val="auto"/>
        </w:rPr>
      </w:pPr>
      <w:r>
        <w:rPr>
          <w:rFonts w:ascii="Times New Roman" w:cs="Times New Roman" w:eastAsia="Times New Roman" w:hAnsi="Times New Roman"/>
          <w:sz w:val="18"/>
          <w:szCs w:val="18"/>
          <w:color w:val="auto"/>
        </w:rPr>
        <w:t>611,068,169 shares, or 604,318,169 shares if the underwriters exercise their option to purchase additional shares of Class A common stock in full (assuming, in each case, 5,431,831 shares of Class A common stock are repurchased by us in the Concurrent Share Repurchase based on a repurchase price of $18.41 per share, the last reported sale price per share of our common stock on Nasdaq on July 7,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79"/>
        <w:spacing w:after="0" w:line="255" w:lineRule="auto"/>
        <w:rPr>
          <w:sz w:val="20"/>
          <w:szCs w:val="20"/>
          <w:color w:val="auto"/>
        </w:rPr>
      </w:pPr>
      <w:r>
        <w:rPr>
          <w:rFonts w:ascii="Times New Roman" w:cs="Times New Roman" w:eastAsia="Times New Roman" w:hAnsi="Times New Roman"/>
          <w:sz w:val="18"/>
          <w:szCs w:val="18"/>
          <w:color w:val="auto"/>
        </w:rPr>
        <w:t>807,051,738 shares, or 807,051,738 shares if the underwriters exercise their option to purchase additional shares of Class A common stock in full (assuming, in each case, 5,431,831 shares of Class A common stock are repurchased by us in the Concurrent Share Repurchase based on a repurchase price of $18.41 per share, the last reported sale price per share of our common stock on Nasdaq on July 7, 2025).</w:t>
      </w:r>
    </w:p>
    <w:p>
      <w:pPr>
        <w:spacing w:after="0" w:line="81" w:lineRule="exact"/>
        <w:rPr>
          <w:sz w:val="20"/>
          <w:szCs w:val="20"/>
          <w:color w:val="auto"/>
        </w:rPr>
      </w:pPr>
    </w:p>
    <w:p>
      <w:pPr>
        <w:ind w:right="399"/>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our Class A common stock in this offering (including any sales pursuant to the underwriters’ option to purchase additional shares from the selling stockholder).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59"/>
        <w:spacing w:after="0" w:line="255" w:lineRule="auto"/>
        <w:rPr>
          <w:sz w:val="20"/>
          <w:szCs w:val="20"/>
          <w:color w:val="auto"/>
        </w:rPr>
      </w:pPr>
      <w:r>
        <w:rPr>
          <w:rFonts w:ascii="Times New Roman" w:cs="Times New Roman" w:eastAsia="Times New Roman" w:hAnsi="Times New Roman"/>
          <w:sz w:val="18"/>
          <w:szCs w:val="18"/>
          <w:color w:val="auto"/>
        </w:rPr>
        <w:t>2.3%, or 2.4% if the underwriters exercise their right to purchase additional shares of Class A common stock in full (assuming, in each case, 5,431,831 shares of Class A common stock are repurchased by us in the Concurrent Share Repurchase based on a repurchase price of $18.41 per share, the last reported sale price per share of our common stock on Nasdaq on July 7,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59"/>
        <w:spacing w:after="0" w:line="282" w:lineRule="auto"/>
        <w:rPr>
          <w:sz w:val="20"/>
          <w:szCs w:val="20"/>
          <w:color w:val="auto"/>
        </w:rPr>
      </w:pPr>
      <w:r>
        <w:rPr>
          <w:rFonts w:ascii="Times New Roman" w:cs="Times New Roman" w:eastAsia="Times New Roman" w:hAnsi="Times New Roman"/>
          <w:sz w:val="18"/>
          <w:szCs w:val="18"/>
          <w:color w:val="auto"/>
        </w:rPr>
        <w:t>97.7%, or 97.6% if the underwriters exercise their right to purchase additional shares of Class A common stock in full</w:t>
      </w:r>
    </w:p>
    <w:p>
      <w:pPr>
        <w:spacing w:after="0" w:line="200" w:lineRule="exact"/>
        <w:rPr>
          <w:sz w:val="20"/>
          <w:szCs w:val="20"/>
          <w:color w:val="auto"/>
        </w:rPr>
      </w:pPr>
    </w:p>
    <w:p>
      <w:pPr>
        <w:sectPr>
          <w:pgSz w:w="11900" w:h="16838" w:orient="portrait"/>
          <w:cols w:equalWidth="0" w:num="2">
            <w:col w:w="4300" w:space="440"/>
            <w:col w:w="5139"/>
          </w:cols>
          <w:pgMar w:left="580" w:top="97" w:right="1440" w:bottom="1440" w:gutter="0" w:footer="0" w:header="0"/>
          <w:type w:val="continuous"/>
        </w:sectPr>
      </w:pPr>
    </w:p>
    <w:p>
      <w:pPr>
        <w:spacing w:after="0" w:line="32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60" w:hanging="179"/>
        <w:spacing w:after="0" w:line="281" w:lineRule="auto"/>
        <w:rPr>
          <w:sz w:val="20"/>
          <w:szCs w:val="20"/>
          <w:color w:val="auto"/>
        </w:rPr>
      </w:pPr>
      <w:r>
        <w:rPr>
          <w:rFonts w:ascii="Times New Roman" w:cs="Times New Roman" w:eastAsia="Times New Roman" w:hAnsi="Times New Roman"/>
          <w:sz w:val="18"/>
          <w:szCs w:val="18"/>
          <w:color w:val="auto"/>
        </w:rPr>
        <w:t>Automatic conversion of Class B common stock sold in the Offering and the 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460" w:hanging="179"/>
        <w:spacing w:after="0" w:line="275" w:lineRule="auto"/>
        <w:rPr>
          <w:sz w:val="20"/>
          <w:szCs w:val="20"/>
          <w:color w:val="auto"/>
        </w:rPr>
      </w:pPr>
      <w:r>
        <w:rPr>
          <w:rFonts w:ascii="Times New Roman" w:cs="Times New Roman" w:eastAsia="Times New Roman" w:hAnsi="Times New Roman"/>
          <w:sz w:val="18"/>
          <w:szCs w:val="18"/>
          <w:color w:val="auto"/>
        </w:rPr>
        <w:t>Concentration of ownership after giving effect to this offering, the Concurrent Share Repurchase and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Nasdaq symbol</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59"/>
        <w:spacing w:after="0" w:line="258" w:lineRule="auto"/>
        <w:rPr>
          <w:sz w:val="20"/>
          <w:szCs w:val="20"/>
          <w:color w:val="auto"/>
        </w:rPr>
      </w:pPr>
      <w:r>
        <w:rPr>
          <w:rFonts w:ascii="Times New Roman" w:cs="Times New Roman" w:eastAsia="Times New Roman" w:hAnsi="Times New Roman"/>
          <w:sz w:val="18"/>
          <w:szCs w:val="18"/>
          <w:color w:val="auto"/>
        </w:rPr>
        <w:t>(assuming, in each case, 5,431,831 shares of Class A common stock are repurchased by us in the Concurrent Share Repurchase based on a repurchase price of $18.41 per share, the last reported sale price per share of our common stock on Nasdaq on July 7, 2025).</w:t>
      </w:r>
    </w:p>
    <w:p>
      <w:pPr>
        <w:spacing w:after="0" w:line="75" w:lineRule="exact"/>
        <w:rPr>
          <w:sz w:val="20"/>
          <w:szCs w:val="20"/>
          <w:color w:val="auto"/>
        </w:rPr>
      </w:pPr>
    </w:p>
    <w:p>
      <w:pPr>
        <w:ind w:right="639"/>
        <w:spacing w:after="0" w:line="266" w:lineRule="auto"/>
        <w:rPr>
          <w:sz w:val="20"/>
          <w:szCs w:val="20"/>
          <w:color w:val="auto"/>
        </w:rPr>
      </w:pPr>
      <w:r>
        <w:rPr>
          <w:rFonts w:ascii="Times New Roman" w:cs="Times New Roman" w:eastAsia="Times New Roman" w:hAnsi="Times New Roman"/>
          <w:sz w:val="18"/>
          <w:szCs w:val="18"/>
          <w:color w:val="auto"/>
        </w:rPr>
        <w:t>Each share of our Class A common stock is entitled to one vote. Each share of our Class B common stock is entitled to ten votes.</w:t>
      </w:r>
    </w:p>
    <w:p>
      <w:pPr>
        <w:spacing w:after="0" w:line="108" w:lineRule="exact"/>
        <w:rPr>
          <w:sz w:val="20"/>
          <w:szCs w:val="20"/>
          <w:color w:val="auto"/>
        </w:rPr>
      </w:pPr>
    </w:p>
    <w:p>
      <w:pPr>
        <w:ind w:right="539"/>
        <w:spacing w:after="0" w:line="270" w:lineRule="auto"/>
        <w:rPr>
          <w:sz w:val="20"/>
          <w:szCs w:val="20"/>
          <w:color w:val="auto"/>
        </w:rPr>
      </w:pPr>
      <w:r>
        <w:rPr>
          <w:rFonts w:ascii="Times New Roman" w:cs="Times New Roman" w:eastAsia="Times New Roman" w:hAnsi="Times New Roman"/>
          <w:sz w:val="18"/>
          <w:szCs w:val="18"/>
          <w:color w:val="auto"/>
        </w:rPr>
        <w:t>The holders of our Class A common stock and Class B common stock generally vote together as a single class on all matters submitted to a vote of our stockholders unless otherwise required by Delaware law or our amended and restated certificate of incorporation.</w:t>
      </w:r>
    </w:p>
    <w:p>
      <w:pPr>
        <w:spacing w:after="0" w:line="200" w:lineRule="exact"/>
        <w:rPr>
          <w:sz w:val="20"/>
          <w:szCs w:val="20"/>
          <w:color w:val="auto"/>
        </w:rPr>
      </w:pPr>
    </w:p>
    <w:p>
      <w:pPr>
        <w:spacing w:after="0" w:line="323" w:lineRule="exact"/>
        <w:rPr>
          <w:sz w:val="20"/>
          <w:szCs w:val="20"/>
          <w:color w:val="auto"/>
        </w:rPr>
      </w:pPr>
    </w:p>
    <w:p>
      <w:pPr>
        <w:ind w:right="499"/>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being sold hereunder by the selling stockholder (including any shares the underwriters may purchase pursuant to their option to purchase additional shares and any shares sold in connection with the Concurrent Share Repurchase) will be issued upon the automatic conversion of an equivalent number of shares of Class B common stock upon the transfer of such shares and, accordingly, purchasers will receive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19"/>
        <w:spacing w:after="0" w:line="253" w:lineRule="auto"/>
        <w:rPr>
          <w:sz w:val="20"/>
          <w:szCs w:val="20"/>
          <w:color w:val="auto"/>
        </w:rPr>
      </w:pPr>
      <w:r>
        <w:rPr>
          <w:rFonts w:ascii="Times New Roman" w:cs="Times New Roman" w:eastAsia="Times New Roman" w:hAnsi="Times New Roman"/>
          <w:sz w:val="18"/>
          <w:szCs w:val="18"/>
          <w:color w:val="auto"/>
        </w:rPr>
        <w:t>Intel, which beneficially owns all of the outstanding shares of our Class B common stock prior to this offering, will beneficially own approximately 97.7% of the voting power of our common stock, or approximately 97.6% if the underwriters exercise their option to purchase additional shares of Class A common stock in full after the completion of this offering (assuming, in each case, 5,431,831 shares of Class A common stock are repurchased by us in the Concurrent Share Repurchase based on a repurchase price of $18.41 per share, the last reported sale price per share of our Class A common stock on Nasdaq on July 7, 2025).</w:t>
      </w:r>
    </w:p>
    <w:p>
      <w:pPr>
        <w:spacing w:after="0" w:line="343" w:lineRule="exact"/>
        <w:rPr>
          <w:sz w:val="20"/>
          <w:szCs w:val="20"/>
          <w:color w:val="auto"/>
        </w:rPr>
      </w:pPr>
    </w:p>
    <w:p>
      <w:pPr>
        <w:jc w:val="both"/>
        <w:ind w:right="659"/>
        <w:spacing w:after="0" w:line="262" w:lineRule="auto"/>
        <w:rPr>
          <w:sz w:val="20"/>
          <w:szCs w:val="20"/>
          <w:color w:val="auto"/>
        </w:rPr>
      </w:pPr>
      <w:r>
        <w:rPr>
          <w:rFonts w:ascii="Times New Roman" w:cs="Times New Roman" w:eastAsia="Times New Roman" w:hAnsi="Times New Roman"/>
          <w:sz w:val="18"/>
          <w:szCs w:val="18"/>
          <w:color w:val="auto"/>
        </w:rPr>
        <w:t>We are, and will continue to be immediately following this offering, a “controlled company” within the meaning of the corporate governance standards of Nasdaq. See</w:t>
      </w:r>
    </w:p>
    <w:p>
      <w:pPr>
        <w:spacing w:after="0" w:line="2" w:lineRule="exact"/>
        <w:rPr>
          <w:sz w:val="20"/>
          <w:szCs w:val="20"/>
          <w:color w:val="auto"/>
        </w:rPr>
      </w:pPr>
    </w:p>
    <w:p>
      <w:pPr>
        <w:ind w:right="1059"/>
        <w:spacing w:after="0" w:line="276" w:lineRule="auto"/>
        <w:rPr>
          <w:sz w:val="20"/>
          <w:szCs w:val="20"/>
          <w:color w:val="auto"/>
        </w:rPr>
      </w:pPr>
      <w:r>
        <w:rPr>
          <w:rFonts w:ascii="Times New Roman" w:cs="Times New Roman" w:eastAsia="Times New Roman" w:hAnsi="Times New Roman"/>
          <w:sz w:val="18"/>
          <w:szCs w:val="18"/>
          <w:color w:val="auto"/>
        </w:rPr>
        <w:t>“Item 10. Directors, Executive Officers and Corporate Governance” in our 2024 Form 10-K.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“MBLY”</w:t>
      </w:r>
    </w:p>
    <w:p>
      <w:pPr>
        <w:spacing w:after="0" w:line="117" w:lineRule="exact"/>
        <w:rPr>
          <w:sz w:val="20"/>
          <w:szCs w:val="20"/>
          <w:color w:val="auto"/>
        </w:rPr>
      </w:pPr>
    </w:p>
    <w:p>
      <w:pPr>
        <w:ind w:right="499"/>
        <w:spacing w:after="0" w:line="261" w:lineRule="auto"/>
        <w:rPr>
          <w:sz w:val="20"/>
          <w:szCs w:val="20"/>
          <w:color w:val="auto"/>
        </w:rPr>
      </w:pPr>
      <w:r>
        <w:rPr>
          <w:rFonts w:ascii="Times New Roman" w:cs="Times New Roman" w:eastAsia="Times New Roman" w:hAnsi="Times New Roman"/>
          <w:sz w:val="18"/>
          <w:szCs w:val="18"/>
          <w:color w:val="auto"/>
        </w:rPr>
        <w:t>See “Risk Factors” and the other information included in and incorporated by reference into this prospectus supplement for a discussion of factors you should carefully consider before deciding to invest in our Class A common stock.</w:t>
      </w:r>
    </w:p>
    <w:p>
      <w:pPr>
        <w:spacing w:after="0" w:line="112" w:lineRule="exact"/>
        <w:rPr>
          <w:sz w:val="20"/>
          <w:szCs w:val="20"/>
          <w:color w:val="auto"/>
        </w:rPr>
      </w:pPr>
    </w:p>
    <w:p>
      <w:pPr>
        <w:sectPr>
          <w:pgSz w:w="11900" w:h="16838" w:orient="portrait"/>
          <w:cols w:equalWidth="0" w:num="2">
            <w:col w:w="4300" w:space="440"/>
            <w:col w:w="5139"/>
          </w:cols>
          <w:pgMar w:left="580" w:top="97" w:right="1440"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79" w:hanging="182"/>
        <w:spacing w:after="0" w:line="282"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100,983,569 shares of our Class A common stock and 711,500,000 shares of our Class B common stock outstanding as of May 30, 2025;</w:t>
      </w:r>
    </w:p>
    <w:p>
      <w:pPr>
        <w:spacing w:after="0" w:line="53" w:lineRule="exact"/>
        <w:rPr>
          <w:rFonts w:ascii="Times New Roman" w:cs="Times New Roman" w:eastAsia="Times New Roman" w:hAnsi="Times New Roman"/>
          <w:sz w:val="18"/>
          <w:szCs w:val="18"/>
          <w:color w:val="auto"/>
        </w:rPr>
      </w:pPr>
    </w:p>
    <w:p>
      <w:pPr>
        <w:ind w:left="1820" w:right="879" w:hanging="182"/>
        <w:spacing w:after="0" w:line="282"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7,379,907 shares of our Class A common stock reserved for future issuance under our equity incentive plan as of May 30, 2025; and</w:t>
      </w:r>
    </w:p>
    <w:p>
      <w:pPr>
        <w:spacing w:after="0" w:line="53" w:lineRule="exact"/>
        <w:rPr>
          <w:rFonts w:ascii="Times New Roman" w:cs="Times New Roman" w:eastAsia="Times New Roman" w:hAnsi="Times New Roman"/>
          <w:sz w:val="18"/>
          <w:szCs w:val="18"/>
          <w:color w:val="auto"/>
        </w:rPr>
      </w:pPr>
    </w:p>
    <w:p>
      <w:pPr>
        <w:ind w:left="1820" w:right="699" w:hanging="182"/>
        <w:spacing w:after="0" w:line="282"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22,144,024 shares of our Class A common stock issuable upon vesting and settlement of RSU awards outstanding under our equity incentive plan as of May 30, 2025,</w:t>
      </w:r>
    </w:p>
    <w:p>
      <w:pPr>
        <w:spacing w:after="0" w:line="94" w:lineRule="exact"/>
        <w:rPr>
          <w:sz w:val="20"/>
          <w:szCs w:val="20"/>
          <w:color w:val="auto"/>
        </w:rPr>
      </w:pPr>
    </w:p>
    <w:p>
      <w:pPr>
        <w:ind w:left="1280" w:right="5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the information in this prospectus supplement assumes no exercise of the underwriters’ option to purchase additional shares of our Class A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You should carefully consider the risks described below together with other information set forth in this prospectus supplement or incorporated by reference herein, including the sections titled “Item 1A. Risk Factors,” which includes risk factors related to our business and Class A common stock, “Item 7. Management’s Discussion and Analysis of Financial Condition and Results of Operations,” and our financial statements and related notes, incorporated by reference herein from our 2024 Form 10-K and the section titled “Item 2. Management’s Discussion and Analysis of Financial Condition and Results of Operations,” and our financial statements and related notes, incorporated by reference herein from our Q1 Quarterly Report before deciding to invest in our Class A common stock. If any of the following risks or uncertainties actually occur, our business, financial condition, prospects, results of operations, and cash flow could be materially and adversely affected. In that case, the market price of our Class A common stock could decline and you may lose all or a part of your investment. The risks discussed below or incorporated by reference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 Please also see the section titled “Cautionary Note Regarding Forward-Looking Statements” in this prospectus supplement.</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Class A Common Stock</w:t>
      </w:r>
    </w:p>
    <w:p>
      <w:pPr>
        <w:spacing w:after="0" w:line="225" w:lineRule="exact"/>
        <w:rPr>
          <w:sz w:val="20"/>
          <w:szCs w:val="20"/>
          <w:color w:val="auto"/>
        </w:rPr>
      </w:pPr>
    </w:p>
    <w:p>
      <w:pPr>
        <w:ind w:left="1260" w:right="5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in the public market, or the perception in the market that the holders of a large number of shares intend to sell shares, could cause the market price of our Class A common stock to drop significantly, even if our business is doing well.</w:t>
      </w:r>
    </w:p>
    <w:p>
      <w:pPr>
        <w:spacing w:after="0" w:line="10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w:t>
      </w:r>
    </w:p>
    <w:p>
      <w:pPr>
        <w:spacing w:after="0" w:line="27"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perception in the market that the holders of a large number of shares intend to sell shares, could reduce the market price of our Class A common stock. As of May 30, 2025, we had outstanding 100,983,569 shares of Class A common stock and 711,500,000 shares of Class B common stock. In connection with this offering, we and the selling stockholder have agreed or will agree pursuant to a lock-up agreement with the underwriters in this offering that, through and including the 90th day after the date of this prospectus supplement, subject to certain exceptions, we and the selling stockholder will not, without the prior written consent of Goldman Sachs &amp; Co. LLC and BofA Securities, Inc., sell shares (other than, with respect to the selling stockholder, the shares to be sold by it in this offering and in connection with the Concurrent Share Repurchase and Conversion) of Class A common stock (including, with respect to the selling stockholder, Class A common stock issuable upon the conversion of Class B common stock). Moreover, following the expiration of this 90-day period, the selling stockholder will have the right, subject to specified conditions, to require us to file registration statements covering their shares (upon conversion into Class A common stock) or to include their shares in registration statements that we may file for ourselves or other stockholders. We have also registered all shares of Class A common stock that we may issue under our equity compensation plans, which can be freely sold in the public market upon issuance, subject to volume limitations applicable to affiliates.</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This offering is not conditioned on the closing of the Concurrent Share Repurchase or the Conversion.</w:t>
      </w:r>
    </w:p>
    <w:p>
      <w:pPr>
        <w:spacing w:after="0" w:line="14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closing of the Concurrent Share Repurchase and the Conversion are conditioned upon the closing of this offering, but the closing of this offering is not conditioned upon the closing of the Concurrent Share Repurchase or the Conversion. See “Concurrent Share Repurchase and Conversion.” As a consequence, no assurance can be given to purchasers of the Class A common stock in this offering that the proposed Concurrent Share Repurchase will in fact be consummated. If we do not consummate the Concurrent Share Repurchase, your relative ownership percentage in us will be less than it would be if we complete the Concurrent Share Repurchase. Further, if the Conversion is not consummated, the number of issued and outstanding shares of Class A common stock will be less than it would be if we complete the Conversion.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Please see the section titled “Prospectus Supplement Summary — Recent Developments — Events in Israel” in this prospectus supplement and Item 1.A. in our 2024 Form 10-K incorporated by reference herein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for risks related to our business. The risk factor below supplements the “Conditions in Israel affect our operations and may limit our ability to produce and sell our solutions” risk factor in our 2024 Form 10-K.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Operations in Israel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affect our operations and may limit our ability to produce and sell our solutions.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June 13, 2025, Israel launched a preemptive attack on Iran, to which Iran has responded with ballistic missile and drone attacks. On June 23, 2025, Israel and Iran agreed to a ceasefire, although there is no assurance that the ceasefire will continue. How long and how severe the current conflict may become is unknown at this time and any continued clash among Israel and Iran, as well as the involvement of other countries or militant groups in the region or elsewhere, may escalate in the future into a greater regional or international conflict. Although we expect that the current conflict as well as the security escalation in Israel will not have a material impact on our business results in the short term, these conditions are inherently unpredictable and beyond our control. The current conflict or any future regional conflicts, including any losses or damages incurred by us as a result of such conflicts, could have a material adverse effect on our business, expectations, financial condition, and results of operations. See “Prospectus Supplement Summary — Recent Developments — Events in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contain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24"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324"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Forward-looking statements contained in this prospectus supplement, the accompanying prospectus or the documents incorporated by reference herein may include, but are not limited to, statements about:</w:t>
      </w:r>
    </w:p>
    <w:p>
      <w:pPr>
        <w:spacing w:after="0" w:line="67" w:lineRule="exact"/>
        <w:rPr>
          <w:sz w:val="20"/>
          <w:szCs w:val="20"/>
          <w:color w:val="auto"/>
        </w:rPr>
      </w:pPr>
    </w:p>
    <w:p>
      <w:pPr>
        <w:jc w:val="both"/>
        <w:ind w:left="1800" w:right="79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deterioration of macroeconomic conditions due to ongoing global economic and political uncertainty (as our current guidance assumes the estimated production and/or demand impact of current tariff conditions);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preliminary estimated financial results for the three months ended June 28, 2025;</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 including expectations about excess inventory utilization by customers;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 and trade policy, including increased tariffs, in regions in which we operate, including the U.S., Europe and China;</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117"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 accumulated;</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Israel, including in connection with Israeli military operations in response to the October 7, 2023 terrorist attacks or the current conflict between Israel and Iran, which may affect our operations and may limit our ability to produce and sell our solutions;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operations by the obligations of our personnel to perform military service as a result of current or future military actions involving Israel;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herein under the section entitled “Risk Factors” and in our 2024 Form 10-K and Q1 Quarterly Report incorporated by reference herein, including under the sections entitled “Risk Factors,” “Management’s Discussion and Analysis of Financial Condition and Results of Operations” and “Business,” as applicable.</w:t>
      </w:r>
    </w:p>
    <w:p>
      <w:pPr>
        <w:spacing w:after="0" w:line="11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risk factors discussed under the section entitled “Risk Factors” included herein, and the section entitled “Item 1A. Risk Factors” in our 2024 Form 10-K incorporated by reference herein, could cause our results to differ materially from those expressed in the forward-looking statements made in this prospectus supplement, the accompanying prospectus or the documents incorporated by reference herein. There also may be other risks that are currently unknown to us or that we are unable to predict at this time.</w:t>
      </w:r>
    </w:p>
    <w:p>
      <w:pPr>
        <w:spacing w:after="0" w:line="11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the applicable document,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CONCURRENT SHARE REPURCHASE AND CONVERSION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Pursuant to a privately negotiated agreement between us and the selling stockholder, we have separately agreed to purchase from the selling stockholder $100 million aggregate amount of shares of Class A common stock in a private transaction at a price per share equal to the per share price at which the underwriters will purchase the Class A common stock from the selling stockholder in this offering. Accordingly, assuming a repurchase price of $18.41 per share, which was the last reported sale price per share of our Class A common stock on Nasdaq on July 7, 2025, we expect to repurchase 5,431,831 shares of Class A common stock in the Concurrent Share Repurchase transaction upon the closing of this offering. This offering is not conditioned upon the closing of the Concurrent Share Repurchase, but the Concurrent Share Repurchase is conditioned upon the closing of this offering. The terms and conditions of the Concurrent Share Repurchase were reviewed and approved by the disinterested members of the audit committee of our board of directors and by our board of directors. The Concurrent Share Repurchase will be funded from our existing cash on hand. The underwriters will not receive any compensation for the shares of our Class A common stock being repurchased by us.</w:t>
      </w:r>
    </w:p>
    <w:p>
      <w:pPr>
        <w:spacing w:after="0" w:line="338"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In addition, the selling stockholder has informed us of its plan to voluntarily convert an additional 50 million shares of our outstanding Class B common stock that it holds into 50 million shares of Class A common stock, contingent on the closing of this offering. The selling stockholder has further informed us that it intends to hold such shares of Class A common stock at this time and that the conversion of such shares is being effected solely to increase the number of shares of Class A common stock issued and outstanding. This offering is not conditioned upon the closing of the Conversion, but the Conversion is conditioned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you invest in our Class A common stock, your interest will be diluted to the extent of the difference between the public offering price per share and the net tangible book value per share. Our net tangible book value (deficit) as of March 29, 2025 was $2,351 million, or $2.90 per share. Our net tangible book value per share represents total tangible assets less total liabilities divided by the number of shares of our common stock outstanding as of March 29, 2025.</w:t>
      </w:r>
    </w:p>
    <w:p>
      <w:pPr>
        <w:spacing w:after="0" w:line="116"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determine dilution by subtracting the net tangible book value per share from the amount of cash that a new investor paid for a share of Class A common stock. The following table illustrates this dilution:</w:t>
      </w:r>
    </w:p>
    <w:p>
      <w:pPr>
        <w:sectPr>
          <w:pgSz w:w="11900" w:h="16838" w:orient="portrait"/>
          <w:cols w:equalWidth="0" w:num="1">
            <w:col w:w="9879"/>
          </w:cols>
          <w:pgMar w:left="580" w:top="97" w:right="1440" w:bottom="1440" w:gutter="0" w:footer="0" w:header="0"/>
        </w:sectPr>
      </w:pP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Public​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ind w:left="1620"/>
        <w:spacing w:after="0" w:line="185" w:lineRule="auto"/>
        <w:rPr>
          <w:sz w:val="20"/>
          <w:szCs w:val="20"/>
          <w:color w:val="auto"/>
        </w:rPr>
      </w:pPr>
      <w:r>
        <w:rPr>
          <w:rFonts w:ascii="Times New Roman" w:cs="Times New Roman" w:eastAsia="Times New Roman" w:hAnsi="Times New Roman"/>
          <w:sz w:val="18"/>
          <w:szCs w:val="18"/>
          <w:color w:val="auto"/>
        </w:rPr>
        <w:t>Net</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tangible book value (deficit) per share as of March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325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4749165" cy="325755"/>
                    </a:xfrm>
                    <a:prstGeom prst="rect">
                      <a:avLst/>
                    </a:prstGeom>
                    <a:noFill/>
                  </pic:spPr>
                </pic:pic>
              </a:graphicData>
            </a:graphic>
          </wp:anchor>
        </w:drawing>
      </w:r>
    </w:p>
    <w:p>
      <w:pPr>
        <w:ind w:left="1620" w:right="220"/>
        <w:spacing w:after="0" w:line="307" w:lineRule="auto"/>
        <w:rPr>
          <w:sz w:val="20"/>
          <w:szCs w:val="20"/>
          <w:color w:val="auto"/>
        </w:rPr>
      </w:pPr>
      <w:r>
        <w:rPr>
          <w:rFonts w:ascii="Times New Roman" w:cs="Times New Roman" w:eastAsia="Times New Roman" w:hAnsi="Times New Roman"/>
          <w:sz w:val="18"/>
          <w:szCs w:val="18"/>
          <w:color w:val="auto"/>
        </w:rPr>
        <w:t>Dilution per share to new investors participating in this offering (excluding the ​ Concurrent Share Repurchase)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185"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$2.90</w:t>
      </w:r>
      <w:r>
        <w:rPr>
          <w:rFonts w:ascii="Times New Roman" w:cs="Times New Roman" w:eastAsia="Times New Roman" w:hAnsi="Times New Roman"/>
          <w:sz w:val="35"/>
          <w:szCs w:val="35"/>
          <w:color w:val="auto"/>
          <w:vertAlign w:val="subscript"/>
        </w:rPr>
        <w:t>​</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sectPr>
          <w:pgSz w:w="11900" w:h="16838" w:orient="portrait"/>
          <w:cols w:equalWidth="0" w:num="2">
            <w:col w:w="7800" w:space="720"/>
            <w:col w:w="13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All shares being sold in this offering are being sold by the selling stockholder, and we will not receive any proceeds from the sale of the shares of our Class A common stock in this offering, including from any exercise by the underwriters of their option to purchase additional shares from the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62" w:lineRule="exact"/>
        <w:rPr>
          <w:sz w:val="20"/>
          <w:szCs w:val="20"/>
          <w:color w:val="auto"/>
        </w:rPr>
      </w:pPr>
    </w:p>
    <w:p>
      <w:pPr>
        <w:ind w:left="1260" w:right="12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May 30, 2025 by the selling stockholder.</w:t>
      </w:r>
    </w:p>
    <w:p>
      <w:pPr>
        <w:spacing w:after="0" w:line="94" w:lineRule="exact"/>
        <w:rPr>
          <w:sz w:val="20"/>
          <w:szCs w:val="20"/>
          <w:color w:val="auto"/>
        </w:rPr>
      </w:pPr>
    </w:p>
    <w:p>
      <w:pPr>
        <w:ind w:left="1260" w:right="900" w:firstLine="360"/>
        <w:spacing w:after="0" w:line="253" w:lineRule="auto"/>
        <w:rPr>
          <w:sz w:val="20"/>
          <w:szCs w:val="20"/>
          <w:color w:val="auto"/>
        </w:rPr>
      </w:pPr>
      <w:r>
        <w:rPr>
          <w:rFonts w:ascii="Times New Roman" w:cs="Times New Roman" w:eastAsia="Times New Roman" w:hAnsi="Times New Roman"/>
          <w:sz w:val="18"/>
          <w:szCs w:val="18"/>
          <w:color w:val="auto"/>
        </w:rPr>
        <w:t>The number of shares of common stock outstanding before this offering and the corresponding percentage of beneficial ownership are based on 100,983,569 shares of our Class A common stock and 711,500,000 shares of our Class B common stock outstanding as of May 30, 2025. The number of shares of common stock outstanding after this offering and the corresponding percentage of beneficial ownership are based on the number of shares of common stock issued and outstanding as of May 30, 2025 and assumes that (x) 5,431,831 shares of our Class A common stock are repurchased by us in the Concurrent Share Repurchase and (y) 50,000,000 shares of our Class A common stock are issued in the Conversion, and are shown assuming no exercise of the underwriters’ option to purchase additional shares. If the underwriters exercise their option to purchase additional shares from the selling stockholder in full, the selling stockholder would hold shares representing approximately 97.6% of the voting power of our common stock following the completion of the offering.</w:t>
      </w:r>
    </w:p>
    <w:p>
      <w:pPr>
        <w:spacing w:after="0" w:line="111" w:lineRule="exact"/>
        <w:rPr>
          <w:sz w:val="20"/>
          <w:szCs w:val="20"/>
          <w:color w:val="auto"/>
        </w:rPr>
      </w:pPr>
    </w:p>
    <w:p>
      <w:pPr>
        <w:ind w:left="1260" w:right="820" w:firstLine="360"/>
        <w:spacing w:after="0" w:line="253"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May 30, 2025 are considered outstanding, although these shares are not considered outstanding for purposes of computing the percentage ownership of any other person. 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10280"/>
          </w:cols>
          <w:pgMar w:left="580" w:top="97" w:right="1039" w:bottom="1440" w:gutter="0" w:footer="0" w:header="0"/>
        </w:sectPr>
      </w:pPr>
    </w:p>
    <w:p>
      <w:pPr>
        <w:spacing w:after="0" w:line="188"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9"/>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w w:val="98"/>
              </w:rPr>
              <w:t>Shares of Common Stock Beneficially</w:t>
            </w:r>
          </w:p>
        </w:tc>
        <w:tc>
          <w:tcPr>
            <w:tcW w:w="100" w:type="dxa"/>
            <w:vAlign w:val="bottom"/>
          </w:tcPr>
          <w:p>
            <w:pPr>
              <w:spacing w:after="0"/>
              <w:rPr>
                <w:sz w:val="14"/>
                <w:szCs w:val="14"/>
                <w:color w:val="auto"/>
              </w:rPr>
            </w:pPr>
          </w:p>
        </w:tc>
      </w:tr>
      <w:tr>
        <w:trPr>
          <w:trHeight w:val="214"/>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gridSpan w:val="8"/>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w w:val="97"/>
              </w:rPr>
              <w:t>Owned Before this Offering</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5"/>
          </w:tcPr>
          <w:p>
            <w:pPr>
              <w:ind w:left="80"/>
              <w:spacing w:after="0" w:line="223" w:lineRule="exact"/>
              <w:rPr>
                <w:sz w:val="20"/>
                <w:szCs w:val="20"/>
                <w:color w:val="auto"/>
              </w:rPr>
            </w:pPr>
            <w:r>
              <w:rPr>
                <w:rFonts w:ascii="Times New Roman" w:cs="Times New Roman" w:eastAsia="Times New Roman" w:hAnsi="Times New Roman"/>
                <w:sz w:val="13"/>
                <w:szCs w:val="13"/>
                <w:b w:val="1"/>
                <w:bCs w:val="1"/>
                <w:color w:val="auto"/>
              </w:rPr>
              <w:t xml:space="preserve">Class A   </w:t>
            </w:r>
            <w:r>
              <w:rPr>
                <w:rFonts w:ascii="Times New Roman" w:cs="Times New Roman" w:eastAsia="Times New Roman" w:hAnsi="Times New Roman"/>
                <w:sz w:val="25"/>
                <w:szCs w:val="25"/>
                <w:b w:val="1"/>
                <w:bCs w:val="1"/>
                <w:color w:val="auto"/>
                <w:vertAlign w:val="subscript"/>
              </w:rPr>
              <w:t>​​</w:t>
            </w:r>
          </w:p>
        </w:tc>
        <w:tc>
          <w:tcPr>
            <w:tcW w:w="7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20"/>
                <w:szCs w:val="20"/>
                <w:color w:val="auto"/>
              </w:rPr>
            </w:pPr>
          </w:p>
        </w:tc>
      </w:tr>
      <w:tr>
        <w:trPr>
          <w:trHeight w:val="158"/>
        </w:trPr>
        <w:tc>
          <w:tcPr>
            <w:tcW w:w="152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Name of Beneficial</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3"/>
                <w:szCs w:val="13"/>
                <w:color w:val="auto"/>
              </w:rPr>
            </w:pPr>
          </w:p>
        </w:tc>
        <w:tc>
          <w:tcPr>
            <w:tcW w:w="8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7"/>
              </w:rPr>
              <w:t>Voting Power</w:t>
            </w:r>
          </w:p>
        </w:tc>
        <w:tc>
          <w:tcPr>
            <w:tcW w:w="100" w:type="dxa"/>
            <w:vAlign w:val="bottom"/>
          </w:tcPr>
          <w:p>
            <w:pPr>
              <w:spacing w:after="0"/>
              <w:rPr>
                <w:sz w:val="13"/>
                <w:szCs w:val="13"/>
                <w:color w:val="auto"/>
              </w:rPr>
            </w:pPr>
          </w:p>
        </w:tc>
      </w:tr>
      <w:tr>
        <w:trPr>
          <w:trHeight w:val="227"/>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Owner</w:t>
            </w:r>
          </w:p>
        </w:tc>
        <w:tc>
          <w:tcPr>
            <w:tcW w:w="1100" w:type="dxa"/>
            <w:vAlign w:val="bottom"/>
            <w:gridSpan w:val="7"/>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Class </w:t>
            </w:r>
            <w:r>
              <w:rPr>
                <w:rFonts w:ascii="Times New Roman" w:cs="Times New Roman" w:eastAsia="Times New Roman" w:hAnsi="Times New Roman"/>
                <w:sz w:val="26"/>
                <w:szCs w:val="26"/>
                <w:b w:val="1"/>
                <w:bCs w:val="1"/>
                <w:color w:val="auto"/>
                <w:vertAlign w:val="subscript"/>
              </w:rPr>
              <w:t>​​</w:t>
            </w:r>
          </w:p>
        </w:tc>
        <w:tc>
          <w:tcPr>
            <w:tcW w:w="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gridSpan w:val="4"/>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Class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Pre-Offering</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-7620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-7620</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-7620</wp:posOffset>
            </wp:positionV>
            <wp:extent cx="342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-7620</wp:posOffset>
            </wp:positionV>
            <wp:extent cx="342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-7620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-7620</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Common Stock Beneficially</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80" w:type="dxa"/>
            <w:vAlign w:val="bottom"/>
            <w:gridSpan w:val="7"/>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6"/>
              </w:rPr>
              <w:t>Owned After this Offering</w:t>
            </w:r>
            <w:r>
              <w:rPr>
                <w:rFonts w:ascii="Times New Roman" w:cs="Times New Roman" w:eastAsia="Times New Roman" w:hAnsi="Times New Roman"/>
                <w:sz w:val="17"/>
                <w:szCs w:val="17"/>
                <w:b w:val="1"/>
                <w:bCs w:val="1"/>
                <w:color w:val="auto"/>
                <w:w w:val="96"/>
                <w:vertAlign w:val="superscript"/>
              </w:rPr>
              <w:t>(1)</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8"/>
        </w:trPr>
        <w:tc>
          <w:tcPr>
            <w:tcW w:w="6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640" w:type="dxa"/>
            <w:vAlign w:val="bottom"/>
            <w:vMerge w:val="continue"/>
          </w:tcPr>
          <w:p>
            <w:pPr>
              <w:spacing w:after="0"/>
              <w:rPr>
                <w:sz w:val="9"/>
                <w:szCs w:val="9"/>
                <w:color w:val="auto"/>
              </w:rPr>
            </w:pP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3"/>
            <w:vMerge w:val="restart"/>
          </w:tcPr>
          <w:p>
            <w:pPr>
              <w:jc w:val="right"/>
              <w:ind w:right="88"/>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 of Total</w:t>
            </w:r>
          </w:p>
        </w:tc>
        <w:tc>
          <w:tcPr>
            <w:tcW w:w="0" w:type="dxa"/>
            <w:vAlign w:val="bottom"/>
          </w:tcPr>
          <w:p>
            <w:pPr>
              <w:spacing w:after="0"/>
              <w:rPr>
                <w:sz w:val="1"/>
                <w:szCs w:val="1"/>
                <w:color w:val="auto"/>
              </w:rPr>
            </w:pPr>
          </w:p>
        </w:tc>
      </w:tr>
      <w:tr>
        <w:trPr>
          <w:trHeight w:val="133"/>
        </w:trPr>
        <w:tc>
          <w:tcPr>
            <w:tcW w:w="640" w:type="dxa"/>
            <w:vAlign w:val="bottom"/>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4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Offered</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7"/>
              </w:rPr>
              <w:t>Voting Power</w:t>
            </w:r>
          </w:p>
        </w:tc>
        <w:tc>
          <w:tcPr>
            <w:tcW w:w="0" w:type="dxa"/>
            <w:vAlign w:val="bottom"/>
          </w:tcPr>
          <w:p>
            <w:pPr>
              <w:spacing w:after="0"/>
              <w:rPr>
                <w:sz w:val="1"/>
                <w:szCs w:val="1"/>
                <w:color w:val="auto"/>
              </w:rPr>
            </w:pPr>
          </w:p>
        </w:tc>
      </w:tr>
      <w:tr>
        <w:trPr>
          <w:trHeight w:val="227"/>
        </w:trPr>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Hereby</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6"/>
          </w:tcPr>
          <w:p>
            <w:pPr>
              <w:jc w:val="right"/>
              <w:ind w:right="220"/>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Class </w:t>
            </w:r>
            <w:r>
              <w:rPr>
                <w:rFonts w:ascii="Times New Roman" w:cs="Times New Roman" w:eastAsia="Times New Roman" w:hAnsi="Times New Roman"/>
                <w:sz w:val="26"/>
                <w:szCs w:val="26"/>
                <w:b w:val="1"/>
                <w:bCs w:val="1"/>
                <w:color w:val="auto"/>
                <w:vertAlign w:val="subscript"/>
              </w:rPr>
              <w:t>​​</w:t>
            </w:r>
          </w:p>
        </w:tc>
        <w:tc>
          <w:tcPr>
            <w:tcW w:w="10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80" w:type="dxa"/>
            <w:vAlign w:val="bottom"/>
            <w:gridSpan w:val="6"/>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Class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Post-Offering</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2167890</wp:posOffset>
            </wp:positionH>
            <wp:positionV relativeFrom="paragraph">
              <wp:posOffset>-7620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1284605</wp:posOffset>
            </wp:positionH>
            <wp:positionV relativeFrom="paragraph">
              <wp:posOffset>-7620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-7620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2442210</wp:posOffset>
            </wp:positionH>
            <wp:positionV relativeFrom="paragraph">
              <wp:posOffset>-7620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-7620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340" w:space="120"/>
            <w:col w:w="4820"/>
          </w:cols>
          <w:pgMar w:left="580" w:top="97" w:right="1039" w:bottom="1440" w:gutter="0" w:footer="0" w:header="0"/>
          <w:type w:val="continuous"/>
        </w:sectPr>
      </w:pPr>
    </w:p>
    <w:tbl>
      <w:tblPr>
        <w:tblLayout w:type="fixed"/>
        <w:tblInd w:w="500" w:type="dxa"/>
        <w:tblCellMar>
          <w:top w:w="0" w:type="dxa"/>
          <w:left w:w="0" w:type="dxa"/>
          <w:bottom w:w="0" w:type="dxa"/>
          <w:right w:w="0" w:type="dxa"/>
        </w:tblCellMar>
      </w:tblPr>
      <w:tr>
        <w:trPr>
          <w:trHeight w:val="20"/>
        </w:trPr>
        <w:tc>
          <w:tcPr>
            <w:tcW w:w="1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1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Selling Stockholder</w:t>
            </w:r>
          </w:p>
        </w:tc>
        <w:tc>
          <w:tcPr>
            <w:tcW w:w="16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4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1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 ​​​ ​  ​ ​​​​</w:t>
            </w:r>
          </w:p>
        </w:tc>
        <w:tc>
          <w:tcPr>
            <w:tcW w:w="10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   ​​​​</w:t>
            </w:r>
          </w:p>
        </w:tc>
        <w:tc>
          <w:tcPr>
            <w:tcW w:w="3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34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96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660" w:type="dxa"/>
            <w:vAlign w:val="bottom"/>
            <w:shd w:val="clear" w:color="auto" w:fill="CCEEFF"/>
          </w:tcPr>
          <w:p>
            <w:pPr>
              <w:ind w:left="38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3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98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86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  ​​​​   ​​​​</w:t>
            </w:r>
          </w:p>
        </w:tc>
        <w:tc>
          <w:tcPr>
            <w:tcW w:w="3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3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32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Intel Corporation</w:t>
            </w:r>
            <w:r>
              <w:rPr>
                <w:rFonts w:ascii="Times New Roman" w:cs="Times New Roman" w:eastAsia="Times New Roman" w:hAnsi="Times New Roman"/>
                <w:sz w:val="23"/>
                <w:szCs w:val="23"/>
                <w:color w:val="auto"/>
                <w:vertAlign w:val="superscript"/>
              </w:rPr>
              <w:t>(1)</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711,500,000​​​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98.6%</w:t>
            </w: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45,000,000​​​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50,000,000​​​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25.5​​​%</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611,068,169</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97.7%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102235</wp:posOffset>
            </wp:positionV>
            <wp:extent cx="12344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71" w:lineRule="exact"/>
        <w:rPr>
          <w:sz w:val="20"/>
          <w:szCs w:val="20"/>
          <w:color w:val="auto"/>
        </w:rPr>
      </w:pPr>
    </w:p>
    <w:p>
      <w:pPr>
        <w:ind w:left="1620" w:right="820" w:hanging="360"/>
        <w:spacing w:after="0" w:line="261"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(x) 5,431,831 shares of Class A common stock are repurchased in the Concurrent Share Repurchase based on a repurchase price of $18.41 per share, the last reported sale price per share of our Class A common stock on Nasdaq on July 7, 2025 and (y) 50,000,000 shares of our Class A common stock are issued in the Conversion.</w:t>
      </w:r>
    </w:p>
    <w:p>
      <w:pPr>
        <w:spacing w:after="0" w:line="44" w:lineRule="exact"/>
        <w:rPr>
          <w:rFonts w:ascii="Times New Roman" w:cs="Times New Roman" w:eastAsia="Times New Roman" w:hAnsi="Times New Roman"/>
          <w:sz w:val="18"/>
          <w:szCs w:val="18"/>
          <w:color w:val="auto"/>
        </w:rPr>
      </w:pPr>
    </w:p>
    <w:p>
      <w:pPr>
        <w:ind w:left="1620" w:right="920" w:hanging="360"/>
        <w:spacing w:after="0" w:line="258"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711,500,000 shares of our Class B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16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shares of our Class A common stock by non-U.S. holders (as defined below) who acquire such shares in this offering and hold our Class A common stock as a capital asset within the meaning of Section 1221 of the Internal Revenue Code of 1986, as amended (the “Code”) (generally, property held for investment). This summary is based on current provisions of the Code, U.S. Treasury regulations promulgated thereunder, and administrative rulings and interpretations and court decisions in effect as of the date hereof, all of which are subject to change or differing interpretation at any time, possibly with retroactive effect. This summary does not address all aspects of U.S. federal income taxation that may be important to a non-U.S. holder in light of that holder’s particular circumstances or that may be applicable to holders subject to special treatment under U.S. federal income tax law (including, for example, banks and other financial institutions, dealers in securities, traders in securities that elect a mark-to-market method of tax accounting, insurance companies, retirement plans, mutual funds, tax-exempt entities, holders who acquired shares of our Class A common stock pursuant to the exercise of employee stock options or otherwise as compensation, entities or arrangements treated as partnerships for U.S. federal income tax purposes, controlled foreign corporations, passive foreign investment companies, certain expatriates and former citizens or former long-term residents of the United States, and holders who hold shares of our Class A common stock as part of a straddle, constructive sale or conversion transaction). In addition, this discussion does not address U.S. federal tax laws other than those pertaining to the U.S. federal income tax, nor does it address any aspects of the unearned income Medicare contribution tax, any minimum tax or U.S. state, local or non-U.S. taxes. Accordingly, prospective investors should consult their own tax advisors regarding the U.S. federal, state, local, non-U.S. income and other tax considerations (including any U.S. federal estate or gift tax considerations) of owning and disposing of shares of our Class A common stock.</w:t>
      </w:r>
    </w:p>
    <w:p>
      <w:pPr>
        <w:spacing w:after="0" w:line="355"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our Class A common stock that is not any of the following:</w:t>
      </w:r>
    </w:p>
    <w:p>
      <w:pPr>
        <w:spacing w:after="0" w:line="54"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 or</w:t>
      </w:r>
    </w:p>
    <w:p>
      <w:pPr>
        <w:spacing w:after="0" w:line="6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8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tax purposes holds shares of our Class A common stock, the tax treatment of a person treated as a partner generally will depend on the status of the partner and the activities of the partnership. Partnerships holding shares of our Class A common stock and partners in such partnerships should consult their tax advisors.</w:t>
      </w:r>
    </w:p>
    <w:p>
      <w:pPr>
        <w:spacing w:after="0" w:line="108" w:lineRule="exact"/>
        <w:rPr>
          <w:sz w:val="20"/>
          <w:szCs w:val="20"/>
          <w:color w:val="auto"/>
        </w:r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Prospective holders of our Class A common stock should consult with their tax advisors regarding the tax consequences to them (including the application and effect of any state, local, non-U.S. income and other tax laws) of the ownership and disposition of shares of our Class A common stock.</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on Our Class A Common Stock</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 distribution generally will constitute a dividend for U.S. federal income tax purposes to the extent of our current or accumulated earnings and profits as determined for U.S. federal income tax purposes. To the extent any distribution exceeds our current and accumulated earnings and profits, such distribution will be treated as first reducing the adjusted basis in the non-U.S. holder’s shares of our Class A common stock, though not below zero, and, to the extent such distribution exceeds the adjusted basis in the non-U.S. holder’s shares of our Class A common stock, as gain from the sale or exchange of such shares.</w:t>
      </w:r>
    </w:p>
    <w:p>
      <w:pPr>
        <w:spacing w:after="0" w:line="106"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In general, subject to the discussion below under “— FATCA,” any distributions we make to a non-U.S. holder with respect to its shares of our Class A common stock that constitute dividends for U.S. federal income tax purposes will be subject to U.S. withholding tax at a rate of 30% of the gross amount (or a reduced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rate specified by an applicable income tax treaty), unless the dividends are effectively connected with a trade or business carried on by the non-U.S. holder within the United States (and, if required by an applicable income tax treaty, are attributable to a permanent establishment of the non-U.S. holder within the U.S.). In order to obtain a reduced rate of withholding, a non-U.S. holder will be required to provide a properly executed applicable Internal Revenue Service (“IRS”) Form W-8 certifying its entitlement to benefits under a treaty.</w:t>
      </w:r>
    </w:p>
    <w:p>
      <w:pPr>
        <w:spacing w:after="0" w:line="325"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Dividends effectively connected with a U.S. trade or business (and, if required by an applicable income tax treaty, attributable to a U.S. permanent establishment) of a non-U.S. holder generally will not be subject to U.S. withholding tax if the non-U.S. holder provides a properly executed IRS Form W-8ECI. Instead, such dividends generally will be subject to U.S. federal income tax on a net income basis, in the same manner as if the non-U.S. holder were a resident of the U.S. A non-U.S. holder that is a corporation may be subject to an additional “branch profits tax” at a rate of 30% (or such lower rate as may be specified by an applicable income tax treaty) on such effectively connected dividends, subject to certain adjustments.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Our Class A Common Stock</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In general, a non-U.S. holder will not be subject to U.S. federal income tax on any gain recognized upon the sale or other disposition of our Class A common stock unless:</w:t>
      </w:r>
    </w:p>
    <w:p>
      <w:pPr>
        <w:spacing w:after="0" w:line="54" w:lineRule="exact"/>
        <w:rPr>
          <w:sz w:val="20"/>
          <w:szCs w:val="20"/>
          <w:color w:val="auto"/>
        </w:rPr>
      </w:pPr>
    </w:p>
    <w:p>
      <w:pPr>
        <w:ind w:left="1800" w:right="51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holder within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and is present in the United States for 183 days or more in the taxable year of disposition and certain other conditions are satisfied; or</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(as​ described below) for U.S. federal income tax purposes at any time within the shorter of the five-year period ending on the date of the disposition and the non-U.S. holder’s holding period and certain other conditions are satisfied.</w:t>
      </w:r>
    </w:p>
    <w:p>
      <w:pPr>
        <w:spacing w:after="0" w:line="10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Gain that is effectively connected with the conduct of a trade or business in the United States generally will be subject to U.S. federal income tax, net of certain deductions, at regular U.S. federal income tax rates. If the non-U.S. holder is a foreign corporation, the branch profits tax described above also may apply to such effectively connected gain. An individual non-U.S. holder who is subject to U.S. federal income tax because the non- U.S. holder was present in the United States for 183 days or more during the year of sale or other disposition of our Class A common stock will be subject to a flat 30% tax on the gain derived from such sale or other disposition, which may be offset by U.S. source capital losses.</w:t>
      </w:r>
    </w:p>
    <w:p>
      <w:pPr>
        <w:spacing w:after="0" w:line="11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Although there can be no assurances in this regard, we believe that we are not currently, and do not anticipate becoming, a U.S. real property holding corporation.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(separate and apart from, but without duplication of, the withholding tax described above) at a rate of 30% on payments of dividends on shares of our Class A common stock and sales or redemption proceeds from dispositions of shares of our Class A common stock to certain foreign financial institutions (which is broadly defined for this purpose and in general includes investment vehicles) and certain non-financial foreign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or future Treasury regulations, may modify these requirements. Accordingly, the entity through which shares of our Class A common stock are held will affect the determination of whether such withholding is required. Proposed U.S. Treasury regulations would eliminate the requirements under FATCA in respect of withholding on gross proceeds from sales, exchanges or dispositions of our Class A common stock, and the preamble to the proposed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66" w:lineRule="auto"/>
        <w:rPr>
          <w:sz w:val="20"/>
          <w:szCs w:val="20"/>
          <w:color w:val="auto"/>
        </w:rPr>
      </w:pPr>
      <w:r>
        <w:rPr>
          <w:rFonts w:ascii="Times New Roman" w:cs="Times New Roman" w:eastAsia="Times New Roman" w:hAnsi="Times New Roman"/>
          <w:sz w:val="18"/>
          <w:szCs w:val="18"/>
          <w:color w:val="auto"/>
        </w:rPr>
        <w:t>regulations provides that taxpayers may rely on these proposed regulations pending their finalization. Prospective investors should consult their tax advisors regarding the possible implications of FATCA on their investment in our Class A common stock.</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of dividends on our Class A common stock. Unless a non-U.S. holder complies with certification procedures to establish that it is not a U.S. person, information returns may also be filed with the IRS in connection with the proceeds from a sale or other disposition of our Class A common stock. A non-U.S. holder may also be subject to backup withholding on payments on our Class A common stock or on the proceeds from a sale or other disposition of our Class A common stock unless such non-U.S. holder complies with certification procedures to establish that such non-U.S. holder is not a U.S. person or otherwise establishes an exemption. A non-U.S. holder’s provision of a properly executed applicable IRS Form W-8 certifying its non-U.S. status will permit such holder to avoid backup withholding.</w:t>
      </w:r>
    </w:p>
    <w:p>
      <w:pPr>
        <w:spacing w:after="0" w:line="121"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under the backup withholding rules may be refunded or credited against a non-U.S. holder’s U.S. federal income tax liability, provided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We, the selling stockholder and the underwriters named below will enter into an underwriting agreement with respect to the shares being offered. Subject to certain conditions, each underwriter will severally agree to purchase from the selling stockholder the number of shares of Class A common stock indicated in the following table. Goldman Sachs &amp; Co. LLC and BofA Securities, Inc. are acting as the representatives of the underwriters.</w:t>
      </w:r>
    </w:p>
    <w:p>
      <w:pPr>
        <w:spacing w:after="0" w:line="13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214"/>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46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p>
        </w:tc>
      </w:tr>
      <w:tr>
        <w:trPr>
          <w:trHeight w:val="20"/>
        </w:trPr>
        <w:tc>
          <w:tcPr>
            <w:tcW w:w="42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18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180" w:type="dxa"/>
            <w:vAlign w:val="bottom"/>
          </w:tcPr>
          <w:p>
            <w:pPr>
              <w:spacing w:after="0"/>
              <w:rPr>
                <w:sz w:val="23"/>
                <w:szCs w:val="23"/>
                <w:color w:val="auto"/>
              </w:rPr>
            </w:pPr>
          </w:p>
        </w:tc>
        <w:tc>
          <w:tcPr>
            <w:tcW w:w="280" w:type="dxa"/>
            <w:vAlign w:val="bottom"/>
          </w:tcPr>
          <w:p>
            <w:pPr>
              <w:ind w:left="6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​45,000,000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348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-556895</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9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underwriters will have an option to purchase up to an additional 6,750,000 shares of Class A common stock from the selling stockholder. They may exercise that option for 30 days. If any shares are purchased pursuant to this option, the underwriters will severally purchase shares in approximately the same proportion as set forth in the table above.</w:t>
      </w:r>
    </w:p>
    <w:p>
      <w:pPr>
        <w:spacing w:after="0" w:line="99"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the selling stockholder in connection with this offering. Such amounts are shown assuming both no exercise and full exercise of the underwriters’ option to purchase 6,750,000 additional shares.</w:t>
      </w:r>
    </w:p>
    <w:p>
      <w:pPr>
        <w:spacing w:after="0" w:line="202"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340" w:type="dxa"/>
            <w:vAlign w:val="bottom"/>
            <w:gridSpan w:val="2"/>
          </w:tcPr>
          <w:p>
            <w:pPr>
              <w:ind w:left="24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No Exercise</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Full Exercise</w:t>
            </w:r>
            <w:r>
              <w:rPr>
                <w:rFonts w:ascii="Times New Roman" w:cs="Times New Roman" w:eastAsia="Times New Roman" w:hAnsi="Times New Roman"/>
                <w:sz w:val="28"/>
                <w:szCs w:val="28"/>
                <w:b w:val="1"/>
                <w:bCs w:val="1"/>
                <w:color w:val="auto"/>
                <w:vertAlign w:val="subscript"/>
              </w:rPr>
              <w:t>​</w:t>
            </w:r>
          </w:p>
        </w:tc>
      </w:tr>
      <w:tr>
        <w:trPr>
          <w:trHeight w:val="20"/>
        </w:trPr>
        <w:tc>
          <w:tcPr>
            <w:tcW w:w="31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58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-350520</wp:posOffset>
            </wp:positionV>
            <wp:extent cx="42430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70"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public offering price set forth on the cover of this prospectus supplement.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0"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We and the selling stockholder will agree with the underwriters that, through and including the 90th day after the date of this prospectus supplement (the “Lock-Up Period”), subject to certain exceptions, we and they will not, without the prior written consent of Goldman Sachs &amp; Co. LLC and BofA Securities, Inc.,</w:t>
      </w:r>
    </w:p>
    <w:p>
      <w:pPr>
        <w:spacing w:after="0" w:line="1" w:lineRule="exact"/>
        <w:rPr>
          <w:sz w:val="20"/>
          <w:szCs w:val="20"/>
          <w:color w:val="auto"/>
        </w:rPr>
      </w:pPr>
    </w:p>
    <w:p>
      <w:pPr>
        <w:ind w:left="1260" w:right="419"/>
        <w:spacing w:after="0" w:line="251" w:lineRule="auto"/>
        <w:tabs>
          <w:tab w:leader="none" w:pos="15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grant any option right or warrant to purchase, purchase any option or contract to sell, lend or otherwise transfer or dispose of, directly or indirectly, any shares of our common stock, or any options or warrants to purchase any shares of our common stock, or any securities convertible into, exchangeable for or that represent the right to receive shares of our common stock (including, without limitation, shares that are beneficially owned by such holder),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holder or someone other than such holder), or transfer of any of the economic consequences of ownership, in whole or in part, directly or indirectly, of any shares of our common stock, or any options or warrants to purchase any shares of our common stock, or any securities convertible into, exchangeable for or that represent the right to receive shares of our common stock, whether any such transaction or arrangement described in clause (1) or (2) (or instrument provided for thereunder) would be settled by delivery of our common stock or other securities, in cash or otherwise, (3) make any demand for or exercise any right with respect to the registration of any shares of our common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stock or (4) otherwise publicly announce any intention to engage in or cause any action or activity described in clauses (1), (2) or (3) above.</w:t>
      </w:r>
    </w:p>
    <w:p>
      <w:pPr>
        <w:spacing w:after="0" w:line="8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Subject to certain additional limitations, including those relating to public filings required to be or voluntarily made in connection with a transfer, the above restrictions on the selling stockholder do not apply to:</w:t>
      </w:r>
    </w:p>
    <w:p>
      <w:pPr>
        <w:spacing w:after="0" w:line="318" w:lineRule="exact"/>
        <w:rPr>
          <w:sz w:val="20"/>
          <w:szCs w:val="20"/>
          <w:color w:val="auto"/>
        </w:rPr>
      </w:pPr>
    </w:p>
    <w:p>
      <w:pPr>
        <w:ind w:left="2060" w:right="1079" w:hanging="440"/>
        <w:spacing w:after="0" w:line="282" w:lineRule="auto"/>
        <w:tabs>
          <w:tab w:leader="none" w:pos="2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as one or more bona fide gifts or charitable contributions, or for bona fide estate planning purposes;</w:t>
      </w:r>
    </w:p>
    <w:p>
      <w:pPr>
        <w:spacing w:after="0" w:line="80"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upon death by will, testamentary document or intestate succession;</w:t>
      </w:r>
    </w:p>
    <w:p>
      <w:pPr>
        <w:spacing w:after="0" w:line="144" w:lineRule="exact"/>
        <w:rPr>
          <w:rFonts w:ascii="Times New Roman" w:cs="Times New Roman" w:eastAsia="Times New Roman" w:hAnsi="Times New Roman"/>
          <w:sz w:val="18"/>
          <w:szCs w:val="18"/>
          <w:color w:val="auto"/>
        </w:rPr>
      </w:pPr>
    </w:p>
    <w:p>
      <w:pPr>
        <w:ind w:left="2060" w:right="499" w:hanging="440"/>
        <w:spacing w:after="0" w:line="266" w:lineRule="auto"/>
        <w:tabs>
          <w:tab w:leader="none" w:pos="2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81" w:lineRule="exact"/>
        <w:rPr>
          <w:rFonts w:ascii="Times New Roman" w:cs="Times New Roman" w:eastAsia="Times New Roman" w:hAnsi="Times New Roman"/>
          <w:sz w:val="18"/>
          <w:szCs w:val="18"/>
          <w:color w:val="auto"/>
        </w:rPr>
      </w:pPr>
    </w:p>
    <w:p>
      <w:pPr>
        <w:ind w:left="2060" w:right="539" w:hanging="440"/>
        <w:spacing w:after="0" w:line="282" w:lineRule="auto"/>
        <w:tabs>
          <w:tab w:leader="none" w:pos="2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nominee or custodian of a person or entity to whom a disposition or transfer would be permissible under clauses (i) through (iii) above;</w:t>
      </w:r>
    </w:p>
    <w:p>
      <w:pPr>
        <w:spacing w:after="0" w:line="80"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a corporation, partnership, limited liability company or other business entity, to</w:t>
      </w:r>
    </w:p>
    <w:p>
      <w:pPr>
        <w:spacing w:after="0" w:line="27" w:lineRule="exact"/>
        <w:rPr>
          <w:rFonts w:ascii="Times New Roman" w:cs="Times New Roman" w:eastAsia="Times New Roman" w:hAnsi="Times New Roman"/>
          <w:sz w:val="18"/>
          <w:szCs w:val="18"/>
          <w:color w:val="auto"/>
        </w:rPr>
      </w:pPr>
    </w:p>
    <w:p>
      <w:pPr>
        <w:ind w:left="2060" w:right="4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another corporation, partnership, limited liability company or other business entity that is an affiliate (as defined in Rule 405 under the Act) of the party, or to any investment fund or other entity which fund or entity is controlled or managed by the holder or its affiliates, or (B) as part of a distribution by to its stockholders, partners, members or other equityholders or to the estate of any such stockholders, partners, members or other equityholders;</w:t>
      </w:r>
    </w:p>
    <w:p>
      <w:pPr>
        <w:spacing w:after="0" w:line="105" w:lineRule="exact"/>
        <w:rPr>
          <w:rFonts w:ascii="Times New Roman" w:cs="Times New Roman" w:eastAsia="Times New Roman" w:hAnsi="Times New Roman"/>
          <w:sz w:val="18"/>
          <w:szCs w:val="18"/>
          <w:color w:val="auto"/>
        </w:rPr>
      </w:pPr>
    </w:p>
    <w:p>
      <w:pPr>
        <w:ind w:left="2060" w:right="579" w:hanging="440"/>
        <w:spacing w:after="0" w:line="282" w:lineRule="auto"/>
        <w:tabs>
          <w:tab w:leader="none" w:pos="2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operation of law, such as pursuant to a qualified domestic order, divorce settlement, divorce decree or separation agreement;</w:t>
      </w:r>
    </w:p>
    <w:p>
      <w:pPr>
        <w:spacing w:after="0" w:line="80" w:lineRule="exact"/>
        <w:rPr>
          <w:rFonts w:ascii="Times New Roman" w:cs="Times New Roman" w:eastAsia="Times New Roman" w:hAnsi="Times New Roman"/>
          <w:sz w:val="18"/>
          <w:szCs w:val="18"/>
          <w:color w:val="auto"/>
        </w:rPr>
      </w:pPr>
    </w:p>
    <w:p>
      <w:pPr>
        <w:ind w:left="2060" w:right="1239" w:hanging="440"/>
        <w:spacing w:after="0" w:line="282" w:lineRule="auto"/>
        <w:tabs>
          <w:tab w:leader="none" w:pos="2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from one of our employees or service providers upon death, disability or termination of employment, in each case, of such employee or service provider;</w:t>
      </w:r>
    </w:p>
    <w:p>
      <w:pPr>
        <w:spacing w:after="0" w:line="80" w:lineRule="exact"/>
        <w:rPr>
          <w:rFonts w:ascii="Times New Roman" w:cs="Times New Roman" w:eastAsia="Times New Roman" w:hAnsi="Times New Roman"/>
          <w:sz w:val="18"/>
          <w:szCs w:val="18"/>
          <w:color w:val="auto"/>
        </w:rPr>
      </w:pPr>
    </w:p>
    <w:p>
      <w:pPr>
        <w:ind w:left="2060" w:right="899" w:hanging="440"/>
        <w:spacing w:after="0" w:line="282" w:lineRule="auto"/>
        <w:tabs>
          <w:tab w:leader="none" w:pos="2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acquired (A) from the underwriters in this offering or (B) in open market transactions after the closing of this offering;</w:t>
      </w:r>
    </w:p>
    <w:p>
      <w:pPr>
        <w:spacing w:after="0" w:line="80" w:lineRule="exact"/>
        <w:rPr>
          <w:rFonts w:ascii="Times New Roman" w:cs="Times New Roman" w:eastAsia="Times New Roman" w:hAnsi="Times New Roman"/>
          <w:sz w:val="18"/>
          <w:szCs w:val="18"/>
          <w:color w:val="auto"/>
        </w:rPr>
      </w:pPr>
    </w:p>
    <w:p>
      <w:pPr>
        <w:ind w:left="2060" w:right="419" w:hanging="440"/>
        <w:spacing w:after="0" w:line="254" w:lineRule="auto"/>
        <w:tabs>
          <w:tab w:leader="none" w:pos="2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connection with the vesting, settlement or exercise of RSUs, options, warrants or other rights to purchase shares of our common stock (including, in each case, by way of “net” or “cashless” exercise), including any transfers to us for the payment of tax withholdings or remittance payments due as a result of the vesting, settlement or exercise of such RSUs,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prospectus supplement, provided that any securities received upon such vesting, settlement, exercise or conversion shall be subject to the restrictions hereof;</w:t>
      </w:r>
    </w:p>
    <w:p>
      <w:pPr>
        <w:spacing w:after="0" w:line="326" w:lineRule="exact"/>
        <w:rPr>
          <w:rFonts w:ascii="Times New Roman" w:cs="Times New Roman" w:eastAsia="Times New Roman" w:hAnsi="Times New Roman"/>
          <w:sz w:val="18"/>
          <w:szCs w:val="18"/>
          <w:color w:val="auto"/>
        </w:rPr>
      </w:pPr>
    </w:p>
    <w:p>
      <w:pPr>
        <w:jc w:val="both"/>
        <w:ind w:left="2060" w:right="479" w:hanging="440"/>
        <w:spacing w:after="0" w:line="266" w:lineRule="auto"/>
        <w:tabs>
          <w:tab w:leader="none" w:pos="2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a written plan meeting the requirements of Rule 10b5-1 under the Exchange Act relating to the transfer of shares of common stock, provided that shares of common stock subject to such plan may not be sold during the Lock-Up period;</w:t>
      </w:r>
    </w:p>
    <w:p>
      <w:pPr>
        <w:spacing w:after="0" w:line="94" w:lineRule="exact"/>
        <w:rPr>
          <w:rFonts w:ascii="Times New Roman" w:cs="Times New Roman" w:eastAsia="Times New Roman" w:hAnsi="Times New Roman"/>
          <w:sz w:val="18"/>
          <w:szCs w:val="18"/>
          <w:color w:val="auto"/>
        </w:rPr>
      </w:pPr>
    </w:p>
    <w:p>
      <w:pPr>
        <w:ind w:left="2060" w:right="619" w:hanging="440"/>
        <w:spacing w:after="0" w:line="266" w:lineRule="auto"/>
        <w:tabs>
          <w:tab w:leader="none" w:pos="2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bona fide third-party tender offer, merger, consolidation, or other similar transaction that is approved by our board of directors and made to all holders of our common stock, and which involves a change in control; or</w:t>
      </w:r>
    </w:p>
    <w:p>
      <w:pPr>
        <w:spacing w:after="0" w:line="81" w:lineRule="exact"/>
        <w:rPr>
          <w:rFonts w:ascii="Times New Roman" w:cs="Times New Roman" w:eastAsia="Times New Roman" w:hAnsi="Times New Roman"/>
          <w:sz w:val="18"/>
          <w:szCs w:val="18"/>
          <w:color w:val="auto"/>
        </w:rPr>
      </w:pPr>
    </w:p>
    <w:p>
      <w:pPr>
        <w:ind w:left="2060" w:right="479" w:hanging="440"/>
        <w:spacing w:after="0" w:line="282" w:lineRule="auto"/>
        <w:tabs>
          <w:tab w:leader="none" w:pos="2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made with the prior written consent of Goldman Sachs &amp; Co. LLC and BofA Securities, Inc. on behalf of the underwriters; or</w:t>
      </w:r>
    </w:p>
    <w:p>
      <w:pPr>
        <w:spacing w:after="0" w:line="80"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Concurrent Share Repurchase or the Conversion.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restrictions on us set forth above are subject to certain exceptions, including with respect to:</w:t>
      </w:r>
    </w:p>
    <w:p>
      <w:pPr>
        <w:spacing w:after="0" w:line="144" w:lineRule="exact"/>
        <w:rPr>
          <w:sz w:val="20"/>
          <w:szCs w:val="20"/>
          <w:color w:val="auto"/>
        </w:rPr>
      </w:pPr>
    </w:p>
    <w:p>
      <w:pPr>
        <w:ind w:left="2060" w:right="1079" w:hanging="440"/>
        <w:spacing w:after="0" w:line="282" w:lineRule="auto"/>
        <w:tabs>
          <w:tab w:leader="none" w:pos="2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shares of Class A common stock upon conversion of shares of Class B common stock to be sold to the underwriters pursuant to the underwriting agreement;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60" w:right="479" w:hanging="440"/>
        <w:spacing w:after="0" w:line="258" w:lineRule="auto"/>
        <w:tabs>
          <w:tab w:leader="none" w:pos="2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options to purchase or the issuance of shares of common stock or securities convertible into, convertible into, exchangeable for or that represent the right to receive shares of common stock, including restricted stock units, pursuant to our equity compensation plans described in this prospectus supplement, provided that any such options or securities shall not vest during the Lock-Up Period;</w:t>
      </w:r>
    </w:p>
    <w:p>
      <w:pPr>
        <w:spacing w:after="0" w:line="88" w:lineRule="exact"/>
        <w:rPr>
          <w:rFonts w:ascii="Times New Roman" w:cs="Times New Roman" w:eastAsia="Times New Roman" w:hAnsi="Times New Roman"/>
          <w:sz w:val="18"/>
          <w:szCs w:val="18"/>
          <w:color w:val="auto"/>
        </w:rPr>
      </w:pPr>
    </w:p>
    <w:p>
      <w:pPr>
        <w:ind w:left="2060" w:right="479" w:hanging="440"/>
        <w:spacing w:after="0" w:line="254" w:lineRule="auto"/>
        <w:tabs>
          <w:tab w:leader="none" w:pos="2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 agreement providing for the issuance of shares of common stock or any security convertible into or exercisable for shares of common stock in connection with (A) 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or</w:t>
      </w:r>
    </w:p>
    <w:p>
      <w:pPr>
        <w:spacing w:after="0" w:line="3" w:lineRule="exact"/>
        <w:rPr>
          <w:rFonts w:ascii="Times New Roman" w:cs="Times New Roman" w:eastAsia="Times New Roman" w:hAnsi="Times New Roman"/>
          <w:sz w:val="18"/>
          <w:szCs w:val="18"/>
          <w:color w:val="auto"/>
        </w:rPr>
      </w:pPr>
    </w:p>
    <w:p>
      <w:pPr>
        <w:ind w:left="2060" w:right="419" w:hanging="8"/>
        <w:spacing w:after="0" w:line="253" w:lineRule="auto"/>
        <w:tabs>
          <w:tab w:leader="none" w:pos="235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commercial relationships, debt financings, charitable contributions, or other strategic transactions, provided that the aggregate number of shares of common stock that we may sell or issue or agree to sell or issue pursuant to clause (A) and (B) may not exceed 10% of the total number of shares of common stock outstanding immediately following this offering; or</w:t>
      </w:r>
    </w:p>
    <w:p>
      <w:pPr>
        <w:spacing w:after="0" w:line="80" w:lineRule="exact"/>
        <w:rPr>
          <w:rFonts w:ascii="Times New Roman" w:cs="Times New Roman" w:eastAsia="Times New Roman" w:hAnsi="Times New Roman"/>
          <w:sz w:val="18"/>
          <w:szCs w:val="18"/>
          <w:color w:val="auto"/>
        </w:rPr>
      </w:pPr>
    </w:p>
    <w:p>
      <w:pPr>
        <w:ind w:left="2060" w:right="499" w:hanging="440"/>
        <w:spacing w:after="0" w:line="282" w:lineRule="auto"/>
        <w:tabs>
          <w:tab w:leader="none" w:pos="2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any registration statement on Form S-8 relating to securities granted or to be granted pursuant to our equity incentive plans described in this prospectus supplement.</w:t>
      </w:r>
    </w:p>
    <w:p>
      <w:pPr>
        <w:spacing w:after="0" w:line="94"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Goldman Sachs &amp; Co. LLC and BofA Securities, Inc. may, in their discretion, release any of the securities subject to these lock-up agreements at any time.</w:t>
      </w:r>
    </w:p>
    <w:p>
      <w:pPr>
        <w:spacing w:after="0" w:line="9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Stabilizing transactions consist of various bids for or purchases of Class A common stock made by the underwriters in the open market prior to the closing of this offering.</w:t>
      </w:r>
    </w:p>
    <w:p>
      <w:pPr>
        <w:spacing w:after="0" w:line="326"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32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underwriters for their own accounts, may have the effect of preventing or retarding a decline in the market price of our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the Nasdaq, in the over-the-counter market, or otherwise.</w:t>
      </w:r>
    </w:p>
    <w:p>
      <w:pPr>
        <w:spacing w:after="0" w:line="118" w:lineRule="exact"/>
        <w:rPr>
          <w:sz w:val="20"/>
          <w:szCs w:val="20"/>
          <w:color w:val="auto"/>
        </w:rPr>
      </w:pPr>
    </w:p>
    <w:p>
      <w:pPr>
        <w:jc w:val="both"/>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             million. The underwriters will not receive any compensation for the shares of our Class A common stock being repurchased by us in the Concurrent Share Repurchase.</w:t>
      </w:r>
    </w:p>
    <w:p>
      <w:pPr>
        <w:spacing w:after="0" w:line="109"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will also agree to reimburse the underwriters for expenses in an amount not to exceed $35,000 relating to clearance of this offering with the Financial Industry Regulatory Authority. We and the selling stockholder will also agree to indemnify the several underwriters against certain liabilities, including liabilities under the Securities Act.</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whom we have relationships.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5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relation to each EEA Member State (each a “</w:t>
      </w:r>
      <w:r>
        <w:rPr>
          <w:rFonts w:ascii="Times New Roman" w:cs="Times New Roman" w:eastAsia="Times New Roman" w:hAnsi="Times New Roman"/>
          <w:sz w:val="18"/>
          <w:szCs w:val="18"/>
          <w:b w:val="1"/>
          <w:bCs w:val="1"/>
          <w:color w:val="auto"/>
        </w:rPr>
        <w:t>Relevant Member State</w:t>
      </w:r>
      <w:r>
        <w:rPr>
          <w:rFonts w:ascii="Times New Roman" w:cs="Times New Roman" w:eastAsia="Times New Roman" w:hAnsi="Times New Roman"/>
          <w:sz w:val="18"/>
          <w:szCs w:val="18"/>
          <w:color w:val="auto"/>
        </w:rPr>
        <w:t>”), no shares of Class A common stock have been offered or will be offered pursuant to the Offering to the public in that Relevant Member State prior to the publication of a prospectus in relation to the shares of Class A common stock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of Class A common stock may be offered to the public in that Relevant Member State at any time:</w:t>
      </w:r>
    </w:p>
    <w:p>
      <w:pPr>
        <w:spacing w:after="0" w:line="106" w:lineRule="exact"/>
        <w:rPr>
          <w:sz w:val="20"/>
          <w:szCs w:val="20"/>
          <w:color w:val="auto"/>
        </w:rPr>
      </w:pPr>
    </w:p>
    <w:p>
      <w:pPr>
        <w:ind w:left="2060" w:right="919" w:hanging="440"/>
        <w:spacing w:after="0" w:line="282" w:lineRule="auto"/>
        <w:tabs>
          <w:tab w:leader="none" w:pos="2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94" w:lineRule="exact"/>
        <w:rPr>
          <w:rFonts w:ascii="Times New Roman" w:cs="Times New Roman" w:eastAsia="Times New Roman" w:hAnsi="Times New Roman"/>
          <w:sz w:val="18"/>
          <w:szCs w:val="18"/>
          <w:color w:val="auto"/>
        </w:rPr>
      </w:pPr>
    </w:p>
    <w:p>
      <w:pPr>
        <w:ind w:left="2060" w:right="559" w:hanging="440"/>
        <w:spacing w:after="0" w:line="266" w:lineRule="auto"/>
        <w:tabs>
          <w:tab w:leader="none" w:pos="2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Joint Global Coordinators for any such offer; or</w:t>
      </w:r>
    </w:p>
    <w:p>
      <w:pPr>
        <w:spacing w:after="0" w:line="108"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44"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provided that no such offer of the shares of Class A common stock shall require the Company and/or Selling Shareholders or any Bank to publish a prospectus pursuant to Article 3 of the Prospectus Regulation or supplement a prospectus pursuant to Article 23 of the Prospectus Regulation.</w:t>
      </w:r>
    </w:p>
    <w:p>
      <w:pPr>
        <w:spacing w:after="0" w:line="108"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Class A common stock in any Relevant Member State means the communication in any form and by any means of sufficient information on the terms of the offer and any shares of Class A common stock to be offered so as to enable an investor to decide to purchase any shares of Class A common stock, and the expression “Prospectus Regulation” means Regulation (EU) 2017/1129.</w:t>
      </w:r>
    </w:p>
    <w:p>
      <w:pPr>
        <w:spacing w:after="0" w:line="116"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Each person in a Relevant Member State who receives any communication in respect of, or who acquires any shares of Class A common stock under, the Offering contemplated hereby will be deemed to have represented, warranted and agreed to and with each of the Underwriters and their affiliates and the Company that:</w:t>
      </w:r>
    </w:p>
    <w:p>
      <w:pPr>
        <w:spacing w:after="0" w:line="99" w:lineRule="exact"/>
        <w:rPr>
          <w:sz w:val="20"/>
          <w:szCs w:val="20"/>
          <w:color w:val="auto"/>
        </w:rPr>
      </w:pPr>
    </w:p>
    <w:p>
      <w:pPr>
        <w:ind w:left="5160" w:right="1939" w:hanging="3540"/>
        <w:spacing w:after="0" w:line="751" w:lineRule="auto"/>
        <w:tabs>
          <w:tab w:leader="none" w:pos="20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within the meaning of the Prospectus Regulation; and 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60" w:right="459" w:hanging="440"/>
        <w:spacing w:after="0" w:line="253" w:lineRule="auto"/>
        <w:tabs>
          <w:tab w:leader="none" w:pos="2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shares of Class A common stock acquired by it as a financial intermediary, as that term is used in Article 5 of the Prospectus Regulation, (i) the shares of Class A common stock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Joint Global Coordinators has been given to the offer or resale; or (ii) where the shares of Class A common stock have been acquired by it on behalf of persons in any Relevant Member State other than qualified investors, the offer of those shares of Class A common stock to it is not treated under the Prospectus Regulation as having been made to such persons.</w:t>
      </w:r>
    </w:p>
    <w:p>
      <w:pPr>
        <w:spacing w:after="0" w:line="124" w:lineRule="exact"/>
        <w:rPr>
          <w:sz w:val="20"/>
          <w:szCs w:val="20"/>
          <w:color w:val="auto"/>
        </w:rPr>
      </w:pPr>
    </w:p>
    <w:p>
      <w:pPr>
        <w:jc w:val="both"/>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Company, the Underwriters and their affiliates, and others will rely upon the truth and accuracy of the foregoing representation, acknowledgement and agreement. Notwithstanding the above, a person who is not a qualified investor and who has notified the Joint Global Coordinators of such fact in writing may, with the prior consent of the Joint Global Coordinators, be permitted to acquire shares of Class A common stock in the Offering.</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4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This prospectus supplement and any other material in relation to the shares of Class A common stock described herein is only being distributed to, and is only directed at, and any investment or investment activity to which this prospectus supplement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of Class A common stock may otherwise lawfully be communicated or caused to be communicated, (all such persons together being referred to as “</w:t>
      </w:r>
      <w:r>
        <w:rPr>
          <w:rFonts w:ascii="Times New Roman" w:cs="Times New Roman" w:eastAsia="Times New Roman" w:hAnsi="Times New Roman"/>
          <w:sz w:val="18"/>
          <w:szCs w:val="18"/>
          <w:b w:val="1"/>
          <w:b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 The shares of Class A common stock are only available in the UK to, and any invitation, offer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purchase or otherwise acquire the shares of Class A common stock will be engaged in only with, the Relevant Persons. This prospectus supplement and its contents are confidential and should not be distributed, published or reproduced (in whole or in part) or disclosed by recipients to any other person in the UK. Any person in the UK that is not a Relevant Person should not act or rely on this prospectus supplement or any of its contents.</w:t>
      </w:r>
    </w:p>
    <w:p>
      <w:pPr>
        <w:spacing w:after="0" w:line="33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w:t>
      </w:r>
    </w:p>
    <w:p>
      <w:pPr>
        <w:spacing w:after="0" w:line="96" w:lineRule="exact"/>
        <w:rPr>
          <w:sz w:val="20"/>
          <w:szCs w:val="20"/>
          <w:color w:val="auto"/>
        </w:rPr>
      </w:pPr>
    </w:p>
    <w:p>
      <w:pPr>
        <w:ind w:left="2060" w:right="599" w:hanging="440"/>
        <w:spacing w:after="0" w:line="282" w:lineRule="auto"/>
        <w:tabs>
          <w:tab w:leader="none" w:pos="2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67" w:lineRule="exact"/>
        <w:rPr>
          <w:rFonts w:ascii="Times New Roman" w:cs="Times New Roman" w:eastAsia="Times New Roman" w:hAnsi="Times New Roman"/>
          <w:sz w:val="18"/>
          <w:szCs w:val="18"/>
          <w:color w:val="auto"/>
        </w:rPr>
      </w:pPr>
    </w:p>
    <w:p>
      <w:pPr>
        <w:ind w:left="2060" w:right="599" w:hanging="440"/>
        <w:spacing w:after="0" w:line="266" w:lineRule="auto"/>
        <w:tabs>
          <w:tab w:leader="none" w:pos="2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Global Coordinators for any such offer; or</w:t>
      </w:r>
    </w:p>
    <w:p>
      <w:pPr>
        <w:spacing w:after="0" w:line="9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44"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provided that no such offer of the shares of Class A common stock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of Class A common stock in the United Kingdom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“UK Prospectus Regulation” means Regulation (EU) 2017/1129 as it forms part of domestic law by virtue of the European Union (Withdrawal) Act 2018.</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Each person in the UK who acquires any shares of Class A common stock in the Offer or to whom any offer is made will be deemed to have represented, acknowledged and agreed to and with the Company, the Underwriters and their affiliates that it meets the criteria outlined in this section.</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This prospectus supplement does not constitute a prospectus as defined under the Israeli Securities Law (the “Israeli Securities Law”), and has not been filed with or approved by the Israel Securities Authority. In Israel, this prospectus supplement is being distributed only to, and is directed only at, and any offer of the shares is directed only at, (i) a limited number of persons in accordance with the Israeli Securities Law and</w:t>
      </w:r>
    </w:p>
    <w:p>
      <w:pPr>
        <w:spacing w:after="0" w:line="3" w:lineRule="exact"/>
        <w:rPr>
          <w:sz w:val="20"/>
          <w:szCs w:val="20"/>
          <w:color w:val="auto"/>
        </w:rPr>
      </w:pPr>
    </w:p>
    <w:p>
      <w:pPr>
        <w:ind w:left="1260" w:right="459"/>
        <w:spacing w:after="0" w:line="251" w:lineRule="auto"/>
        <w:tabs>
          <w:tab w:leader="none" w:pos="15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listed in the first addendum (as it may be amended from time to time,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06"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jc w:val="both"/>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Our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w:t>
      </w:r>
    </w:p>
    <w:p>
      <w:pPr>
        <w:spacing w:after="0" w:line="1" w:lineRule="exact"/>
        <w:rPr>
          <w:sz w:val="20"/>
          <w:szCs w:val="20"/>
          <w:color w:val="auto"/>
        </w:rPr>
      </w:pPr>
    </w:p>
    <w:p>
      <w:pPr>
        <w:ind w:left="1260" w:right="539"/>
        <w:spacing w:after="0" w:line="251" w:lineRule="auto"/>
        <w:rPr>
          <w:sz w:val="20"/>
          <w:szCs w:val="20"/>
          <w:color w:val="auto"/>
        </w:rPr>
      </w:pPr>
      <w:r>
        <w:rPr>
          <w:rFonts w:ascii="Times New Roman" w:cs="Times New Roman" w:eastAsia="Times New Roman" w:hAnsi="Times New Roman"/>
          <w:sz w:val="18"/>
          <w:szCs w:val="18"/>
          <w:color w:val="auto"/>
        </w:rPr>
        <w:t>(Winding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our Class A common stock may not be circulated or distributed, nor may our Class A common stock be offered or sold, or be made the subject of an invitation for subscription or purchase, whether directly or indirectly, to persons in Singapore other than</w:t>
      </w:r>
    </w:p>
    <w:p>
      <w:pPr>
        <w:spacing w:after="0" w:line="1" w:lineRule="exact"/>
        <w:rPr>
          <w:sz w:val="20"/>
          <w:szCs w:val="20"/>
          <w:color w:val="auto"/>
        </w:rPr>
      </w:pPr>
    </w:p>
    <w:p>
      <w:pPr>
        <w:ind w:left="1260" w:right="419"/>
        <w:spacing w:after="0"/>
        <w:tabs>
          <w:tab w:leader="none" w:pos="14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7"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ind w:left="1520" w:hanging="26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(4) where the transfer is by operation of law,</w:t>
      </w:r>
    </w:p>
    <w:p>
      <w:pPr>
        <w:ind w:left="1260" w:right="659"/>
        <w:spacing w:after="0" w:line="258" w:lineRule="auto"/>
        <w:tabs>
          <w:tab w:leader="none" w:pos="15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 (6) as specified in Regulation 32 of the Securities and Futures (Offers of Investments) (Shares and Debentures) Regulations 2005 of Singapore (Regulation 32).</w:t>
      </w:r>
    </w:p>
    <w:p>
      <w:pPr>
        <w:spacing w:after="0" w:line="10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Where our Class A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our Class A common stock under Section 275 of the SFA except:</w:t>
      </w:r>
    </w:p>
    <w:p>
      <w:pPr>
        <w:spacing w:after="0" w:line="2" w:lineRule="exact"/>
        <w:rPr>
          <w:sz w:val="20"/>
          <w:szCs w:val="20"/>
          <w:color w:val="auto"/>
        </w:rPr>
      </w:pPr>
    </w:p>
    <w:p>
      <w:pPr>
        <w:ind w:left="1260" w:right="459"/>
        <w:spacing w:after="0" w:line="242" w:lineRule="auto"/>
        <w:tabs>
          <w:tab w:leader="none" w:pos="15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or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of Class A common stock to which this prospectus supplement relates may be illiquid and/or subject to restrictions on their resale. Prospective purchasers of the shares of our Class A common stock</w:t>
      </w: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spacing w:after="0" w:line="282" w:lineRule="auto"/>
        <w:rPr>
          <w:sz w:val="20"/>
          <w:szCs w:val="20"/>
          <w:color w:val="auto"/>
        </w:rPr>
      </w:pPr>
      <w:r>
        <w:rPr>
          <w:rFonts w:ascii="Times New Roman" w:cs="Times New Roman" w:eastAsia="Times New Roman" w:hAnsi="Times New Roman"/>
          <w:sz w:val="18"/>
          <w:szCs w:val="18"/>
          <w:color w:val="auto"/>
        </w:rPr>
        <w:t>should conduct their own due diligence on such shares. If you do not understand the contents of this prospectus supplement, you should consult an authorized financial advisor.</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Class A common stock or the offering may be publicly distributed or otherwise made publicly available in Switzerland.</w:t>
      </w:r>
    </w:p>
    <w:p>
      <w:pPr>
        <w:spacing w:after="0" w:line="11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our company or our Class A common stock has been or will be filed with or approved by any Swiss regulatory authority. In particular, this document will not be filed with, and the offer of Class A common stock will not be supervised by, the Swiss Financial Market Supervisory Authority and the offer of Class A common stock has not been and will not be authorized under the Swiss Federal Act on Collective Investment Schemes (CISA). The investor protection afforded to acquirers of interests in collective investment schemes under the CISA does not extend to acquirers of Class A common stock.</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9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Any offer in Australia of our Class A common stock may only be made to persons, or Exempt Investors, who are “sophisticated investors” ​(within the meaning of section 708(8) of the Corporations Act),</w:t>
      </w:r>
    </w:p>
    <w:p>
      <w:pPr>
        <w:ind w:left="1260" w:right="539"/>
        <w:spacing w:after="0" w:line="246" w:lineRule="auto"/>
        <w:rPr>
          <w:sz w:val="20"/>
          <w:szCs w:val="20"/>
          <w:color w:val="auto"/>
        </w:rPr>
      </w:pPr>
      <w:r>
        <w:rPr>
          <w:rFonts w:ascii="Times New Roman" w:cs="Times New Roman" w:eastAsia="Times New Roman" w:hAnsi="Times New Roman"/>
          <w:sz w:val="18"/>
          <w:szCs w:val="18"/>
          <w:color w:val="auto"/>
        </w:rPr>
        <w:t>“professional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13"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shares of our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our Class A common stock must observe such Australian on-sale restrictions.</w:t>
      </w:r>
    </w:p>
    <w:p>
      <w:pPr>
        <w:spacing w:after="0" w:line="106"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Brazil</w:t>
      </w:r>
    </w:p>
    <w:p>
      <w:pPr>
        <w:spacing w:after="0" w:line="162"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w:t>
      </w: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Class A common stock offered by this prospectus supplement will be passed upon for us by Davis Polk &amp; Wardwell LLP, New York, New York, and for the underwriters by Sullivan &amp; Cromwell LLP, Palo Alto, California.</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10">
        <w:r>
          <w:rPr>
            <w:rFonts w:ascii="Times New Roman" w:cs="Times New Roman" w:eastAsia="Times New Roman" w:hAnsi="Times New Roman"/>
            <w:sz w:val="18"/>
            <w:szCs w:val="18"/>
            <w:color w:val="auto"/>
          </w:rPr>
          <w:t xml:space="preserve">Reporting) incorporated in this prospectus supplement by reference to the </w:t>
        </w:r>
        <w:r>
          <w:rPr>
            <w:rFonts w:ascii="Times New Roman" w:cs="Times New Roman" w:eastAsia="Times New Roman" w:hAnsi="Times New Roman"/>
            <w:sz w:val="18"/>
            <w:szCs w:val="18"/>
            <w:u w:val="single" w:color="auto"/>
            <w:color w:val="0000EE"/>
          </w:rPr>
          <w:t>Annual Report on Form 10- K for</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u w:val="single" w:color="auto"/>
            <w:color w:val="0000EE"/>
          </w:rPr>
          <w:t>the year ended December 28,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 Kesselman &amp;</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Kesselman, Certified Public Accountants (Isr.), a member firm of PricewaterhouseCoopers International Limited,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rules of the SEC allow us to incorporate information into this prospectus supplement by reference. The information incorporated by reference is considered to be a part of this prospectus supplement. This prospectus supplement incorporates by reference the documents listed below.</w:t>
      </w:r>
    </w:p>
    <w:p>
      <w:pPr>
        <w:spacing w:after="0" w:line="68" w:lineRule="exact"/>
        <w:rPr>
          <w:sz w:val="20"/>
          <w:szCs w:val="20"/>
          <w:color w:val="auto"/>
        </w:rPr>
      </w:pPr>
    </w:p>
    <w:p>
      <w:pPr>
        <w:ind w:left="1800" w:right="459" w:hanging="180"/>
        <w:spacing w:after="0" w:line="282" w:lineRule="auto"/>
        <w:tabs>
          <w:tab w:leader="none" w:pos="1800" w:val="left"/>
        </w:tabs>
        <w:numPr>
          <w:ilvl w:val="0"/>
          <w:numId w:val="22"/>
        </w:numPr>
        <w:rPr>
          <w:rFonts w:ascii="Times New Roman" w:cs="Times New Roman" w:eastAsia="Times New Roman" w:hAnsi="Times New Roman"/>
          <w:sz w:val="18"/>
          <w:szCs w:val="18"/>
          <w:u w:val="single" w:color="auto"/>
          <w:color w:val="0000EE"/>
        </w:rPr>
      </w:pPr>
      <w:hyperlink r:id="rId10">
        <w:r>
          <w:rPr>
            <w:rFonts w:ascii="Times New Roman" w:cs="Times New Roman" w:eastAsia="Times New Roman" w:hAnsi="Times New Roman"/>
            <w:sz w:val="18"/>
            <w:szCs w:val="18"/>
            <w:u w:val="single" w:color="auto"/>
            <w:color w:val="0000EE"/>
          </w:rPr>
          <w:t>our Annual Report on Form 10-K for the fiscal year ended December 28, 2024, filed on February 13,</w:t>
        </w:r>
      </w:hyperlink>
      <w:r>
        <w:rPr>
          <w:rFonts w:ascii="Times New Roman" w:cs="Times New Roman" w:eastAsia="Times New Roman" w:hAnsi="Times New Roman"/>
          <w:sz w:val="18"/>
          <w:szCs w:val="18"/>
          <w:u w:val="single" w:color="auto"/>
          <w:color w:val="0000EE"/>
        </w:rPr>
        <w:t xml:space="preserve"> </w:t>
      </w:r>
      <w:hyperlink r:id="rId10">
        <w:r>
          <w:rPr>
            <w:rFonts w:ascii="Times New Roman" w:cs="Times New Roman" w:eastAsia="Times New Roman" w:hAnsi="Times New Roman"/>
            <w:sz w:val="18"/>
            <w:szCs w:val="18"/>
            <w:u w:val="single" w:color="auto"/>
            <w:color w:val="0000EE"/>
          </w:rPr>
          <w:t>2025;</w:t>
        </w:r>
      </w:hyperlink>
    </w:p>
    <w:p>
      <w:pPr>
        <w:spacing w:after="0" w:line="53" w:lineRule="exact"/>
        <w:rPr>
          <w:rFonts w:ascii="Times New Roman" w:cs="Times New Roman" w:eastAsia="Times New Roman" w:hAnsi="Times New Roman"/>
          <w:sz w:val="18"/>
          <w:szCs w:val="18"/>
          <w:u w:val="single" w:color="auto"/>
          <w:color w:val="0000EE"/>
        </w:rPr>
      </w:pPr>
    </w:p>
    <w:p>
      <w:pPr>
        <w:ind w:left="1800" w:right="419" w:hanging="180"/>
        <w:spacing w:after="0" w:line="282" w:lineRule="auto"/>
        <w:tabs>
          <w:tab w:leader="none" w:pos="1800" w:val="left"/>
        </w:tabs>
        <w:numPr>
          <w:ilvl w:val="0"/>
          <w:numId w:val="22"/>
        </w:numPr>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our Quarterly Report on Form 10-Q for the quarterly period ended March 29, 2025, filed on April 24,</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2025;</w:t>
        </w:r>
      </w:hyperlink>
    </w:p>
    <w:p>
      <w:pPr>
        <w:spacing w:after="0" w:line="53" w:lineRule="exact"/>
        <w:rPr>
          <w:rFonts w:ascii="Times New Roman" w:cs="Times New Roman" w:eastAsia="Times New Roman" w:hAnsi="Times New Roman"/>
          <w:sz w:val="18"/>
          <w:szCs w:val="18"/>
          <w:u w:val="single" w:color="auto"/>
          <w:color w:val="0000EE"/>
        </w:rPr>
      </w:pPr>
    </w:p>
    <w:p>
      <w:pPr>
        <w:ind w:left="1800" w:right="419" w:hanging="180"/>
        <w:spacing w:after="0" w:line="266" w:lineRule="auto"/>
        <w:tabs>
          <w:tab w:leader="none" w:pos="1800" w:val="left"/>
        </w:tabs>
        <w:numPr>
          <w:ilvl w:val="0"/>
          <w:numId w:val="22"/>
        </w:numPr>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u w:val="single" w:color="auto"/>
            <w:color w:val="0000EE"/>
          </w:rPr>
          <w:t>our Definitive Proxy Statement on Schedule 14A filed on April 25,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any portions that</w:t>
      </w:r>
      <w:r>
        <w:rPr>
          <w:rFonts w:ascii="Times New Roman" w:cs="Times New Roman" w:eastAsia="Times New Roman" w:hAnsi="Times New Roman"/>
          <w:sz w:val="18"/>
          <w:szCs w:val="18"/>
          <w:color w:val="0000EE"/>
        </w:rPr>
        <w:t xml:space="preserve"> </w:t>
      </w:r>
      <w:hyperlink r:id="rId10">
        <w:r>
          <w:rPr>
            <w:rFonts w:ascii="Times New Roman" w:cs="Times New Roman" w:eastAsia="Times New Roman" w:hAnsi="Times New Roman"/>
            <w:sz w:val="18"/>
            <w:szCs w:val="18"/>
            <w:color w:val="000000"/>
          </w:rPr>
          <w:t xml:space="preserve">were not incorporated by reference into Part III of our </w:t>
        </w:r>
        <w:r>
          <w:rPr>
            <w:rFonts w:ascii="Times New Roman" w:cs="Times New Roman" w:eastAsia="Times New Roman" w:hAnsi="Times New Roman"/>
            <w:sz w:val="18"/>
            <w:szCs w:val="18"/>
            <w:u w:val="single" w:color="auto"/>
            <w:color w:val="0000EE"/>
          </w:rPr>
          <w:t>Annual Report on Form 10-K for the fiscal</w:t>
        </w:r>
      </w:hyperlink>
      <w:r>
        <w:rPr>
          <w:rFonts w:ascii="Times New Roman" w:cs="Times New Roman" w:eastAsia="Times New Roman" w:hAnsi="Times New Roman"/>
          <w:sz w:val="18"/>
          <w:szCs w:val="18"/>
          <w:color w:val="000000"/>
        </w:rPr>
        <w:t xml:space="preserve"> </w:t>
      </w:r>
      <w:hyperlink r:id="rId10">
        <w:r>
          <w:rPr>
            <w:rFonts w:ascii="Times New Roman" w:cs="Times New Roman" w:eastAsia="Times New Roman" w:hAnsi="Times New Roman"/>
            <w:sz w:val="18"/>
            <w:szCs w:val="18"/>
            <w:u w:val="single" w:color="auto"/>
            <w:color w:val="0000EE"/>
          </w:rPr>
          <w:t>year ended December 28,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hyperlink>
    </w:p>
    <w:p>
      <w:pPr>
        <w:spacing w:after="0" w:line="67" w:lineRule="exact"/>
        <w:rPr>
          <w:rFonts w:ascii="Times New Roman" w:cs="Times New Roman" w:eastAsia="Times New Roman" w:hAnsi="Times New Roman"/>
          <w:sz w:val="18"/>
          <w:szCs w:val="18"/>
          <w:color w:val="0000EE"/>
        </w:rPr>
      </w:pPr>
    </w:p>
    <w:p>
      <w:pPr>
        <w:ind w:left="1800" w:right="419" w:hanging="180"/>
        <w:spacing w:after="0" w:line="258" w:lineRule="auto"/>
        <w:tabs>
          <w:tab w:leader="none" w:pos="1800" w:val="left"/>
        </w:tabs>
        <w:numPr>
          <w:ilvl w:val="0"/>
          <w:numId w:val="22"/>
        </w:numPr>
        <w:rPr>
          <w:rFonts w:ascii="Times New Roman" w:cs="Times New Roman" w:eastAsia="Times New Roman" w:hAnsi="Times New Roman"/>
          <w:sz w:val="18"/>
          <w:szCs w:val="18"/>
          <w:color w:val="000000"/>
        </w:rPr>
      </w:pPr>
      <w:hyperlink r:id="rId87">
        <w:r>
          <w:rPr>
            <w:rFonts w:ascii="Times New Roman" w:cs="Times New Roman" w:eastAsia="Times New Roman" w:hAnsi="Times New Roman"/>
            <w:sz w:val="18"/>
            <w:szCs w:val="18"/>
            <w:color w:val="auto"/>
          </w:rPr>
          <w:t xml:space="preserve">the description of our common stock contained in our Registration Statement on </w:t>
        </w:r>
        <w:r>
          <w:rPr>
            <w:rFonts w:ascii="Times New Roman" w:cs="Times New Roman" w:eastAsia="Times New Roman" w:hAnsi="Times New Roman"/>
            <w:sz w:val="18"/>
            <w:szCs w:val="18"/>
            <w:u w:val="single" w:color="auto"/>
            <w:color w:val="0000EE"/>
          </w:rPr>
          <w:t>Form 8-A, filed</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EE"/>
          </w:rPr>
          <w:t>with the SEC on October 26, 2022 (File No. 001-41541)</w:t>
        </w:r>
        <w:r>
          <w:rPr>
            <w:rFonts w:ascii="Times New Roman" w:cs="Times New Roman" w:eastAsia="Times New Roman" w:hAnsi="Times New Roman"/>
            <w:sz w:val="18"/>
            <w:szCs w:val="18"/>
            <w:color w:val="000000"/>
          </w:rPr>
          <w:t>, pursuant to Section 12(b) of the Securities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Exchange Act of 1934, as amended (the “Exchange Act”), including any amendments or reports filed for the purpose of updating such description, including the description of our common stock included as </w:t>
      </w:r>
      <w:hyperlink r:id="rId8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our Annual Report on Form 10-K filed with the SEC on February 13, 2025.</w:t>
      </w:r>
    </w:p>
    <w:p>
      <w:pPr>
        <w:spacing w:after="0" w:line="75" w:lineRule="exact"/>
        <w:rPr>
          <w:rFonts w:ascii="Times New Roman" w:cs="Times New Roman" w:eastAsia="Times New Roman" w:hAnsi="Times New Roman"/>
          <w:sz w:val="18"/>
          <w:szCs w:val="18"/>
          <w:color w:val="000000"/>
        </w:rPr>
      </w:pPr>
    </w:p>
    <w:p>
      <w:pPr>
        <w:ind w:left="1800" w:right="619" w:hanging="180"/>
        <w:spacing w:after="0" w:line="282" w:lineRule="auto"/>
        <w:tabs>
          <w:tab w:leader="none" w:pos="1800" w:val="left"/>
        </w:tabs>
        <w:numPr>
          <w:ilvl w:val="0"/>
          <w:numId w:val="22"/>
        </w:numPr>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3, 2025; April 30,</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0">
        <w:r>
          <w:rPr>
            <w:rFonts w:ascii="Times New Roman" w:cs="Times New Roman" w:eastAsia="Times New Roman" w:hAnsi="Times New Roman"/>
            <w:sz w:val="18"/>
            <w:szCs w:val="18"/>
            <w:u w:val="single" w:color="auto"/>
            <w:color w:val="0000EE"/>
          </w:rPr>
          <w:t>June 17, 2025</w:t>
        </w:r>
      </w:hyperlink>
      <w:hyperlink r:id="rId89">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91">
        <w:r>
          <w:rPr>
            <w:rFonts w:ascii="Times New Roman" w:cs="Times New Roman" w:eastAsia="Times New Roman" w:hAnsi="Times New Roman"/>
            <w:sz w:val="18"/>
            <w:szCs w:val="18"/>
            <w:u w:val="single" w:color="auto"/>
            <w:color w:val="0000EE"/>
          </w:rPr>
          <w:t>July 8, 2025</w:t>
        </w:r>
      </w:hyperlink>
      <w:hyperlink r:id="rId89">
        <w:r>
          <w:rPr>
            <w:rFonts w:ascii="Times New Roman" w:cs="Times New Roman" w:eastAsia="Times New Roman" w:hAnsi="Times New Roman"/>
            <w:sz w:val="18"/>
            <w:szCs w:val="18"/>
            <w:color w:val="000000"/>
          </w:rPr>
          <w:t>.</w:t>
        </w:r>
      </w:hyperlink>
    </w:p>
    <w:p>
      <w:pPr>
        <w:spacing w:after="0" w:line="94" w:lineRule="exact"/>
        <w:rPr>
          <w:rFonts w:ascii="Times New Roman" w:cs="Times New Roman" w:eastAsia="Times New Roman" w:hAnsi="Times New Roman"/>
          <w:sz w:val="18"/>
          <w:szCs w:val="18"/>
          <w:color w:val="0000EE"/>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Any statement made in a document incorporated by reference into this prospectus supplement will be deemed to be modified or superseded for purposes of this prospectus supplement to the extent that a statement contained in this prospectus supplement modifies or supersedes that statement. Any statement so modified or superseded will not be deemed as so modified or superseded, except as so modified or superseded, to constitute a part of this prospectus supplement.</w:t>
      </w:r>
    </w:p>
    <w:p>
      <w:pPr>
        <w:spacing w:after="0" w:line="102" w:lineRule="exact"/>
        <w:rPr>
          <w:rFonts w:ascii="Times New Roman" w:cs="Times New Roman" w:eastAsia="Times New Roman" w:hAnsi="Times New Roman"/>
          <w:sz w:val="18"/>
          <w:szCs w:val="18"/>
          <w:color w:val="0000EE"/>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You can obtain any of the filings incorporated by reference into this prospectus supplement through us or from the SEC through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We will provide, without charge, to each person, including any beneficial owner, to whom a copy of this prospectus supplement is delivered, upon written or oral request of such person, a copy of any or all of the reports and documents referred to above which have been or may be incorporated by reference into this prospectus supplement. You should direct requests for those documents to: Mobileye Investor Relations; investors@mobileye.com; telephone: +1 (917) 960-1525.</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29" w:lineRule="exact"/>
        <w:rPr>
          <w:rFonts w:ascii="Times New Roman" w:cs="Times New Roman" w:eastAsia="Times New Roman" w:hAnsi="Times New Roman"/>
          <w:sz w:val="18"/>
          <w:szCs w:val="18"/>
          <w:color w:val="0000EE"/>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the registration statement on Form S-3 we filed with the SEC under the Securities Act and does not contain all of the information set forth in the registration statement and the exhibits to the registration statement. For further information about us, the Class A common stock we are offering by this prospectus supplement and related matters, you should review the registration statement, including the exhibits filed as a part of the registration statement. Statements contained in this prospectus supplement and the accompanying prospectus about the contents of any contract or any other document that is filed as an exhibit to the registration statement are not necessarily complete, and we refer you to the full text of the contract or other document filed as an exhibit to the registration statement.</w:t>
      </w:r>
    </w:p>
    <w:p>
      <w:pPr>
        <w:spacing w:after="0" w:line="340"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are required to file periodic reports, proxy statements and other information with the SEC. These periodic reports, proxy statements and other information are available for inspection and copying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We also maintain a website at www.mobileye.com at which you may access our SEC filings free of charge as soon as reasonably practicable after they are electronically filed with, or furnished to, the SEC. The information contained in, or that can be accessed through, our website is not incorporated by reference in, and is not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2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jc w:val="center"/>
        <w:ind w:right="-800"/>
        <w:spacing w:after="0" w:line="236" w:lineRule="auto"/>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DEPOSITARY SHARES</w:t>
      </w:r>
    </w:p>
    <w:p>
      <w:pPr>
        <w:jc w:val="center"/>
        <w:ind w:right="-800"/>
        <w:spacing w:after="0" w:line="236" w:lineRule="auto"/>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173990</wp:posOffset>
            </wp:positionV>
            <wp:extent cx="1234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or selling securityholders may, from time to time, offer to sell debt securities, Class A common stock, preferred stock, warrants, depositary shares, purchase contracts or units. Each time we or a selling securityholder sells securities pursuant to this prospectus, where required,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under the symbol “MBLY.”</w:t>
      </w:r>
    </w:p>
    <w:p>
      <w:pPr>
        <w:spacing w:after="0" w:line="110" w:lineRule="exact"/>
        <w:rPr>
          <w:sz w:val="20"/>
          <w:szCs w:val="20"/>
          <w:color w:val="auto"/>
        </w:rPr>
      </w:pPr>
    </w:p>
    <w:p>
      <w:pPr>
        <w:ind w:left="1260" w:right="5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section of our filings with the Securities and Exchange Commission (the “SEC”) and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189865</wp:posOffset>
            </wp:positionV>
            <wp:extent cx="1234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260" w:right="459" w:firstLine="360"/>
        <w:spacing w:after="0" w:line="275" w:lineRule="auto"/>
        <w:rPr>
          <w:sz w:val="20"/>
          <w:szCs w:val="20"/>
          <w:color w:val="auto"/>
        </w:rPr>
      </w:pPr>
      <w:r>
        <w:rPr>
          <w:rFonts w:ascii="Times New Roman" w:cs="Times New Roman" w:eastAsia="Times New Roman" w:hAnsi="Times New Roman"/>
          <w:sz w:val="18"/>
          <w:szCs w:val="18"/>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336550</wp:posOffset>
            </wp:positionV>
            <wp:extent cx="1234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This prospectus is dated 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3153410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50" w:lineRule="exact"/>
        <w:rPr>
          <w:sz w:val="20"/>
          <w:szCs w:val="20"/>
          <w:color w:val="auto"/>
        </w:rPr>
      </w:pPr>
    </w:p>
    <w:p>
      <w:pPr>
        <w:ind w:left="1260" w:right="1000"/>
        <w:spacing w:after="0" w:line="305" w:lineRule="auto"/>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-184785</wp:posOffset>
            </wp:positionV>
            <wp:extent cx="521208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SECURITYHOLDERS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740"/>
        <w:spacing w:after="0" w:line="344" w:lineRule="auto"/>
        <w:rPr>
          <w:sz w:val="20"/>
          <w:szCs w:val="20"/>
          <w:color w:val="auto"/>
        </w:rPr>
      </w:pPr>
      <w:r>
        <w:rPr>
          <w:rFonts w:ascii="Times New Roman" w:cs="Times New Roman" w:eastAsia="Times New Roman" w:hAnsi="Times New Roman"/>
          <w:sz w:val="18"/>
          <w:szCs w:val="18"/>
          <w:u w:val="single" w:color="auto"/>
          <w:color w:val="0000EE"/>
        </w:rPr>
        <w:t>WHERE YOU CAN FIND MORE INFORMATION INCORPORATION OF CERTAIN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0"/>
          <w:szCs w:val="10"/>
          <w:b w:val="1"/>
          <w:bCs w:val="1"/>
          <w:color w:val="auto"/>
        </w:rPr>
        <w:t>AGE</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20" w:space="720"/>
            <w:col w:w="93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using a “shelf” registration process. We may sell any combination of the securities described in this prospectus, from time to time.</w:t>
      </w:r>
    </w:p>
    <w:p>
      <w:pPr>
        <w:spacing w:after="0" w:line="94"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types of securities that we or selling securityholders may offer and sell, from time to time, pursuant to this prospectus are:</w:t>
      </w:r>
    </w:p>
    <w:p>
      <w:pPr>
        <w:spacing w:after="0" w:line="54"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of the securities listed above.</w:t>
      </w:r>
    </w:p>
    <w:p>
      <w:pPr>
        <w:spacing w:after="0" w:line="144" w:lineRule="exact"/>
        <w:rPr>
          <w:sz w:val="20"/>
          <w:szCs w:val="20"/>
          <w:color w:val="auto"/>
        </w:rPr>
      </w:pPr>
    </w:p>
    <w:p>
      <w:pPr>
        <w:jc w:val="both"/>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Each time we or a selling securityholder sell securities pursuant to this prospectus, we will, if required, describe, in a prospectus supplement, which we will deliver with this prospectus, specific information about the offering and the terms of the particular securities offered. In each prospectus supplement we will include the following information, if applicable:</w:t>
      </w:r>
    </w:p>
    <w:p>
      <w:pPr>
        <w:spacing w:after="0" w:line="72"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amount of securities that we or a selling securityholder proposes to sell;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offering price of the securities;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 through or to which we or a selling securityholder will sell the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of those underwriters or agents; and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any securities exchanges or automated quotation systems on which the securities will be listed or traded.</w:t>
      </w:r>
    </w:p>
    <w:p>
      <w:pPr>
        <w:spacing w:after="0" w:line="94"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In addition, the prospectus supplement may also add, update or change the information contained in this prospectus.</w:t>
      </w:r>
    </w:p>
    <w:p>
      <w:pPr>
        <w:spacing w:after="0" w:line="94" w:lineRule="exact"/>
        <w:rPr>
          <w:sz w:val="20"/>
          <w:szCs w:val="20"/>
          <w:color w:val="auto"/>
        </w:rPr>
      </w:pPr>
    </w:p>
    <w:p>
      <w:pPr>
        <w:ind w:left="1260" w:right="659" w:firstLine="360"/>
        <w:spacing w:after="0" w:line="256" w:lineRule="auto"/>
        <w:rPr>
          <w:sz w:val="20"/>
          <w:szCs w:val="20"/>
          <w:color w:val="auto"/>
        </w:rPr>
      </w:pPr>
      <w:r>
        <w:rPr>
          <w:rFonts w:ascii="Times New Roman" w:cs="Times New Roman" w:eastAsia="Times New Roman" w:hAnsi="Times New Roman"/>
          <w:sz w:val="18"/>
          <w:szCs w:val="18"/>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filings we make with the SEC that are incorporated by reference into this prospectus or by any other method as may then be permitted under applicable law, rules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0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Mobileye was founded in Israel in 1999. Our co-founder, Professor Amnon Shashua, is our President and Chief Executive Officer. Our principal executive offices are located at Har Hotzvim, Shlomo Momo HaLevi Street 1, Jerusalem 9777015, Israel, and our phone number is +972-2-541-7333. Our website address is www.mobileye.com. The information contained in, or that can be accessed through, our website is not incorporated by reference in, and is not part of, this prospectus.</w:t>
      </w:r>
    </w:p>
    <w:p>
      <w:pPr>
        <w:spacing w:after="0" w:line="11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Mobileye name, our logo, and other trademarks appearing or incorporated by reference in this prospectus, including, among others, EyeQ™, EyeQ Ultra™, EyeQ Kit™, Road Experience Management™, REM™, True Redundancy™, Mobileye Chauffeur™, Mobileye Drive™, Mobileye SuperVision™, and Moovit, are the property of Mobileye. Trade names, trademarks, and service marks of other companies appearing or incorporated by reference in this prospectus are the property of their respective holders.</w:t>
      </w:r>
    </w:p>
    <w:p>
      <w:pPr>
        <w:spacing w:after="0" w:line="116"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“the Company,” “Mobileye,” “issuer,” “we,” “our,” and “us” refer to Mobileye Global Inc. and its consolidated subsidiaries, unless otherwise specified.</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we receive from the sale of securities by us as set forth in the applicable prospectus supplement.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24"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324"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Forward-looking statements contained in this prospectus or the documents incorporated by reference herein may include, but are not limited to, statements about:</w:t>
      </w:r>
    </w:p>
    <w:p>
      <w:pPr>
        <w:spacing w:after="0" w:line="67"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 including expectations about excess inventory utilization by customers;</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117"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 accumulated;</w:t>
      </w:r>
    </w:p>
    <w:p>
      <w:pPr>
        <w:spacing w:after="0" w:line="6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COVID-19 pandemic and responses to future pandemics;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63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Israel, including in connection with Israeli military operations in response to the October 7, 2023 terrorist attacks, which may affect our operations and may limit our ability to produce and sell our solutions;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operations by the obligations of our personnel to perform military service as a result of current or future military actions involving Israel; and</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herein under the section entitled “Risk Factors” and in our most recent Annual Report on Form 10-K and subsequent Quarterly Reports on Form 10-Q and Current Reports on Form 8-K.</w:t>
      </w:r>
    </w:p>
    <w:p>
      <w:pPr>
        <w:spacing w:after="0" w:line="10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risk factors in our most recent Annual Report on Form 10-K incorporated by reference herein, and any updates to those risk factors in subsequent Quarterly Reports on Form 10-Q and Current Reports on Form 8-K, could cause our results to differ materially from those expressed in the forward-looking statements made in this prospectus or the documents incorporated by reference herein. There also may be other risks that are currently unknown to us or that we are unable to predict at this time.</w:t>
      </w:r>
    </w:p>
    <w:p>
      <w:pPr>
        <w:spacing w:after="0" w:line="116"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Before making a decision to invest in our securities, you should carefully consider the risks described under “Risk Factors” in the applicable prospectus supplement and in our most recent Annual Report on Form 10-K, and any updates to those risk factors in our subsequent Quarterly Reports on Form 10-Q and Current Reports on Form 8-K, together with all of the other information appearing or incorporated by reference herein,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debt securities that we may offer under this prospectus. While the terms we have summarized below will apply generally to any debt securities that we may offer under this prospectus, we will describe the particular terms of any debt securities in more detail in the applicable prospectus supplement. The terms of any debt securities under a prospectus supplement may differ from the terms described below.</w:t>
      </w:r>
    </w:p>
    <w:p>
      <w:pPr>
        <w:spacing w:after="0" w:line="12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may issue senior debt securities under an indenture to be entered into between us and the trustee identified in the applicable prospectus supplement (the “senior debt indenture”). We will issue subordinated debt securities under an indenture to be entered into between us and the trustee identified in the applicable prospectus supplement (the “subordinated debt indenture” and, together with the senior debt indenture, the “indentures” and each individually, an “indenture”).</w:t>
      </w:r>
    </w:p>
    <w:p>
      <w:pPr>
        <w:spacing w:after="0" w:line="10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indentures will be subject to and governed by the Trust Indenture Act of 1939, as amended (the “Trust Indenture Act”). The senior indenture and the subordinated indenture are substantially identical, except for the provisions relating to subordination and covenants. See “— Subordinated Debt.”</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may issue debt securities up to an aggregate principal amount as we may authorize from time to time. The prospectus supplement will describe the terms of any debt securities being offered, including:</w:t>
      </w:r>
    </w:p>
    <w:p>
      <w:pPr>
        <w:spacing w:after="0" w:line="54"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as senior or subordinated debt securities;</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of the specific series of debt securities relative to other outstanding indebtedness, including subsidiaries’ debt;</w:t>
      </w:r>
    </w:p>
    <w:p>
      <w:pPr>
        <w:spacing w:after="0" w:line="67"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authorized denominations;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if any, and the method for calculating the interest rate;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payment dates and the record dates for the interest payments;</w:t>
      </w:r>
    </w:p>
    <w:p>
      <w:pPr>
        <w:spacing w:after="0" w:line="130" w:lineRule="exact"/>
        <w:rPr>
          <w:rFonts w:ascii="Times New Roman" w:cs="Times New Roman" w:eastAsia="Times New Roman" w:hAnsi="Times New Roman"/>
          <w:sz w:val="18"/>
          <w:szCs w:val="18"/>
          <w:color w:val="auto"/>
        </w:rPr>
      </w:pPr>
    </w:p>
    <w:p>
      <w:pPr>
        <w:ind w:left="1800" w:right="13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terms or prepayment, conversion, sinking fund or exchangeability or convertability provisions;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we will pay principal and interest;</w:t>
      </w:r>
    </w:p>
    <w:p>
      <w:pPr>
        <w:spacing w:after="0" w:line="130"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or higher integral multiples of $1,000, the denominations the debt securities will be issued in;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global securities or certificates;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provisions, if any, relating to the defeasance of the debt securities;</w:t>
      </w:r>
    </w:p>
    <w:p>
      <w:pPr>
        <w:spacing w:after="0" w:line="13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if other than the currency of the United States, in which principal and interest will be paid;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United States federal income tax consequences;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premium, if any, will be paid;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interest and the maximum length of this deferral period;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on a securities exchange;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offering price;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specific terms, including any additional events of default or covenants.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Senior Debt</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will issue under the senior debt indenture the debt securities that will constitute part of our senior debt. These senior debt securities will rank equally and pari passu with all of our other unsecured and unsubordinated debt.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Subordinated Debt</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will issue under the subordinated debt indenture the debt securities that will constitute part of our subordinated debt. These subordinated debt securities will be subordinate and junior in right of payment, to the extent and in the manner set forth in the subordinated debt indenture, to all of our “senior indebtedness”. The specific subordination terms will be set forth in a supplemental indenture to the subordinated indenture and described in the prospectus supplement for the relevant series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following summary description sets forth some of the general terms and provisions of our capital stock. Because this is a summary description, it does not contain all of the information that may be important to you. For a more detailed description of our capital stock, you should refer to the provisions of our amended and restated certificate of incorporation and our amended and restated bylaws, as amended and restated, each of which is an exhibit to the Annual Report on Form 10-K which is incorporated by reference into this prospectus.</w:t>
      </w:r>
    </w:p>
    <w:p>
      <w:pPr>
        <w:spacing w:after="0" w:line="325"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5,530,000,000 shares of capital stock, par value $0.01 per share, of which:</w:t>
      </w:r>
    </w:p>
    <w:p>
      <w:pPr>
        <w:spacing w:after="0" w:line="41"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4,000,000,000 shares are designated as Class A common stock;</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are designated as Class B common stock;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 shares are designated as preferred stock.</w:t>
      </w:r>
    </w:p>
    <w:p>
      <w:pPr>
        <w:spacing w:after="0" w:line="15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are authorized to issue up to 5,500,000,000 shares of common stock, including 4,000,000,000 shares of our Class A common stock and 1,500,000,000 shares of our Class B common stock.</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our Class A common stock and Class B common stock are identical, except with respect to voting, transfer, and conversion rights.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held of record on all matters submitted to a vote of stockholders. Holders of our Class B common stock are entitled to ten votes for each share held of record on all matters submitted to a vote of stockholders. The holders of our Class A common stock and the holders of our Class B common stock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pacing w:after="0" w:line="73" w:lineRule="exact"/>
        <w:rPr>
          <w:sz w:val="20"/>
          <w:szCs w:val="20"/>
          <w:color w:val="auto"/>
        </w:rPr>
      </w:pPr>
    </w:p>
    <w:p>
      <w:pPr>
        <w:ind w:left="1800" w:right="83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54"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9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are not entitled to cumulative voting for the election of directors. As a result, the holders of a majority of our voting shares can elect all of the directors then standing for election.</w:t>
      </w:r>
    </w:p>
    <w:p>
      <w:pPr>
        <w:spacing w:after="0" w:line="102"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The holders of one-third of the voting power of our capital stock issued and outstanding, present in person or represented by proxy, will constitute a quorum at all meetings of the stockholders for the transaction of business.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Each share of our Class B common stock is convertible into one share of Class A common stock at the option of the holder, provided that if our Class B common stock is distributed to security holders of Intel</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Corporation (together with its subsidiaries,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no longer be convertible into shares of Class A common stock at the option of the holder. Prior to any such distribution, all shares of Class B common stock will automatically be converted into shares of Class A common stock upon the transfer of such shares of Class B common stock by Intel other than to any of Intel’s successors. If such a distribution has not occurred, each share of Class B common stock will also automatically convert at such time as the number of shares of Class B common stock owned by Intel or its successor-in -interest falls below 20% of the outstanding shares of our common stock. Following any such distribution, we may submit to our stockholders a proposal to convert all outstanding shares of our Class B common stock into shares of our Class A common stock, provided that we have received a favorable private letter ruling from the Internal Revenue Service satisfactory to Intel to the effect that the conversion will not affect the intended tax treatment of the distribution. In a meeting of our stockholders called for this purpose, the holders of our Class A common stock and our Class B common stock are entitled to one vote per share and, subject to applicable law, will vote together as a single class and neither class of common stock is entitled to a separate class vote. All conversions will be effected on a share-for-share basis.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Holders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62"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are entitled to receive pro rata our remaining assets available for distribution.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common stock will not be subject to further calls or assessment by us. All shares of our outstanding common stock are fully paid and non-assessable. The rights, preferences, and privileges of the holders of our common stock are subject to, and may be adversely affected by, the rights of the holders of shares of any series of preferred stock that we may issue in the future.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Approval Rights of Holders of Class B Common Stock</w:t>
      </w:r>
    </w:p>
    <w:p>
      <w:pPr>
        <w:spacing w:after="0" w:line="16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w:t>
      </w:r>
    </w:p>
    <w:p>
      <w:pPr>
        <w:spacing w:after="0" w:line="69"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implement any stockholder rights plan or similar takeover defense measure;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any other entity;</w:t>
      </w:r>
    </w:p>
    <w:p>
      <w:pPr>
        <w:spacing w:after="0" w:line="10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of our subsidiaries to consolidate or merge with or into any other entity, with certain exceptions;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the stock or assets of another entity for consideration in excess of $250,000,000 other than transactions in which we and one or more of our wholly owned subsidiaries are the only parties;</w:t>
      </w:r>
    </w:p>
    <w:p>
      <w:pPr>
        <w:spacing w:after="0" w:line="40"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stock or other equity securities except to our subsidiaries or pursuant to our employee benefit plans limited to a share reserve of 5% of the outstanding number of shares of our common stock on the immediately preceding December 31;</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individual or series of related capital or other expenditures in excess of $250,000,000;</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permit to exist any indebtedness or guarantee any indebtedness in excess of $250,000,000;</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 to or purchase any debt securities of any person in excess of $250,000,000;</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purchase or otherwise acquire or retire for value any equity securities of the company except repurchases from employees, officers, directors or other service providers upon termination of employment or through the exercise of any right of first refusal;</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actions to dissolve, liquidate, or wind-up our company;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on our stock; and</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terminate or adopt any provision inconsistent with our amended and restated certificate of incorporation or amended and restated bylaws.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Section 203 of the DGCL</w:t>
      </w:r>
    </w:p>
    <w:p>
      <w:pPr>
        <w:spacing w:after="0" w:line="14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Section 203 of the DGCL prohibits a Delaware corporation from engaging in any business combination with any interested stockholder for a period of three years after the date that such stockholder became an interested stockholder, with the following exceptions:</w:t>
      </w:r>
    </w:p>
    <w:p>
      <w:pPr>
        <w:spacing w:after="0" w:line="61" w:lineRule="exact"/>
        <w:rPr>
          <w:sz w:val="20"/>
          <w:szCs w:val="20"/>
          <w:color w:val="auto"/>
        </w:rPr>
      </w:pPr>
    </w:p>
    <w:p>
      <w:pPr>
        <w:ind w:left="1800" w:right="53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40"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17"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0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40"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40" w:lineRule="exact"/>
        <w:rPr>
          <w:rFonts w:ascii="Times New Roman" w:cs="Times New Roman" w:eastAsia="Times New Roman" w:hAnsi="Times New Roman"/>
          <w:sz w:val="18"/>
          <w:szCs w:val="18"/>
          <w:color w:val="auto"/>
        </w:rPr>
      </w:pPr>
    </w:p>
    <w:p>
      <w:pPr>
        <w:jc w:val="both"/>
        <w:ind w:left="1800" w:right="559" w:hanging="180"/>
        <w:spacing w:after="0" w:line="275"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6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94"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23"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amended and restated certificate of incorporation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or amended and restated bylaws resulting from a stockholders’ amendment approved by at least a majority of the outstanding voting shares. Under our amended and restated certificate of incorporation, we explicitly opt out of these provisions for so long as Intel owns at least 15% of the combined voting power of our common stock. If Intel owns less than 15% of the combined voting power of our common stock, we will be subject to Section 203 of the DGCL and, as a result, mergers or other takeover or change in control attempts of us may be discouraged or prevented.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p>
    <w:p>
      <w:pPr>
        <w:spacing w:after="0" w:line="16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below are provisions included in our amended and restated certificate of incorporation and our amended and restated bylaws that could deter hostile takeovers or delay or prevent changes in control of our management team.</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Dual class stock</w:t>
      </w:r>
    </w:p>
    <w:p>
      <w:pPr>
        <w:spacing w:after="0" w:line="16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a dual class common stock structure, which provides Intel with the ability to control the outcome of matters submitted to our stockholders for approval, including the election of our directors and the approval of significant corporate transactions.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Board of director vacancies</w:t>
      </w:r>
    </w:p>
    <w:p>
      <w:pPr>
        <w:spacing w:after="0" w:line="146"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authorize only our board of directors to fill vacant directorships, including newly created seats, provided that vacancies on our board of directors caused by an action of stockholders may only be filled by a vote of the stockholders until Intel’s holdings in our stock are reduced so that it no longer maintains a majority of the combined voting power of our common stock.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Classified board of directors and removal of directors</w:t>
      </w:r>
    </w:p>
    <w:p>
      <w:pPr>
        <w:spacing w:after="0" w:line="16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 so that only one class of directors is elected each year. Our amended and restated certificate of incorporation also provides that, 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action and special meetings of the stockholders</w:t>
      </w:r>
    </w:p>
    <w:p>
      <w:pPr>
        <w:spacing w:after="0" w:line="16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for so long as Intel holds a majority of the combined voting power of our common stock, any action required or permitted to be taken by our stockholders at a duly called annual or special meeting of our stockholders may be effected by consent in writing by the holders of our outstanding stock having not less than the minimum number of votes that would be necessary to authorize or take such action at a meeting at which all shares entitled to vote thereon were present and voted. If Intel holds less than a majority of the combined voting power of our common stock, any action required or permitted to be taken by our stockholders will have to be effected at a duly called annual or special meeting of our stockholders and may not be effected by any consent in writing by our stockholders. Our amended and restated certificate of incorporation and amended and restated bylaws further provides that special meetings of our stockholders may be called only by our secretary upon written request by a majority of our board of directors, the chairperson of our board of directors, or our chief executive officer, thus prohibiting stockholders from calling a special meeting. These provisions might</w:t>
      </w:r>
    </w:p>
    <w:p>
      <w:pPr>
        <w:spacing w:after="0" w:line="36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819"/>
        <w:spacing w:after="0" w:line="266" w:lineRule="auto"/>
        <w:rPr>
          <w:sz w:val="20"/>
          <w:szCs w:val="20"/>
          <w:color w:val="auto"/>
        </w:rPr>
      </w:pPr>
      <w:r>
        <w:rPr>
          <w:rFonts w:ascii="Times New Roman" w:cs="Times New Roman" w:eastAsia="Times New Roman" w:hAnsi="Times New Roman"/>
          <w:sz w:val="18"/>
          <w:szCs w:val="18"/>
          <w:color w:val="auto"/>
        </w:rPr>
        <w:t>delay the ability of our stockholders to force consideration of a proposal or for stockholders to take any action, including the removal of directors.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Our amended and restated bylaws provides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of Bylaws</w:t>
      </w:r>
    </w:p>
    <w:p>
      <w:pPr>
        <w:spacing w:after="0" w:line="160"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amended and restated bylaws may be altered, amended, or repealed by (i) our board of directors (without the need for consent by our stockholders) and (ii) our stockholders (without the need for consent by our board of directors).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46"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to the fullest extent permitted by law, provides that, unless we consent in writing to the selection of an alternative forum, the Court of Chancery of the State of Delaware will be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w:t>
      </w:r>
    </w:p>
    <w:p>
      <w:pPr>
        <w:spacing w:after="0" w:line="3" w:lineRule="exact"/>
        <w:rPr>
          <w:sz w:val="20"/>
          <w:szCs w:val="20"/>
          <w:color w:val="auto"/>
        </w:rPr>
      </w:pPr>
    </w:p>
    <w:p>
      <w:pPr>
        <w:ind w:left="1260" w:right="459"/>
        <w:spacing w:after="0" w:line="239" w:lineRule="auto"/>
        <w:tabs>
          <w:tab w:leader="none" w:pos="15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of 1933, as amended (the “Securities Act), or Securities Exchange Act of 1934, as amended (the “Exchange Act”), or rules and regulations thereunder. Our amended and restated certificate of incorporation provides that the federal district courts of the U.S. will, to the fullest extent permitted by law, be the sole and exclusive forum for resolving any complaint asserting a cause of action arising under the Securities Act. Our amended and restated certificate of incorporation provides that neither the exclusive forum provision nor our federal forum provision applies to suits brought to enforce any duty or liability created by the Exchange Act.</w:t>
      </w:r>
    </w:p>
    <w:p>
      <w:pPr>
        <w:spacing w:after="0" w:line="126"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any person or entity purchasing or otherwise acquiring any interest in shares of our capital stock is deemed to have notice of and to have consented to the foregoing provision; provided, however, that stockholders will not be deemed to have waived our compliance with the federal securities laws and the rules and regulations thereunder. The forum selection clause in our amended and restated certificate of incorporation may impose additional litigation costs on stockholders in pursuing any such claims, particularly if the stockholders do not reside in or near the State of Delaware. Additionally, the forum selection clause in our amended and restated certificate of incorporation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Limitations on Liability and Indemnification of Directors and Officers</w:t>
      </w:r>
    </w:p>
    <w:p>
      <w:pPr>
        <w:spacing w:after="0" w:line="16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w:t>
      </w:r>
    </w:p>
    <w:p>
      <w:pPr>
        <w:spacing w:after="0" w:line="1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corporations and their stockholders for monetary damages for breaches of directors’ fiduciary duties,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subject to certain exceptions. Our amended and restated certificate of incorporation contains a provision that eliminates the personal liability of directors and officers for monetary damages for any breach of fiduciary duty as a director or officer, respectively,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w:t>
      </w:r>
    </w:p>
    <w:p>
      <w:pPr>
        <w:spacing w:after="0" w:line="325"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her or their actions as a director.</w:t>
      </w:r>
    </w:p>
    <w:p>
      <w:pPr>
        <w:spacing w:after="0" w:line="323"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bylaws provides that we must generally indemnify, and advance expenses to, our directors and officers appointed by our board of directors to the fullest extent authorized by the DGCL. We also are expressly authorized to carry directors’ and officers’ liability insurance providing indemnification for our directors, officers, employees, and agents for some liabilities.</w:t>
      </w:r>
    </w:p>
    <w:p>
      <w:pPr>
        <w:spacing w:after="0" w:line="110"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each of our directors and executive officers pursuant to which we agreed to indemnify them to the fullest extent permitted by Delaware law.</w:t>
      </w:r>
    </w:p>
    <w:p>
      <w:pPr>
        <w:spacing w:after="0" w:line="81"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75" w:lineRule="exact"/>
        <w:rPr>
          <w:sz w:val="20"/>
          <w:szCs w:val="20"/>
          <w:color w:val="auto"/>
        </w:rPr>
      </w:pPr>
    </w:p>
    <w:p>
      <w:pPr>
        <w:ind w:left="1260" w:right="1259"/>
        <w:spacing w:after="0" w:line="268" w:lineRule="auto"/>
        <w:rPr>
          <w:sz w:val="20"/>
          <w:szCs w:val="20"/>
          <w:color w:val="auto"/>
        </w:rPr>
      </w:pPr>
      <w:r>
        <w:rPr>
          <w:rFonts w:ascii="Times New Roman" w:cs="Times New Roman" w:eastAsia="Times New Roman" w:hAnsi="Times New Roman"/>
          <w:sz w:val="18"/>
          <w:szCs w:val="18"/>
          <w:i w:val="1"/>
          <w:iCs w:val="1"/>
          <w:color w:val="auto"/>
        </w:rPr>
        <w:t>Provisions of Our Amended and Restated Certificate of Incorporation Relating to Related Person Transactions and Corporate Opportunities</w:t>
      </w:r>
    </w:p>
    <w:p>
      <w:pPr>
        <w:spacing w:after="0" w:line="93"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anticipation that we and Intel may engage in the same or similar activities or lines of business and have an interest in the same areas of corporate opportunities, and in recognition of the benefits to be derived by us through our continued contractual, corporate, and business relations with Intel (including service of officers and/or directors of Intel as officers and/or directors of our company), certain provisions of our amended and restated certificate of incorporation described below will regulate and define the conduct of certain affairs of our company as they may involve Intel and its officers and directors, and the powers, rights, duties, and liabilities of our company and our officers, directors, and stockholders in connection with such affairs.</w:t>
      </w:r>
    </w:p>
    <w:p>
      <w:pPr>
        <w:spacing w:after="0" w:line="32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applicable law, so long as the material facts as to a contract, agreement, arrangement, or transaction between us and Intel are disclosed or are known to our board of directors or the committee thereof that authorizes such contract, agreement, arrangement, or transaction, and our board of directors or such committee in good faith authorizes such contract, agreement, arrangement, or transaction by the affirmative vote of a majority of the disinterested directors, even if less than a quorum, no such contract, agreement, arrangement, or transaction will be void or voidable solely for the reason that Intel is a party thereto, and Intel:</w:t>
      </w:r>
    </w:p>
    <w:p>
      <w:pPr>
        <w:spacing w:after="0" w:line="81" w:lineRule="exact"/>
        <w:rPr>
          <w:sz w:val="20"/>
          <w:szCs w:val="20"/>
          <w:color w:val="auto"/>
        </w:rPr>
      </w:pPr>
    </w:p>
    <w:p>
      <w:pPr>
        <w:ind w:left="1800" w:right="4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to have fully satisfied and fulfilled any duties to us and our stockholders with respect to such contract, agreement, arrangement, or transaction;</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liable to us or our stockholders for any breach of fiduciary duty by reason of the entering into, performance or consummation of any such contract, agreement, arrangement, or transaction;</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to have acted in good faith and in a manner it reasonably believed to be in and not opposed to the best interests of our company; and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not to have breached any duties of loyalty to us or our stockholders and not to have received an improper personal gain from such contract, agreement, arrangement, or transaction.</w:t>
      </w:r>
    </w:p>
    <w:p>
      <w:pPr>
        <w:spacing w:after="0" w:line="9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provides that, until the later of (i) first date on which Intel ceases to beneficially own 20% or more of the outstanding shares of our common stock</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and (ii) the date upon which none of our officers and/or directors are also officers and/or directors of Intel, Intel shall have the right to, and shall have no duty not to, engage in the same or similar business activities or lines of business as we do, do business with any of our clients or customers, and employ or otherwise engage any of our officers or employees. We will renounce any interest or expectancy in any such activities and will not be deemed to have an interest or expectancy in any such activities merely because we engage in the same or similar activities or otherwise. To the fullest extent permitted by applicable law, and except as provided in the following paragraph, neither Intel nor any of its officers or directors will be liable to us or our stockholders for breach of any fiduciary duty by reason of any such activities of Intel or of such person’s participation in such activities. Moreover, except as provided in the following paragraph, in the event that Intel acquires knowledge of a potential transaction or matter which may be a corporate opportunity for both Intel and us, Intel will not have any duty to communicate or present it to us, and Intel shall not be liable to us or our stockholders for breach of any fiduciary duty as our stockholder by reason of the fact that it pursues or acquires such corporate opportunity for itself, directs such corporate opportunity to another person or entity, or does not present such corporate opportunity to us.</w:t>
      </w:r>
    </w:p>
    <w:p>
      <w:pPr>
        <w:spacing w:after="0" w:line="117"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until the later of (i) first date on which Intel ceases to beneficially own 20% or more of the outstanding shares of our common stock and</w:t>
      </w:r>
    </w:p>
    <w:p>
      <w:pPr>
        <w:spacing w:after="0" w:line="1" w:lineRule="exact"/>
        <w:rPr>
          <w:sz w:val="20"/>
          <w:szCs w:val="20"/>
          <w:color w:val="auto"/>
        </w:rPr>
      </w:pPr>
    </w:p>
    <w:p>
      <w:pPr>
        <w:ind w:left="1260" w:right="419"/>
        <w:spacing w:after="0" w:line="241" w:lineRule="auto"/>
        <w:tabs>
          <w:tab w:leader="none" w:pos="15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none of our officers and/or directors are also officers and/or directors of Intel, to the fullest extent permitted by applicable law, in the event that our director or officer who is also a director or officer of Intel acquires knowledge of a potential transaction or matter which may be a corporate opportunity for both us and Intel and which may be properly pursued by us, such director or officer will be deemed to have fully satisfied and fulfilled such person’s fiduciary duty to us and our stockholders with respect to such corporate opportunity, will not be liable to us or our stockholders for any breach of fiduciary duty because Intel pursues or acquires such corporate opportunity for itself or directs such corporate opportunity to another person or entity or does not present such corporate opportunity to us, will be deemed to have acted in good faith and in a manner such person reasonably believes to be in and not opposed to our best interests, and will be deemed not to have breached such person’s duty of loyalty to us or our stockholders or to have received an improper personal gain therefrom; provided that such director or officer acts in good faith in a manner consistent with the following policy:</w:t>
      </w:r>
    </w:p>
    <w:p>
      <w:pPr>
        <w:spacing w:after="0" w:line="285" w:lineRule="exact"/>
        <w:rPr>
          <w:rFonts w:ascii="Times New Roman" w:cs="Times New Roman" w:eastAsia="Times New Roman" w:hAnsi="Times New Roman"/>
          <w:sz w:val="18"/>
          <w:szCs w:val="18"/>
          <w:color w:val="auto"/>
        </w:rPr>
      </w:pPr>
    </w:p>
    <w:p>
      <w:pPr>
        <w:jc w:val="both"/>
        <w:ind w:left="1800" w:right="739" w:hanging="180"/>
        <w:spacing w:after="0" w:line="261" w:lineRule="auto"/>
        <w:tabs>
          <w:tab w:leader="none" w:pos="18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corporate opportunity is offered to a person who is our director and/or officer and who is also a director and/or officer of Intel, we shall be entitled to pursue such opportunity only if such opportunity is expressly offered to such person solely in his or her capacity as our director and/or officer, as applicable; and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officer and/or director, who also serves as an officer and/or director of Intel, acquires knowledge of a potential transaction or matter which may be a corporate opportunity for both us and Intel in any manner not addressed by the foregoing bullet point, such officer or director shall have no duty to communicate or present such corporate opportunity to us and shall to the fullest extent permitted by law not be liable to us or our stockholders for breach of fiduciary duty as our officer or director by reason of the fact that Intel pursues or acquires such corporate opportunity for itself, directs such corporate opportunity to another person or entity or does not present such corporate opportunity to us.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Class A common stock is listed on Nasdaq under the symbol “MBLY”.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150 Royall Street, Canton, MA 02021.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are authorized to issue up to 30,000,000 shares of preferred stock. The preferred stock may be issued in one or more series, and our board of directors is expressly authorized to (1) fix the descriptions, powers, preferences, rights, qualifications,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limitations, and restrictions with respect to any series of preferred stock and (2) specify the number of shares of any series of preferred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w:t>
      </w:r>
    </w:p>
    <w:p>
      <w:pPr>
        <w:spacing w:after="0" w:line="116"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When we offer to sell a particular series of preferred stock, we will describe the specific terms of the securities in a supplement to this prospectus. The preferred stock will be issued under a certificate of designations relating to each series of preferred stock and is also subject to our amended and restated certificate of incorporation.</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for each series of preferred stock will be described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OTHER SECURITIES</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any warrants, depositary shares, purchase contracts or units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The securities being offered by this prospectus may be sold by us or by a selling securityholder:</w:t>
      </w:r>
    </w:p>
    <w:p>
      <w:pPr>
        <w:spacing w:after="0" w:line="117"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or a selling securityholder to purchasers, through a specific bidding or auction process or otherwise;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 block transactions and transactions on The Nasdaq Global Select Market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329"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32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33"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0"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14" w:lineRule="exact"/>
        <w:rPr>
          <w:sz w:val="20"/>
          <w:szCs w:val="20"/>
          <w:color w:val="auto"/>
        </w:rPr>
      </w:pPr>
    </w:p>
    <w:p>
      <w:pPr>
        <w:jc w:val="both"/>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which may be entered into with us to indemnification by us against specified liabilities, including liabilities incurred under the Securities Act,</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color w:val="auto"/>
        </w:rPr>
        <w:t>or to contribution by us to payments they may be required to make in respect of such liabilities. If required, the applicable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1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1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the shares of Class A common stock, which are listed on The Nasdaq Global Select Market. Any underwriters to whom securities are sold for public offering and sale may make a market in the securities, but such underwriters will not be obligated to do so and may discontinue any market making at any time without notice. The securities, other than the shares of Class A common stock, may or may not be listed on a national securities exchange.</w:t>
      </w:r>
    </w:p>
    <w:p>
      <w:pPr>
        <w:spacing w:after="0" w:line="18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particular offerings of the securities in the future, and if stated in the applicable prospectus supplements, the validity of those securities will be passed upon for us by Davis Polk &amp; Wardwell LLP, and for any underwriters or agents, by counsel named in the applicable prospectus supplement.</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30, 2023 have been so incorporated in reliance on the report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33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Kesselman &amp; Kesselman (“PwC”) completed an independence assessment to evaluate the services and relationships with the Company and its affiliates that may bear on PwC’s independence under the SEC and the PCAOB independence rules for the audit periods commencing December 30, 2018 through December 30, 2023. As described below, services and relationships were found to exist at controlled subsidiaries of the Company’s indirect parent, Intel Corporation and/or benefitting an upstream affiliate of the Company, within the audit period which are not in accordance with the independence standards of Regulation S-X and the PCAOB.</w:t>
      </w:r>
    </w:p>
    <w:p>
      <w:pPr>
        <w:spacing w:after="0" w:line="336"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Prior to December 30, 2018 and through January 2022, certain member firms of PricewaterhouseCoopers International Limited (“PwC member firms”) performed certain payroll and human resource administrative services inconsistent with Rule 2-01 of Regulation S-X, which included records administration, employee registration with local authorities, statistical reporting and signing and stamping declarations on behalf of Intel Corporation, transmission of payroll information to banks and to third party service providers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97" w:lineRule="auto"/>
        <w:rPr>
          <w:sz w:val="20"/>
          <w:szCs w:val="20"/>
          <w:color w:val="auto"/>
        </w:rPr>
      </w:pPr>
      <w:r>
        <w:rPr>
          <w:rFonts w:ascii="Times New Roman" w:cs="Times New Roman" w:eastAsia="Times New Roman" w:hAnsi="Times New Roman"/>
          <w:sz w:val="18"/>
          <w:szCs w:val="18"/>
          <w:color w:val="auto"/>
        </w:rPr>
        <w:t>actual payment, data storage of employee data, as well as manually and/or electronically distributing pay stubs to employees of Intel Corporation.</w:t>
      </w:r>
    </w:p>
    <w:p>
      <w:pPr>
        <w:spacing w:after="0" w:line="82" w:lineRule="exact"/>
        <w:rPr>
          <w:sz w:val="20"/>
          <w:szCs w:val="20"/>
          <w:color w:val="auto"/>
        </w:rPr>
      </w:pPr>
    </w:p>
    <w:p>
      <w:pPr>
        <w:ind w:left="1260" w:right="1179" w:firstLine="360"/>
        <w:spacing w:after="0" w:line="297" w:lineRule="auto"/>
        <w:rPr>
          <w:sz w:val="20"/>
          <w:szCs w:val="20"/>
          <w:color w:val="auto"/>
        </w:rPr>
      </w:pPr>
      <w:r>
        <w:rPr>
          <w:rFonts w:ascii="Times New Roman" w:cs="Times New Roman" w:eastAsia="Times New Roman" w:hAnsi="Times New Roman"/>
          <w:sz w:val="18"/>
          <w:szCs w:val="18"/>
          <w:color w:val="auto"/>
        </w:rPr>
        <w:t>From July 2020 through December 2021, a PwC member firm provided services pursuant to a contingent fee arrangement.</w:t>
      </w:r>
    </w:p>
    <w:p>
      <w:pPr>
        <w:spacing w:after="0" w:line="82" w:lineRule="exact"/>
        <w:rPr>
          <w:sz w:val="20"/>
          <w:szCs w:val="20"/>
          <w:color w:val="auto"/>
        </w:rPr>
      </w:pPr>
    </w:p>
    <w:p>
      <w:pPr>
        <w:ind w:left="1260" w:right="499" w:firstLine="360"/>
        <w:spacing w:after="0" w:line="281" w:lineRule="auto"/>
        <w:rPr>
          <w:sz w:val="20"/>
          <w:szCs w:val="20"/>
          <w:color w:val="auto"/>
        </w:rPr>
      </w:pPr>
      <w:r>
        <w:rPr>
          <w:rFonts w:ascii="Times New Roman" w:cs="Times New Roman" w:eastAsia="Times New Roman" w:hAnsi="Times New Roman"/>
          <w:sz w:val="18"/>
          <w:szCs w:val="18"/>
          <w:color w:val="auto"/>
        </w:rPr>
        <w:t>From June 2021 through January 2022, certain PwC member firms provided non-audit services for which certain activities inconsistent with Rule 2-01 of Regulation S-X were performed, which were hosting applications, filing a document with a non-taxing authority and making a payment on behalf of an affiliate.</w:t>
      </w:r>
    </w:p>
    <w:p>
      <w:pPr>
        <w:spacing w:after="0" w:line="96"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Certain professionals of PwC member firms who are covered persons with respect to the audit of the Company under PCAOB standards hold shares in Intel Corporation. Ownership of shares in Intel Corporation is prohibited under the SEC and PCAOB independence rules for covered persons. The shares, where allowed under federal law, were disposed of promptly upon notification of these matters and were not material to the respective professionals’ net worth.</w:t>
      </w:r>
    </w:p>
    <w:p>
      <w:pPr>
        <w:spacing w:after="0" w:line="105"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PwC provided an overview to our Board of Directors, the Audit Committee and Executive Management team of the facts and circumstances surrounding the services and relationships, including the entities involved, the nature of the services and relationships, the period over which the services and relationships existed, and the fees earned by the PwC network firms. Additionally, the services, relationships and fees are not significant to the PwC network firms, do not place PwC in a position of auditing its own work, do not result in PwC acting as management or an employee of the Company and do not place PwC in a position of being an advocate for the Company. Considering the facts presented, our Board of Directors, the Audit Committee, Executive Management team and PwC have concluded (1) that the services and relationships do not and would not impair PwC’s application of objective and impartial judgment on any matter encompassed within PwC’s audits of our financial statements as of December 30, 2023 and December 31, 2022 and for the years ended December 30, 2023, December 31, 2022 and December 25, 2021 and (2) no reasonable investor would conclude otherwise.</w:t>
      </w:r>
    </w:p>
    <w:p>
      <w:pPr>
        <w:spacing w:after="0" w:line="200" w:lineRule="exact"/>
        <w:rPr>
          <w:sz w:val="20"/>
          <w:szCs w:val="20"/>
          <w:color w:val="auto"/>
        </w:rPr>
      </w:pPr>
    </w:p>
    <w:p>
      <w:pPr>
        <w:spacing w:after="0" w:line="2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619" w:firstLine="360"/>
        <w:spacing w:after="0" w:line="270"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proxy statements and information statements and amendments to reports filed or furnished pursuant to the Exchange Act, with the SEC. Our SEC filings, including the complete registration statement of which this prospectus is a part, are available to the public from commercial document retrieval services and also available at the Internet website maintained by the SEC at http://www.sec.gov.</w:t>
      </w:r>
    </w:p>
    <w:p>
      <w:pPr>
        <w:spacing w:after="0" w:line="18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48" w:lineRule="exact"/>
        <w:rPr>
          <w:sz w:val="20"/>
          <w:szCs w:val="20"/>
          <w:color w:val="auto"/>
        </w:rPr>
      </w:pPr>
    </w:p>
    <w:p>
      <w:pPr>
        <w:ind w:left="1260" w:right="619" w:firstLine="360"/>
        <w:spacing w:after="0" w:line="269"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OR IN ADDITION TO THE INFORMATION CONTAINED OR INCORPORATED BY REFERENCE IN THIS PROSPECTUS, ANY PROSPECTUS SUPPLEMENT OR ANY FREE WRITING PROSPECTUS PREPARED BY OR ON BEHALF OF US OR TO WHICH WE HAVE REFERRED YOU. WE TAKE NO RESPONSIBILITY AND CAN PROVIDE NO ASSURANCE AS TO THE RELIABILITY OF ANY OTHER INFORMATION THAT OTHERS MAY GIVE YOU.</w:t>
      </w:r>
    </w:p>
    <w:p>
      <w:pPr>
        <w:spacing w:after="0" w:line="107"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 You should not assume that the information provided in this prospectus or the documents incorporated by reference is accurate as of any date other than their respective dates. Our business, financial condition, results of operations and prospects may have changed since those dates.</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 SEC Filings (File No. 000-41541)</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3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45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The description of securities filed as Exhibit 4.1 to</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our Annual Report on Form 10-K for the year ended</w:t>
            </w:r>
          </w:p>
        </w:tc>
        <w:tc>
          <w:tcPr>
            <w:tcW w:w="2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30, 2023, including any amendments or</w:t>
            </w:r>
          </w:p>
        </w:tc>
        <w:tc>
          <w:tcPr>
            <w:tcW w:w="2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reports filed for the purposes of updating such</w:t>
            </w:r>
          </w:p>
        </w:tc>
        <w:tc>
          <w:tcPr>
            <w:tcW w:w="20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description</w:t>
            </w: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2"/>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Year ended December 30, 2023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on March 7, 2024 (only with respect to</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information filed under Item 5.02 of Form 8-K)</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on February 23, 2024 as Exhibit 4.1 to our</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30, 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75" w:lineRule="exact"/>
        <w:rPr>
          <w:sz w:val="20"/>
          <w:szCs w:val="20"/>
          <w:color w:val="auto"/>
        </w:rPr>
      </w:pPr>
    </w:p>
    <w:p>
      <w:pPr>
        <w:sectPr>
          <w:pgSz w:w="11900" w:h="16838" w:orient="portrait"/>
          <w:cols w:equalWidth="0" w:num="2">
            <w:col w:w="5460" w:space="20"/>
            <w:col w:w="4399"/>
          </w:cols>
          <w:pgMar w:left="580" w:top="97" w:right="1440" w:bottom="1440" w:gutter="0" w:footer="0" w:header="0"/>
          <w:type w:val="continuous"/>
        </w:sect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 13(a), 13(c), 14 or 15(d) of the Exchange Act from the date of this prospectus to the end of the offering of the applicable securities under this prospectus. These documents may include annual reports on Form 10-K, quarterly reports on Form 10-Q and current reports on Form 8-K, as well as proxy statements. We will only incorporate certain portions of our annual proxy statement for our 2024 annual meeting of stockholders as specified in our Annual Report on Form 10-K and are not incorporating by reference (i) any information furnished under items 2.02 or 7.01 (or corresponding information furnished under item 9.01 or included as an exhibit) in any past or future current report on Form 8-K or (ii) any Form S-D, that, in either case, we may file with the SEC, unless otherwise specified in such current report or in such form or in a particular prospectus supplement.</w:t>
      </w:r>
    </w:p>
    <w:p>
      <w:pPr>
        <w:spacing w:after="0" w:line="127"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You may obtain copies of any of these filings through Mobileye as described below, through the SEC or through the SEC’s Internet website as described above.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9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c/o Mobileye B.V.</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Har Hotzvim, Shlomo Momo HaLevi Street 1</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Jerusalem 9777015, Israel</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+972-2-541-7333</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www.Mobileye.com</w:t>
      </w:r>
    </w:p>
    <w:p>
      <w:pPr>
        <w:spacing w:after="0" w:line="139"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INFORMATION CONTAINED ON OR ACCESSIBLE THROUGH OUR WEBSITE IS NOT INCORPORATED BY REFERENCE HEREIN AND DOES NOT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45,000,000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589915</wp:posOffset>
            </wp:positionV>
            <wp:extent cx="2468880" cy="3771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24688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9"/>
          <w:szCs w:val="29"/>
          <w:b w:val="1"/>
          <w:bCs w:val="1"/>
          <w:color w:val="auto"/>
        </w:rPr>
        <w:t>Mobileye Global Inc.</w:t>
      </w:r>
    </w:p>
    <w:p>
      <w:pPr>
        <w:spacing w:after="0" w:line="21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1387475</wp:posOffset>
            </wp:positionV>
            <wp:extent cx="12344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399"/>
        <w:spacing w:after="0"/>
        <w:tabs>
          <w:tab w:leader="none" w:pos="1820" w:val="left"/>
        </w:tabs>
        <w:rPr>
          <w:sz w:val="20"/>
          <w:szCs w:val="20"/>
          <w:color w:val="auto"/>
        </w:rPr>
      </w:pPr>
      <w:r>
        <w:rPr>
          <w:rFonts w:ascii="Times New Roman" w:cs="Times New Roman" w:eastAsia="Times New Roman" w:hAnsi="Times New Roman"/>
          <w:sz w:val="29"/>
          <w:szCs w:val="29"/>
          <w:b w:val="1"/>
          <w:bCs w:val="1"/>
          <w:color w:val="auto"/>
        </w:rPr>
        <w:t>Goldman Sachs &amp; Co. LLC</w:t>
      </w:r>
      <w:r>
        <w:rPr>
          <w:sz w:val="20"/>
          <w:szCs w:val="20"/>
          <w:color w:val="auto"/>
        </w:rPr>
        <w:tab/>
      </w:r>
      <w:r>
        <w:rPr>
          <w:rFonts w:ascii="Times New Roman" w:cs="Times New Roman" w:eastAsia="Times New Roman" w:hAnsi="Times New Roman"/>
          <w:sz w:val="27"/>
          <w:szCs w:val="27"/>
          <w:b w:val="1"/>
          <w:bCs w:val="1"/>
          <w:color w:val="auto"/>
        </w:rPr>
        <w:t>BofA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2110105</wp:posOffset>
            </wp:positionV>
            <wp:extent cx="52120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lowerRoman"/>
      <w:start w:val="1"/>
    </w:lvl>
  </w:abstractNum>
  <w:abstractNum w:abstractNumId="10">
    <w:nsid w:val="75A2A8D4"/>
    <w:multiLevelType w:val="hybridMultilevel"/>
    <w:lvl w:ilvl="0">
      <w:lvlJc w:val="left"/>
      <w:lvlText w:val="(%1)"/>
      <w:numFmt w:val="lowerRoman"/>
      <w:start w:val="1"/>
    </w:lvl>
  </w:abstractNum>
  <w:abstractNum w:abstractNumId="11">
    <w:nsid w:val="8EDBDAB"/>
    <w:multiLevelType w:val="hybridMultilevel"/>
    <w:lvl w:ilvl="0">
      <w:lvlJc w:val="left"/>
      <w:lvlText w:val="(%1)"/>
      <w:numFmt w:val="lowerRoman"/>
      <w:start w:val="2"/>
    </w:lvl>
    <w:lvl w:ilvl="1">
      <w:lvlJc w:val="left"/>
      <w:lvlText w:val="(%2)"/>
      <w:numFmt w:val="upperLetter"/>
      <w:start w:val="2"/>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2"/>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Roman"/>
      <w:start w:val="2"/>
    </w:lvl>
  </w:abstractNum>
  <w:abstractNum w:abstractNumId="17">
    <w:nsid w:val="71F32454"/>
    <w:multiLevelType w:val="hybridMultilevel"/>
    <w:lvl w:ilvl="0">
      <w:lvlJc w:val="left"/>
      <w:lvlText w:val="(%1)"/>
      <w:numFmt w:val="lowerRoman"/>
      <w:start w:val="1"/>
    </w:lvl>
  </w:abstractNum>
  <w:abstractNum w:abstractNumId="18">
    <w:nsid w:val="2CA88611"/>
    <w:multiLevelType w:val="hybridMultilevel"/>
    <w:lvl w:ilvl="0">
      <w:lvlJc w:val="left"/>
      <w:lvlText w:val="(%1)"/>
      <w:numFmt w:val="decimal"/>
      <w:start w:val="3"/>
    </w:lvl>
  </w:abstractNum>
  <w:abstractNum w:abstractNumId="19">
    <w:nsid w:val="836C40E"/>
    <w:multiLevelType w:val="hybridMultilevel"/>
    <w:lvl w:ilvl="0">
      <w:lvlJc w:val="left"/>
      <w:lvlText w:val="(%1)"/>
      <w:numFmt w:val="decimal"/>
      <w:start w:val="5"/>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3"/>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lowerRoman"/>
      <w:start w:val="2"/>
    </w:lvl>
    <w:lvl w:ilvl="1">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jpe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0" Type="http://schemas.openxmlformats.org/officeDocument/2006/relationships/hyperlink" Target="http://www.sec.gov/ix?doc=/Archives/edgar/data/1910139/000141057825000127/mbly-20241228x10k.htm" TargetMode="External"/><Relationship Id="rId85" Type="http://schemas.openxmlformats.org/officeDocument/2006/relationships/hyperlink" Target="http://www.sec.gov/ix?doc=/Archives/edgar/data/1910139/000141057825000872/mbly-20250329x10q.htm" TargetMode="External"/><Relationship Id="rId86" Type="http://schemas.openxmlformats.org/officeDocument/2006/relationships/hyperlink" Target="http://www.sec.gov/ix?doc=/Archives/edgar/data/1910139/000110465925039006/tm252523-5_def14a.htm" TargetMode="External"/><Relationship Id="rId87" Type="http://schemas.openxmlformats.org/officeDocument/2006/relationships/hyperlink" Target="http://www.sec.gov/Archives/edgar/data/1910139/000110465922111295/tm227410d22_8a12b.htm" TargetMode="External"/><Relationship Id="rId88" Type="http://schemas.openxmlformats.org/officeDocument/2006/relationships/hyperlink" Target="http://www.sec.gov/Archives/edgar/data/1910139/000110465923030588/mbly-20221231xex4d1.htm" TargetMode="External"/><Relationship Id="rId89" Type="http://schemas.openxmlformats.org/officeDocument/2006/relationships/hyperlink" Target="http://www.sec.gov/ix?doc=/Archives/edgar/data/1910139/000110465925042529/tm2513562d1_8k.htm" TargetMode="External"/><Relationship Id="rId90" Type="http://schemas.openxmlformats.org/officeDocument/2006/relationships/hyperlink" Target="http://www.sec.gov/ix?doc=/Archives/edgar/data/1910139/000110465925060302/tm2518159d1_8k.htm" TargetMode="External"/><Relationship Id="rId91" Type="http://schemas.openxmlformats.org/officeDocument/2006/relationships/hyperlink" Target="http://www.sec.gov/ix?doc=/Archives/edgar/data/1910139/000110465925066407/tm2519655d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2025-07-08T15:44:32Z</dcterms:created>
  <dcterms:modified xsi:type="dcterms:W3CDTF">2025-07-08T15:44:32Z</dcterms:modified>
</cp:coreProperties>
</file>