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12233d1_8k.htm"/>
      <w:bookmarkStart w:id="1" w:name="kstm2612233d1_8k"/>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w:t>
      </w:r>
      <w:bookmarkStart w:id="2" w:name="xdx_900_edei--DocumentType_c20260723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b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i w:val="false"/>
          <w:caps w:val="false"/>
          <w:smallCaps w:val="false"/>
          <w:sz w:val="20"/>
        </w:rPr>
        <w:t>July 23,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9_edei--EntityRegistrantName_c2026"/>
      <w:bookmarkEnd w:id="4"/>
      <w:r>
        <w:rPr>
          <w:rFonts w:ascii="Times New Roman;Times;Serif" w:hAnsi="Times New Roman;Times;Serif"/>
          <w:b/>
          <w:i w:val="false"/>
          <w:caps w:val="false"/>
          <w:smallCaps w:val="false"/>
          <w:sz w:val="36"/>
        </w:rPr>
        <w:t>Mobileye Global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the Registrant as Specified in Charter)</w:t>
      </w:r>
    </w:p>
    <w:p>
      <w:pPr>
        <w:pStyle w:val="TextBody"/>
        <w:bidi w:val="0"/>
        <w:spacing w:before="0" w:after="0"/>
        <w:ind w:left="0" w:right="0" w:hanging="0"/>
        <w:jc w:val="center"/>
        <w:rPr>
          <w:caps w:val="false"/>
          <w:smallCaps w:val="false"/>
        </w:rPr>
      </w:pPr>
      <w:r>
        <w:rPr>
          <w:caps w:val="false"/>
          <w:smallCaps w:val="false"/>
        </w:rPr>
        <w:t> </w:t>
      </w:r>
    </w:p>
    <w:tbl>
      <w:tblPr>
        <w:tblW w:w="5190" w:type="dxa"/>
        <w:jc w:val="left"/>
        <w:tblInd w:w="0" w:type="dxa"/>
        <w:tblLayout w:type="fixed"/>
        <w:tblCellMar>
          <w:top w:w="0" w:type="dxa"/>
          <w:left w:w="0" w:type="dxa"/>
          <w:bottom w:w="0" w:type="dxa"/>
          <w:right w:w="0" w:type="dxa"/>
        </w:tblCellMar>
      </w:tblPr>
      <w:tblGrid>
        <w:gridCol w:w="2360"/>
        <w:gridCol w:w="60"/>
        <w:gridCol w:w="1145"/>
        <w:gridCol w:w="60"/>
        <w:gridCol w:w="1565"/>
      </w:tblGrid>
      <w:tr>
        <w:trPr/>
        <w:tc>
          <w:tcPr>
            <w:tcW w:w="2360" w:type="dxa"/>
            <w:tcBorders/>
            <w:vAlign w:val="center"/>
          </w:tcPr>
          <w:p>
            <w:pPr>
              <w:pStyle w:val="TableContents"/>
              <w:bidi w:val="0"/>
              <w:spacing w:before="0" w:after="283"/>
              <w:jc w:val="center"/>
              <w:rPr>
                <w:b/>
                <w:sz w:val="20"/>
              </w:rPr>
            </w:pPr>
            <w:bookmarkStart w:id="5" w:name="xdx_902_edei--EntityIncorporationStateCo"/>
            <w:bookmarkEnd w:id="5"/>
            <w:r>
              <w:rPr>
                <w:b/>
                <w:sz w:val="20"/>
              </w:rPr>
              <w:t>Delaware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sz w:val="20"/>
              </w:rPr>
            </w:pPr>
            <w:bookmarkStart w:id="6" w:name="xdx_900_edei--EntityFileNumber_c20260723"/>
            <w:bookmarkEnd w:id="6"/>
            <w:r>
              <w:rPr>
                <w:b/>
                <w:sz w:val="20"/>
              </w:rPr>
              <w:t>001-41541</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b/>
                <w:sz w:val="20"/>
              </w:rPr>
            </w:pPr>
            <w:bookmarkStart w:id="7" w:name="xdx_904_edei--EntityTaxIdentificationNum"/>
            <w:bookmarkEnd w:id="7"/>
            <w:r>
              <w:rPr>
                <w:b/>
                <w:sz w:val="20"/>
              </w:rPr>
              <w:t>88-0666433</w:t>
            </w:r>
          </w:p>
        </w:tc>
      </w:tr>
      <w:tr>
        <w:trPr/>
        <w:tc>
          <w:tcPr>
            <w:tcW w:w="23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sz w:val="20"/>
              </w:rPr>
            </w:pPr>
            <w:r>
              <w:rPr>
                <w:b/>
                <w:sz w:val="20"/>
              </w:rPr>
              <w:t>(Commission</w:t>
              <w:br/>
              <w:t>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3875"/>
        <w:gridCol w:w="935"/>
      </w:tblGrid>
      <w:tr>
        <w:trPr/>
        <w:tc>
          <w:tcPr>
            <w:tcW w:w="387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E_edei--EntityAddressAddressLine1_"/>
            <w:bookmarkEnd w:id="8"/>
            <w:r>
              <w:rPr>
                <w:rFonts w:ascii="Times New Roman;Times;Serif" w:hAnsi="Times New Roman;Times;Serif"/>
                <w:b/>
                <w:i w:val="false"/>
                <w:caps w:val="false"/>
                <w:smallCaps w:val="false"/>
                <w:sz w:val="20"/>
              </w:rPr>
              <w:t>c/o Mobileye B.V.</w:t>
              <w:br/>
            </w:r>
            <w:bookmarkStart w:id="9" w:name="xdx_901_edei--EntityAddressAddressLine2_"/>
            <w:bookmarkEnd w:id="9"/>
            <w:r>
              <w:rPr>
                <w:rFonts w:ascii="Times New Roman;Times;Serif" w:hAnsi="Times New Roman;Times;Serif"/>
                <w:b/>
                <w:i w:val="false"/>
                <w:caps w:val="false"/>
                <w:smallCaps w:val="false"/>
                <w:sz w:val="20"/>
              </w:rPr>
              <w:t>Har Hotzvim, 1 Shlomo Momo HaLevi Street</w:t>
              <w:br/>
            </w:r>
            <w:bookmarkStart w:id="10" w:name="xdx_909_edei--EntityAddressCityOrTown_c2"/>
            <w:bookmarkEnd w:id="10"/>
            <w:r>
              <w:rPr>
                <w:rFonts w:ascii="Times New Roman;Times;Serif" w:hAnsi="Times New Roman;Times;Serif"/>
                <w:b/>
                <w:i w:val="false"/>
                <w:caps w:val="false"/>
                <w:smallCaps w:val="false"/>
                <w:sz w:val="20"/>
              </w:rPr>
              <w:t xml:space="preserve">Jerusalem, </w:t>
            </w:r>
            <w:bookmarkStart w:id="11" w:name="xdx_90E_edei--EntityAddressCountry_c2026"/>
            <w:bookmarkEnd w:id="11"/>
            <w:r>
              <w:rPr>
                <w:rFonts w:ascii="Times New Roman;Times;Serif" w:hAnsi="Times New Roman;Times;Serif"/>
                <w:b/>
                <w:i w:val="false"/>
                <w:caps w:val="false"/>
                <w:smallCaps w:val="false"/>
                <w:sz w:val="20"/>
              </w:rPr>
              <w:t>Israel</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(Address of Principal Executive Offices)</w:t>
            </w:r>
          </w:p>
        </w:tc>
        <w:tc>
          <w:tcPr>
            <w:tcW w:w="935" w:type="dxa"/>
            <w:tcBorders/>
            <w:vAlign w:val="center"/>
          </w:tcPr>
          <w:p>
            <w:pPr>
              <w:pStyle w:val="TableContents"/>
              <w:bidi w:val="0"/>
              <w:spacing w:before="0" w:after="283"/>
              <w:jc w:val="center"/>
              <w:rPr>
                <w:b/>
                <w:sz w:val="20"/>
              </w:rPr>
            </w:pPr>
            <w:bookmarkStart w:id="12" w:name="xdx_90B_edei--EntityAddressPostalZipCode"/>
            <w:bookmarkEnd w:id="12"/>
            <w:r>
              <w:rPr>
                <w:b/>
                <w:sz w:val="20"/>
              </w:rPr>
              <w:t>9777015</w:t>
              <w:b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A_edei--CityAreaCode_c20260723__20"/>
      <w:bookmarkEnd w:id="13"/>
      <w:r>
        <w:rPr>
          <w:rFonts w:ascii="Times New Roman;Times;Serif" w:hAnsi="Times New Roman;Times;Serif"/>
          <w:b/>
          <w:i w:val="false"/>
          <w:caps w:val="false"/>
          <w:smallCaps w:val="false"/>
          <w:sz w:val="20"/>
        </w:rPr>
        <w:t>972-</w:t>
      </w:r>
      <w:bookmarkStart w:id="14" w:name="xdx_90C_edei--LocalPhoneNumber_c20260723"/>
      <w:bookmarkEnd w:id="14"/>
      <w:r>
        <w:rPr>
          <w:rFonts w:ascii="Times New Roman;Times;Serif" w:hAnsi="Times New Roman;Times;Serif"/>
          <w:b/>
          <w:i w:val="false"/>
          <w:caps w:val="false"/>
          <w:smallCaps w:val="false"/>
          <w:sz w:val="20"/>
        </w:rPr>
        <w:t>2-541-7333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9_edei--WrittenCommunications_c202"/>
            <w:bookmarkEnd w:id="15"/>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F_edei--SolicitingMaterial_c202607"/>
            <w:bookmarkEnd w:id="16"/>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C_edei--PreCommencementTenderOffer"/>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C_edei--PreCommencementIssuerTende"/>
            <w:bookmarkEnd w:id="18"/>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230" w:type="dxa"/>
        <w:jc w:val="left"/>
        <w:tblInd w:w="-10" w:type="dxa"/>
        <w:tblLayout w:type="fixed"/>
        <w:tblCellMar>
          <w:top w:w="30" w:type="dxa"/>
          <w:left w:w="40" w:type="dxa"/>
          <w:bottom w:w="0" w:type="dxa"/>
          <w:right w:w="0" w:type="dxa"/>
        </w:tblCellMar>
      </w:tblPr>
      <w:tblGrid>
        <w:gridCol w:w="3230"/>
        <w:gridCol w:w="1580"/>
        <w:gridCol w:w="2420"/>
      </w:tblGrid>
      <w:tr>
        <w:trPr/>
        <w:tc>
          <w:tcPr>
            <w:tcW w:w="3230" w:type="dxa"/>
            <w:tcBorders>
              <w:top w:val="single" w:sz="8" w:space="0" w:color="000000"/>
              <w:left w:val="single" w:sz="8" w:space="0" w:color="000000"/>
            </w:tcBorders>
            <w:vAlign w:val="center"/>
          </w:tcPr>
          <w:p>
            <w:pPr>
              <w:pStyle w:val="TableContents"/>
              <w:bidi w:val="0"/>
              <w:spacing w:before="0" w:after="283"/>
              <w:jc w:val="center"/>
              <w:rPr>
                <w:b/>
                <w:sz w:val="20"/>
              </w:rPr>
            </w:pPr>
            <w:r>
              <w:rPr>
                <w:b/>
                <w:sz w:val="20"/>
              </w:rPr>
              <w:t>Title of each class:</w:t>
            </w:r>
          </w:p>
        </w:tc>
        <w:tc>
          <w:tcPr>
            <w:tcW w:w="1580" w:type="dxa"/>
            <w:tcBorders>
              <w:top w:val="single" w:sz="8" w:space="0" w:color="000000"/>
              <w:left w:val="single" w:sz="8" w:space="0" w:color="000000"/>
            </w:tcBorders>
            <w:vAlign w:val="center"/>
          </w:tcPr>
          <w:p>
            <w:pPr>
              <w:pStyle w:val="TableContents"/>
              <w:bidi w:val="0"/>
              <w:spacing w:before="0" w:after="283"/>
              <w:jc w:val="center"/>
              <w:rPr>
                <w:b/>
                <w:sz w:val="20"/>
              </w:rPr>
            </w:pPr>
            <w:r>
              <w:rPr>
                <w:b/>
                <w:sz w:val="20"/>
              </w:rPr>
              <w:t>Trading symbol(s)</w:t>
            </w:r>
          </w:p>
        </w:tc>
        <w:tc>
          <w:tcPr>
            <w:tcW w:w="2420" w:type="dxa"/>
            <w:tcBorders>
              <w:top w:val="single" w:sz="8" w:space="0" w:color="000000"/>
              <w:left w:val="single" w:sz="8" w:space="0" w:color="000000"/>
              <w:right w:val="single" w:sz="8" w:space="0" w:color="000000"/>
            </w:tcBorders>
            <w:tcMar>
              <w:right w:w="40" w:type="dxa"/>
            </w:tcMar>
            <w:vAlign w:val="center"/>
          </w:tcPr>
          <w:p>
            <w:pPr>
              <w:pStyle w:val="TableContents"/>
              <w:bidi w:val="0"/>
              <w:spacing w:before="0" w:after="283"/>
              <w:jc w:val="center"/>
              <w:rPr>
                <w:b/>
                <w:sz w:val="20"/>
              </w:rPr>
            </w:pPr>
            <w:r>
              <w:rPr>
                <w:b/>
                <w:sz w:val="20"/>
              </w:rPr>
              <w:t xml:space="preserve">Name of exchange on which </w:t>
              <w:br/>
              <w:t>registered</w:t>
            </w:r>
          </w:p>
        </w:tc>
      </w:tr>
      <w:tr>
        <w:trPr/>
        <w:tc>
          <w:tcPr>
            <w:tcW w:w="3230" w:type="dxa"/>
            <w:tcBorders>
              <w:top w:val="single" w:sz="8" w:space="0" w:color="000000"/>
              <w:left w:val="single" w:sz="8" w:space="0" w:color="000000"/>
              <w:bottom w:val="single" w:sz="8" w:space="0" w:color="000000"/>
            </w:tcBorders>
            <w:tcMar>
              <w:bottom w:w="30" w:type="dxa"/>
            </w:tcMar>
            <w:vAlign w:val="center"/>
          </w:tcPr>
          <w:p>
            <w:pPr>
              <w:pStyle w:val="TableContents"/>
              <w:bidi w:val="0"/>
              <w:spacing w:before="0" w:after="283"/>
              <w:jc w:val="center"/>
              <w:rPr>
                <w:sz w:val="20"/>
              </w:rPr>
            </w:pPr>
            <w:bookmarkStart w:id="19" w:name="xdx_902_edei--Security12bTitle_c20260723"/>
            <w:bookmarkEnd w:id="19"/>
            <w:r>
              <w:rPr>
                <w:sz w:val="20"/>
              </w:rPr>
              <w:t>Class A common stock, $0.01 par value</w:t>
            </w:r>
          </w:p>
        </w:tc>
        <w:tc>
          <w:tcPr>
            <w:tcW w:w="1580" w:type="dxa"/>
            <w:tcBorders>
              <w:top w:val="single" w:sz="8" w:space="0" w:color="000000"/>
              <w:left w:val="single" w:sz="8" w:space="0" w:color="000000"/>
              <w:bottom w:val="single" w:sz="8" w:space="0" w:color="000000"/>
            </w:tcBorders>
            <w:tcMar>
              <w:bottom w:w="30" w:type="dxa"/>
            </w:tcMar>
            <w:vAlign w:val="center"/>
          </w:tcPr>
          <w:p>
            <w:pPr>
              <w:pStyle w:val="TableContents"/>
              <w:bidi w:val="0"/>
              <w:spacing w:before="0" w:after="283"/>
              <w:jc w:val="center"/>
              <w:rPr>
                <w:sz w:val="20"/>
              </w:rPr>
            </w:pPr>
            <w:bookmarkStart w:id="20" w:name="xdx_908_edei--TradingSymbol_c20260723__2"/>
            <w:bookmarkEnd w:id="20"/>
            <w:r>
              <w:rPr>
                <w:sz w:val="20"/>
              </w:rPr>
              <w:t>MBLY</w:t>
            </w:r>
          </w:p>
        </w:tc>
        <w:tc>
          <w:tcPr>
            <w:tcW w:w="2420" w:type="dxa"/>
            <w:tcBorders>
              <w:top w:val="single" w:sz="8" w:space="0" w:color="000000"/>
              <w:left w:val="single" w:sz="8" w:space="0" w:color="000000"/>
              <w:bottom w:val="single" w:sz="8" w:space="0" w:color="000000"/>
              <w:right w:val="single" w:sz="8" w:space="0" w:color="000000"/>
            </w:tcBorders>
            <w:tcMar>
              <w:bottom w:w="30" w:type="dxa"/>
              <w:right w:w="40" w:type="dxa"/>
            </w:tcMar>
            <w:vAlign w:val="center"/>
          </w:tcPr>
          <w:p>
            <w:pPr>
              <w:pStyle w:val="TableContents"/>
              <w:bidi w:val="0"/>
              <w:spacing w:before="0" w:after="283"/>
              <w:jc w:val="center"/>
              <w:rPr>
                <w:sz w:val="20"/>
              </w:rPr>
            </w:pPr>
            <w:bookmarkStart w:id="21" w:name="xdx_907_edei--SecurityExchangeName_c2026"/>
            <w:bookmarkEnd w:id="21"/>
            <w:r>
              <w:rPr>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4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23, 2026 Mobileye Global Inc. issued a press release announcing its financial results for the quarter ended June 27, 2026. A copy of the press release is furnished as Exhibit 99.1 to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Current Report on Form 8-K, including Exhibit 99.1 attached hereto, is being furnished and shall not be deemed “filed” for purposes of Section 18 of the Securities Exchange Act of 1934, as amended (the “Exchange Act”), and shall not be deemed incorporated by reference in any filing under the Securities Act of 1933, as amended, or the Exchange Act, except as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center"/>
        <w:rPr>
          <w:caps w:val="false"/>
          <w:smallCaps w:val="false"/>
        </w:rPr>
      </w:pPr>
      <w:r>
        <w:rPr>
          <w:caps w:val="false"/>
          <w:smallCaps w:val="false"/>
        </w:rPr>
        <w:t> </w:t>
      </w:r>
    </w:p>
    <w:tbl>
      <w:tblPr>
        <w:tblW w:w="7480" w:type="dxa"/>
        <w:jc w:val="left"/>
        <w:tblInd w:w="0" w:type="dxa"/>
        <w:tblLayout w:type="fixed"/>
        <w:tblCellMar>
          <w:top w:w="0" w:type="dxa"/>
          <w:left w:w="0" w:type="dxa"/>
          <w:bottom w:w="0" w:type="dxa"/>
          <w:right w:w="0" w:type="dxa"/>
        </w:tblCellMar>
      </w:tblPr>
      <w:tblGrid>
        <w:gridCol w:w="995"/>
        <w:gridCol w:w="6485"/>
      </w:tblGrid>
      <w:tr>
        <w:trPr/>
        <w:tc>
          <w:tcPr>
            <w:tcW w:w="995" w:type="dxa"/>
            <w:tcBorders/>
            <w:vAlign w:val="center"/>
          </w:tcPr>
          <w:p>
            <w:pPr>
              <w:pStyle w:val="TableContents"/>
              <w:bidi w:val="0"/>
              <w:spacing w:before="0" w:after="283"/>
              <w:jc w:val="left"/>
              <w:rPr>
                <w:b/>
                <w:sz w:val="20"/>
              </w:rPr>
            </w:pPr>
            <w:r>
              <w:rPr>
                <w:b/>
                <w:sz w:val="20"/>
              </w:rPr>
              <w:t>Exhibit No.</w:t>
            </w:r>
          </w:p>
        </w:tc>
        <w:tc>
          <w:tcPr>
            <w:tcW w:w="6485" w:type="dxa"/>
            <w:tcBorders/>
            <w:vAlign w:val="center"/>
          </w:tcPr>
          <w:p>
            <w:pPr>
              <w:pStyle w:val="TableContents"/>
              <w:bidi w:val="0"/>
              <w:spacing w:before="0" w:after="283"/>
              <w:jc w:val="center"/>
              <w:rPr>
                <w:b/>
                <w:sz w:val="20"/>
              </w:rPr>
            </w:pPr>
            <w:r>
              <w:rPr>
                <w:b/>
                <w:sz w:val="20"/>
              </w:rPr>
              <w:t>Description</w:t>
            </w:r>
          </w:p>
        </w:tc>
      </w:tr>
      <w:tr>
        <w:trPr/>
        <w:tc>
          <w:tcPr>
            <w:tcW w:w="995"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hyperlink w:anchor="tm2612233d1_ex99-1.htm">
              <w:r>
                <w:rPr>
                  <w:rStyle w:val="InternetLink"/>
                  <w:sz w:val="20"/>
                </w:rPr>
                <w:t>99.1</w:t>
              </w:r>
            </w:hyperlink>
          </w:p>
        </w:tc>
        <w:tc>
          <w:tcPr>
            <w:tcW w:w="6485" w:type="dxa"/>
            <w:tcBorders/>
            <w:vAlign w:val="center"/>
          </w:tcPr>
          <w:p>
            <w:pPr>
              <w:pStyle w:val="TableContents"/>
              <w:bidi w:val="0"/>
              <w:spacing w:before="0" w:after="283"/>
              <w:jc w:val="left"/>
              <w:rPr/>
            </w:pPr>
            <w:hyperlink w:anchor="tm2612233d1_ex99-1.htm">
              <w:r>
                <w:rPr>
                  <w:rStyle w:val="InternetLink"/>
                  <w:sz w:val="20"/>
                </w:rPr>
                <w:t>Press release issued by Mobileye Global Inc. on July 23, 2026</w:t>
              </w:r>
            </w:hyperlink>
          </w:p>
        </w:tc>
      </w:tr>
      <w:tr>
        <w:trPr/>
        <w:tc>
          <w:tcPr>
            <w:tcW w:w="995" w:type="dxa"/>
            <w:tcBorders/>
            <w:vAlign w:val="center"/>
          </w:tcPr>
          <w:p>
            <w:pPr>
              <w:pStyle w:val="TableContents"/>
              <w:bidi w:val="0"/>
              <w:spacing w:before="0" w:after="283"/>
              <w:jc w:val="left"/>
              <w:rPr>
                <w:sz w:val="20"/>
              </w:rPr>
            </w:pPr>
            <w:r>
              <w:rPr>
                <w:sz w:val="20"/>
              </w:rPr>
              <w:t>104</w:t>
            </w:r>
          </w:p>
        </w:tc>
        <w:tc>
          <w:tcPr>
            <w:tcW w:w="6485"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105" w:type="dxa"/>
        <w:jc w:val="left"/>
        <w:tblInd w:w="0" w:type="dxa"/>
        <w:tblLayout w:type="fixed"/>
        <w:tblCellMar>
          <w:top w:w="0" w:type="dxa"/>
          <w:left w:w="0" w:type="dxa"/>
          <w:bottom w:w="0" w:type="dxa"/>
          <w:right w:w="0" w:type="dxa"/>
        </w:tblCellMar>
      </w:tblPr>
      <w:tblGrid>
        <w:gridCol w:w="75"/>
        <w:gridCol w:w="320"/>
        <w:gridCol w:w="545"/>
        <w:gridCol w:w="216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710" w:type="dxa"/>
            <w:gridSpan w:val="2"/>
            <w:tcBorders/>
            <w:vAlign w:val="center"/>
          </w:tcPr>
          <w:p>
            <w:pPr>
              <w:pStyle w:val="TableContents"/>
              <w:bidi w:val="0"/>
              <w:spacing w:before="0" w:after="283"/>
              <w:jc w:val="left"/>
              <w:rPr>
                <w:b/>
                <w:sz w:val="20"/>
              </w:rPr>
            </w:pPr>
            <w:r>
              <w:rPr>
                <w:b/>
                <w:sz w:val="20"/>
              </w:rPr>
              <w:t>MOBILEYE GLOBAL INC.</w:t>
            </w:r>
          </w:p>
        </w:tc>
      </w:tr>
      <w:tr>
        <w:trPr/>
        <w:tc>
          <w:tcPr>
            <w:tcW w:w="75" w:type="dxa"/>
            <w:tcBorders/>
            <w:vAlign w:val="center"/>
          </w:tcPr>
          <w:p>
            <w:pPr>
              <w:pStyle w:val="TableContents"/>
              <w:bidi w:val="0"/>
              <w:spacing w:before="0" w:after="283"/>
              <w:jc w:val="left"/>
              <w:rPr/>
            </w:pPr>
            <w:r>
              <w:rPr/>
              <w:t> </w:t>
            </w:r>
          </w:p>
        </w:tc>
        <w:tc>
          <w:tcPr>
            <w:tcW w:w="303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2710"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Moran Shemesh Rojansky</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2165" w:type="dxa"/>
            <w:tcBorders/>
            <w:vAlign w:val="center"/>
          </w:tcPr>
          <w:p>
            <w:pPr>
              <w:pStyle w:val="TableContents"/>
              <w:bidi w:val="0"/>
              <w:spacing w:before="0" w:after="283"/>
              <w:jc w:val="left"/>
              <w:rPr>
                <w:sz w:val="20"/>
              </w:rPr>
            </w:pPr>
            <w:r>
              <w:rPr>
                <w:sz w:val="20"/>
              </w:rPr>
              <w:t>Moran Shemesh Rojansky</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 xml:space="preserve">Title: </w:t>
            </w:r>
          </w:p>
        </w:tc>
        <w:tc>
          <w:tcPr>
            <w:tcW w:w="2165"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sz w:val="20"/>
        </w:rPr>
      </w:pPr>
      <w:bookmarkStart w:id="23" w:name="tm2612233d1_ex99-1.htm"/>
      <w:bookmarkStart w:id="24" w:name="kstm2612233d1_ex991"/>
      <w:bookmarkEnd w:id="23"/>
      <w:bookmarkEnd w:id="24"/>
      <w:r>
        <w:rPr>
          <w:b/>
          <w:sz w:val="20"/>
        </w:rPr>
        <w:t>Exhibit 99.1</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Mobileye Releases Second Quarter 2026 Results, Updates Guidance, and Provides Business Overview</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color w:val="101820"/>
                <w:sz w:val="20"/>
              </w:rPr>
              <w:t xml:space="preserve">Revenue of </w:t>
            </w:r>
            <w:r>
              <w:rPr>
                <w:sz w:val="20"/>
              </w:rPr>
              <w:t xml:space="preserve">$508 </w:t>
            </w:r>
            <w:r>
              <w:rPr>
                <w:color w:val="101820"/>
                <w:sz w:val="20"/>
              </w:rPr>
              <w:t xml:space="preserve">million in the </w:t>
            </w:r>
            <w:r>
              <w:rPr>
                <w:sz w:val="20"/>
              </w:rPr>
              <w:t xml:space="preserve">second quarter was relatively flat compared to Q2 2025. </w:t>
            </w:r>
            <w:r>
              <w:rPr>
                <w:color w:val="101820"/>
                <w:sz w:val="20"/>
              </w:rPr>
              <w:t xml:space="preserve">Operating Loss and Adjusted Operating Income in Q2 2026 improved by </w:t>
            </w:r>
            <w:r>
              <w:rPr>
                <w:sz w:val="20"/>
              </w:rPr>
              <w:t xml:space="preserve">59% </w:t>
            </w:r>
            <w:r>
              <w:rPr>
                <w:color w:val="101820"/>
                <w:sz w:val="20"/>
              </w:rPr>
              <w:t xml:space="preserve">and </w:t>
            </w:r>
            <w:r>
              <w:rPr>
                <w:sz w:val="20"/>
              </w:rPr>
              <w:t xml:space="preserve">46% </w:t>
            </w:r>
            <w:r>
              <w:rPr>
                <w:color w:val="101820"/>
                <w:sz w:val="20"/>
              </w:rPr>
              <w:t>respectively, compared to Q2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19"/>
        <w:gridCol w:w="10045"/>
      </w:tblGrid>
      <w:tr>
        <w:trPr/>
        <w:tc>
          <w:tcPr>
            <w:tcW w:w="4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45" w:type="dxa"/>
            <w:tcBorders/>
            <w:vAlign w:val="center"/>
          </w:tcPr>
          <w:p>
            <w:pPr>
              <w:pStyle w:val="TableContents"/>
              <w:bidi w:val="0"/>
              <w:spacing w:before="0" w:after="283"/>
              <w:jc w:val="both"/>
              <w:rPr/>
            </w:pPr>
            <w:r>
              <w:rPr>
                <w:color w:val="101820"/>
                <w:sz w:val="20"/>
              </w:rPr>
              <w:t xml:space="preserve">Diluted EPS (GAAP) was $(0.03) and Adjusted Diluted EPS (Non-GAAP) was $0.19 in the </w:t>
            </w:r>
            <w:r>
              <w:rPr>
                <w:sz w:val="20"/>
              </w:rPr>
              <w:t xml:space="preserve">second quarter </w:t>
            </w:r>
            <w:r>
              <w:rPr>
                <w:color w:val="101820"/>
                <w:sz w:val="20"/>
              </w:rPr>
              <w:t>of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color w:val="101820"/>
                <w:sz w:val="20"/>
              </w:rPr>
              <w:t xml:space="preserve">Full-year 2026 revenue outlook, at the midpoint, is increased by </w:t>
            </w:r>
            <w:r>
              <w:rPr>
                <w:sz w:val="20"/>
              </w:rPr>
              <w:t xml:space="preserve">$20 </w:t>
            </w:r>
            <w:r>
              <w:rPr>
                <w:color w:val="101820"/>
                <w:sz w:val="20"/>
              </w:rPr>
              <w:t xml:space="preserve">million. Range narrowed to </w:t>
            </w:r>
            <w:r>
              <w:rPr>
                <w:sz w:val="20"/>
              </w:rPr>
              <w:t xml:space="preserve">$1,970 </w:t>
            </w:r>
            <w:r>
              <w:rPr>
                <w:color w:val="101820"/>
                <w:sz w:val="20"/>
              </w:rPr>
              <w:t xml:space="preserve">million - </w:t>
            </w:r>
            <w:r>
              <w:rPr>
                <w:sz w:val="20"/>
              </w:rPr>
              <w:t xml:space="preserve">$2,020 </w:t>
            </w:r>
            <w:r>
              <w:rPr>
                <w:color w:val="101820"/>
                <w:sz w:val="20"/>
              </w:rPr>
              <w:t xml:space="preserve">million, implying </w:t>
            </w:r>
            <w:r>
              <w:rPr>
                <w:sz w:val="20"/>
              </w:rPr>
              <w:t xml:space="preserve">4% </w:t>
            </w:r>
            <w:r>
              <w:rPr>
                <w:color w:val="101820"/>
                <w:sz w:val="20"/>
              </w:rPr>
              <w:t xml:space="preserve">- </w:t>
            </w:r>
            <w:r>
              <w:rPr>
                <w:sz w:val="20"/>
              </w:rPr>
              <w:t xml:space="preserve">7% </w:t>
            </w:r>
            <w:r>
              <w:rPr>
                <w:color w:val="101820"/>
                <w:sz w:val="20"/>
              </w:rPr>
              <w:t>year-over-year revenue growth.</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color w:val="101820"/>
                <w:sz w:val="20"/>
              </w:rPr>
              <w:t xml:space="preserve">We are raising the midpoint of our full-year 2026 guidance for Adjusted Operating Income (Non-GAAP) and decreasing the midpoint for Operating Loss (GAAP) by </w:t>
            </w:r>
            <w:r>
              <w:rPr>
                <w:sz w:val="20"/>
              </w:rPr>
              <w:t xml:space="preserve">88% </w:t>
            </w:r>
            <w:r>
              <w:rPr>
                <w:color w:val="101820"/>
                <w:sz w:val="20"/>
              </w:rPr>
              <w:t xml:space="preserve">and </w:t>
            </w:r>
            <w:r>
              <w:rPr>
                <w:sz w:val="20"/>
              </w:rPr>
              <w:t xml:space="preserve">4%, respectively. The positive revisions are primarily related </w:t>
            </w:r>
            <w:r>
              <w:rPr>
                <w:color w:val="101820"/>
                <w:sz w:val="20"/>
              </w:rPr>
              <w:t>to an R&amp;D incentive grant recognized under the Israeli Law for the Encouragement and Incentivization of Research and Development 2026 (“R&amp;D Law”) which was enacted during the second quarter and applies from the beginning of 2026</w:t>
            </w:r>
            <w:r>
              <w:rPr>
                <w:sz w:val="20"/>
              </w:rPr>
              <w:t xml:space="preserve">. </w:t>
            </w:r>
            <w:r>
              <w:rPr>
                <w:color w:val="101820"/>
                <w:sz w:val="20"/>
              </w:rPr>
              <w:t>Accordingly, the R&amp;D incentive grant recognized this quarter was recognized for the entire first half of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color w:val="101820"/>
                <w:sz w:val="20"/>
              </w:rPr>
              <w:t xml:space="preserve">Generated net cash from operating activities of </w:t>
            </w:r>
            <w:r>
              <w:rPr>
                <w:sz w:val="20"/>
              </w:rPr>
              <w:t xml:space="preserve">$210 </w:t>
            </w:r>
            <w:r>
              <w:rPr>
                <w:color w:val="101820"/>
                <w:sz w:val="20"/>
              </w:rPr>
              <w:t xml:space="preserve">million in the </w:t>
            </w:r>
            <w:r>
              <w:rPr>
                <w:sz w:val="20"/>
              </w:rPr>
              <w:t>six months ended June 27, 2026</w:t>
            </w:r>
            <w:r>
              <w:rPr>
                <w:color w:val="101820"/>
                <w:sz w:val="20"/>
              </w:rPr>
              <w:t xml:space="preserve">. Our balance sheet is strong with </w:t>
            </w:r>
            <w:r>
              <w:rPr>
                <w:sz w:val="20"/>
              </w:rPr>
              <w:t xml:space="preserve">$1.4 </w:t>
            </w:r>
            <w:r>
              <w:rPr>
                <w:color w:val="101820"/>
                <w:sz w:val="20"/>
              </w:rPr>
              <w:t>billion of cash and cash equivalents, marketable securities and deposits.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7"/>
        </w:rPr>
      </w:pPr>
      <w:r>
        <w:rPr>
          <w:rFonts w:ascii="Times New Roman;Times;Serif" w:hAnsi="Times New Roman;Times;Serif"/>
          <w:b w:val="false"/>
          <w:i w:val="false"/>
          <w:caps w:val="false"/>
          <w:smallCaps w:val="false"/>
          <w:color w:val="101820"/>
          <w:sz w:val="20"/>
        </w:rPr>
        <w:t xml:space="preserve">JERUSALEM – July 23, 2026 – Mobileye Global Inc. (Nasdaq: MBLY) (“Mobileye”) today released its financial results for the three months ended </w:t>
      </w:r>
      <w:r>
        <w:rPr>
          <w:rFonts w:ascii="Times New Roman;Times;Serif" w:hAnsi="Times New Roman;Times;Serif"/>
          <w:b w:val="false"/>
          <w:i w:val="false"/>
          <w:caps w:val="false"/>
          <w:smallCaps w:val="false"/>
          <w:sz w:val="20"/>
        </w:rPr>
        <w:t>June 27, 2026</w:t>
      </w:r>
      <w:r>
        <w:rPr>
          <w:rFonts w:ascii="Times New Roman;Times;Serif" w:hAnsi="Times New Roman;Times;Serif"/>
          <w:b w:val="false"/>
          <w:i w:val="false"/>
          <w:caps w:val="false"/>
          <w:smallCaps w:val="false"/>
          <w:color w:val="10182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core business continued its strong momentum in Q2 as we focus our development and execution efforts on a number of advanced product launches in late 2026 and throughout 2027,” said Mobileye President and CEO Prof. Amnon Shashua. “Our foundation is robust and highly profitable, boosted by the recently enacted R&amp;D Law which we expect to sustainably raise the margin baseline of the business. I see tremendous opportunities ahead as we work to convert heavy R&amp;D spending over the last several years into revenue generation from advanced consumer automotive products, self-driving-system supply, robotaxi services, and humanoid robotics.”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Business Highlights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sz w:val="20"/>
              </w:rPr>
            </w:pPr>
            <w:r>
              <w:rPr>
                <w:sz w:val="20"/>
              </w:rPr>
              <w:t>Preparations for commercial robotaxi services with the Volkswagen Group company MOIA continued on-track throughout the quarter. MOIA just recently began public user testing in Hamburg, Germany with safety drivers in vehicles equipped with Mobileye’s self-driving-system.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sz w:val="20"/>
              </w:rPr>
            </w:pPr>
            <w:r>
              <w:rPr>
                <w:sz w:val="20"/>
              </w:rPr>
              <w:t>Our previously announced expansion into vertically-integrated commercial mobility as a service gained momentum in recent weeks. We are engaged with potential vendors for vehicle platform supply, self-driving-system installation and upfit, and fleet logistics support. We have accelerated Moovit’s execution of customer-facing app, fleet optimization, and rider engagement applications. We believe these efforts significantly expand our potential to scale robotaxi commercialization through multiple channels, including MOIA and Holon, our own service, and third-party demand generation platforms.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sz w:val="20"/>
              </w:rPr>
            </w:pPr>
            <w:r>
              <w:rPr>
                <w:sz w:val="20"/>
              </w:rPr>
              <w:t>We see continued traction in automaker demand for next-generation, high-volume ADAS systems, including expanded safety features and hands-free highway driving, in a cost-efficient package. In addition to multiple previously announced Surround ADAS design wins we added a high-volume Cloud-Enhanced ADAS design win with Stellantis this quarter. Gross profit per unit for this program is roughly equivalent to Surround ADAS and more than double our current average base ADAS profitability.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sz w:val="20"/>
              </w:rPr>
            </w:pPr>
            <w:r>
              <w:rPr>
                <w:sz w:val="20"/>
              </w:rPr>
              <w:t>Enactment of the R&amp;D Law mentioned above occurred during Mobileye’s second quarter and applies from the beginning of 2026. We recognized approximately $110 million (GAAP) and $93 million (Non-GAAP) as an offset to Q2 R&amp;D expenses (amounts attributable to Q1 and Q2 were roughly equivalent). For the full-year, we have incorporated $197 - $217 million (GAAP) and $180 - $200 million (Non-GAAP) into our full-year 2026 outlook. The R&amp;D Law has no scheduled expiration date and was enacted in connection with Israel’s implementation of the OECD Pillar Two global minimum tax rules to offset the resulting higher tax burden, preserve Israel’s attractiveness for R&amp;D investment and encourage continued R&amp;D activity.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Summary and Key Highlights (Unaudited)</w:t>
      </w:r>
    </w:p>
    <w:p>
      <w:pPr>
        <w:pStyle w:val="TextBody"/>
        <w:bidi w:val="0"/>
        <w:spacing w:before="0" w:after="0"/>
        <w:ind w:left="0" w:right="0" w:hanging="0"/>
        <w:jc w:val="left"/>
        <w:rPr>
          <w:caps w:val="false"/>
          <w:smallCaps w:val="false"/>
        </w:rPr>
      </w:pPr>
      <w:r>
        <w:rPr>
          <w:caps w:val="false"/>
          <w:smallCaps w:val="false"/>
        </w:rPr>
        <w:t> </w:t>
      </w:r>
    </w:p>
    <w:tbl>
      <w:tblPr>
        <w:tblW w:w="5147" w:type="dxa"/>
        <w:jc w:val="left"/>
        <w:tblInd w:w="0" w:type="dxa"/>
        <w:tblLayout w:type="fixed"/>
        <w:tblCellMar>
          <w:top w:w="0" w:type="dxa"/>
          <w:left w:w="0" w:type="dxa"/>
          <w:bottom w:w="0" w:type="dxa"/>
          <w:right w:w="0" w:type="dxa"/>
        </w:tblCellMar>
      </w:tblPr>
      <w:tblGrid>
        <w:gridCol w:w="2030"/>
        <w:gridCol w:w="60"/>
        <w:gridCol w:w="163"/>
        <w:gridCol w:w="576"/>
        <w:gridCol w:w="245"/>
        <w:gridCol w:w="60"/>
        <w:gridCol w:w="163"/>
        <w:gridCol w:w="576"/>
        <w:gridCol w:w="245"/>
        <w:gridCol w:w="60"/>
        <w:gridCol w:w="70"/>
        <w:gridCol w:w="519"/>
        <w:gridCol w:w="380"/>
      </w:tblGrid>
      <w:tr>
        <w:trPr/>
        <w:tc>
          <w:tcPr>
            <w:tcW w:w="20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GAAP</w:t>
            </w:r>
          </w:p>
        </w:tc>
        <w:tc>
          <w:tcPr>
            <w:tcW w:w="60" w:type="dxa"/>
            <w:tcBorders/>
            <w:vAlign w:val="center"/>
          </w:tcPr>
          <w:p>
            <w:pPr>
              <w:pStyle w:val="TableContents"/>
              <w:bidi w:val="0"/>
              <w:spacing w:before="0" w:after="283"/>
              <w:jc w:val="left"/>
              <w:rPr/>
            </w:pPr>
            <w:r>
              <w:rPr/>
              <w:t> </w:t>
            </w:r>
          </w:p>
        </w:tc>
        <w:tc>
          <w:tcPr>
            <w:tcW w:w="739"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9"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9" w:type="dxa"/>
            <w:gridSpan w:val="2"/>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r>
      <w:tr>
        <w:trPr/>
        <w:tc>
          <w:tcPr>
            <w:tcW w:w="20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 dollars in millions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 2026</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 2025</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Y/Y</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508</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506</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(354</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)bps</w:t>
            </w:r>
          </w:p>
        </w:tc>
      </w:tr>
      <w:tr>
        <w:trPr/>
        <w:tc>
          <w:tcPr>
            <w:tcW w:w="2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Margin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+872</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bps</w:t>
            </w:r>
          </w:p>
        </w:tc>
      </w:tr>
      <w:tr>
        <w:trPr/>
        <w:tc>
          <w:tcPr>
            <w:tcW w:w="2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EPS - 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(0.08</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EPS -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(0.08</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5463" w:type="dxa"/>
        <w:jc w:val="left"/>
        <w:tblInd w:w="0" w:type="dxa"/>
        <w:tblLayout w:type="fixed"/>
        <w:tblCellMar>
          <w:top w:w="0" w:type="dxa"/>
          <w:left w:w="0" w:type="dxa"/>
          <w:bottom w:w="0" w:type="dxa"/>
          <w:right w:w="0" w:type="dxa"/>
        </w:tblCellMar>
      </w:tblPr>
      <w:tblGrid>
        <w:gridCol w:w="2270"/>
        <w:gridCol w:w="60"/>
        <w:gridCol w:w="183"/>
        <w:gridCol w:w="556"/>
        <w:gridCol w:w="185"/>
        <w:gridCol w:w="60"/>
        <w:gridCol w:w="183"/>
        <w:gridCol w:w="556"/>
        <w:gridCol w:w="185"/>
        <w:gridCol w:w="60"/>
        <w:gridCol w:w="60"/>
        <w:gridCol w:w="725"/>
        <w:gridCol w:w="380"/>
      </w:tblGrid>
      <w:tr>
        <w:trPr/>
        <w:tc>
          <w:tcPr>
            <w:tcW w:w="22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w:t>
            </w:r>
          </w:p>
        </w:tc>
        <w:tc>
          <w:tcPr>
            <w:tcW w:w="60" w:type="dxa"/>
            <w:tcBorders/>
            <w:vAlign w:val="center"/>
          </w:tcPr>
          <w:p>
            <w:pPr>
              <w:pStyle w:val="TableContents"/>
              <w:bidi w:val="0"/>
              <w:spacing w:before="0" w:after="283"/>
              <w:jc w:val="left"/>
              <w:rPr/>
            </w:pPr>
            <w:r>
              <w:rPr/>
              <w:t> </w:t>
            </w:r>
          </w:p>
        </w:tc>
        <w:tc>
          <w:tcPr>
            <w:tcW w:w="739" w:type="dxa"/>
            <w:gridSpan w:val="2"/>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9" w:type="dxa"/>
            <w:gridSpan w:val="2"/>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r>
      <w:tr>
        <w:trPr/>
        <w:tc>
          <w:tcPr>
            <w:tcW w:w="22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 dollars in millions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 2026</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 2025</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Y/Y</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2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2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Gross Profit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2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Gross Margin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)bps</w:t>
            </w:r>
          </w:p>
        </w:tc>
      </w:tr>
      <w:tr>
        <w:trPr/>
        <w:tc>
          <w:tcPr>
            <w:tcW w:w="22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Operating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2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Operating Margin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+956bps</w:t>
            </w:r>
          </w:p>
        </w:tc>
        <w:tc>
          <w:tcPr>
            <w:tcW w:w="3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Net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2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EPS - 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0.19</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2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EPS -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0.19</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sz w:val="20"/>
              </w:rPr>
            </w:pPr>
            <w:r>
              <w:rPr>
                <w:sz w:val="20"/>
              </w:rPr>
              <w:t xml:space="preserve">Revenue of $508 million is relatively flat compared to the second quarter of 2025, </w:t>
            </w:r>
            <w:r>
              <w:rPr>
                <w:color w:val="101820"/>
                <w:sz w:val="20"/>
              </w:rPr>
              <w:t xml:space="preserve">primarily due to a </w:t>
            </w:r>
            <w:r>
              <w:rPr>
                <w:sz w:val="20"/>
              </w:rPr>
              <w:t xml:space="preserve">3% increase </w:t>
            </w:r>
            <w:r>
              <w:rPr>
                <w:color w:val="101820"/>
                <w:sz w:val="20"/>
              </w:rPr>
              <w:t>in volumes of systems shipped coming from higher customer demand, offset by lower EyeQ ASP mainly attributable to higher-than-expected China OEM export volumes.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color w:val="101820"/>
                <w:sz w:val="20"/>
              </w:rPr>
              <w:t xml:space="preserve">Gross Margin as well as Adjusted Gross Margin </w:t>
            </w:r>
            <w:r>
              <w:rPr>
                <w:sz w:val="20"/>
              </w:rPr>
              <w:t xml:space="preserve">decreased </w:t>
            </w:r>
            <w:r>
              <w:rPr>
                <w:color w:val="101820"/>
                <w:sz w:val="20"/>
              </w:rPr>
              <w:t xml:space="preserve">in the </w:t>
            </w:r>
            <w:r>
              <w:rPr>
                <w:sz w:val="20"/>
              </w:rPr>
              <w:t xml:space="preserve">second quarter </w:t>
            </w:r>
            <w:r>
              <w:rPr>
                <w:color w:val="101820"/>
                <w:sz w:val="20"/>
              </w:rPr>
              <w:t xml:space="preserve">of </w:t>
            </w:r>
            <w:r>
              <w:rPr>
                <w:sz w:val="20"/>
              </w:rPr>
              <w:t xml:space="preserve">2026 </w:t>
            </w:r>
            <w:r>
              <w:rPr>
                <w:color w:val="101820"/>
                <w:sz w:val="20"/>
              </w:rPr>
              <w:t>as compared to the prior year period. This was due to a modest reduction in EyeQ ASP mainly attributable to higher China OEM volumes which carry lower ASP and a higher portion of SuperVision related revenue with lower margin given the greater hardware content included.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color w:val="101820"/>
                <w:sz w:val="20"/>
              </w:rPr>
              <w:t xml:space="preserve">Operating Margin as well as Adjusted Operating Margin </w:t>
            </w:r>
            <w:r>
              <w:rPr>
                <w:sz w:val="20"/>
              </w:rPr>
              <w:t xml:space="preserve">increased in the second quarter of 2026 </w:t>
            </w:r>
            <w:r>
              <w:rPr>
                <w:color w:val="101820"/>
                <w:sz w:val="20"/>
              </w:rPr>
              <w:t>as compared to the prior year period</w:t>
            </w:r>
            <w:r>
              <w:rPr>
                <w:sz w:val="20"/>
              </w:rPr>
              <w:t xml:space="preserve">. </w:t>
            </w:r>
            <w:r>
              <w:rPr>
                <w:color w:val="101820"/>
                <w:sz w:val="20"/>
              </w:rPr>
              <w:t xml:space="preserve">The </w:t>
            </w:r>
            <w:r>
              <w:rPr>
                <w:sz w:val="20"/>
              </w:rPr>
              <w:t xml:space="preserve">increase </w:t>
            </w:r>
            <w:r>
              <w:rPr>
                <w:color w:val="101820"/>
                <w:sz w:val="20"/>
              </w:rPr>
              <w:t>was primarily due to the R&amp;D Law incentive grant recognized this quarter for the entire first half of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sz w:val="20"/>
              </w:rPr>
            </w:pPr>
            <w:r>
              <w:rPr>
                <w:sz w:val="20"/>
              </w:rPr>
              <w:t>Operating cash flow for the six months ended June 27, 2026 was $210 million. Cash used in purchases of property and equipment was $51 million for that same period. Share repurchases totaled $24 million through the end of Q2 2026, and exclusively occurred during the period after the program was announced on April 23,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Updated Financial Guidance for the 2026 Fiscal Year</w:t>
      </w:r>
    </w:p>
    <w:p>
      <w:pPr>
        <w:pStyle w:val="TextBody"/>
        <w:bidi w:val="0"/>
        <w:spacing w:before="0" w:after="0"/>
        <w:ind w:left="0" w:right="0" w:hanging="0"/>
        <w:jc w:val="left"/>
        <w:rPr>
          <w:caps w:val="false"/>
          <w:smallCaps w:val="false"/>
        </w:rPr>
      </w:pPr>
      <w:r>
        <w:rPr>
          <w:caps w:val="false"/>
          <w:smallCaps w:val="false"/>
        </w:rPr>
        <w:t> </w:t>
      </w:r>
    </w:p>
    <w:tbl>
      <w:tblPr>
        <w:tblW w:w="9271" w:type="dxa"/>
        <w:jc w:val="left"/>
        <w:tblInd w:w="0" w:type="dxa"/>
        <w:tblLayout w:type="fixed"/>
        <w:tblCellMar>
          <w:top w:w="0" w:type="dxa"/>
          <w:left w:w="0" w:type="dxa"/>
          <w:bottom w:w="0" w:type="dxa"/>
          <w:right w:w="0" w:type="dxa"/>
        </w:tblCellMar>
      </w:tblPr>
      <w:tblGrid>
        <w:gridCol w:w="5705"/>
        <w:gridCol w:w="60"/>
        <w:gridCol w:w="137"/>
        <w:gridCol w:w="598"/>
        <w:gridCol w:w="87"/>
        <w:gridCol w:w="65"/>
        <w:gridCol w:w="137"/>
        <w:gridCol w:w="598"/>
        <w:gridCol w:w="80"/>
        <w:gridCol w:w="60"/>
        <w:gridCol w:w="66"/>
        <w:gridCol w:w="1603"/>
        <w:gridCol w:w="75"/>
      </w:tblGrid>
      <w:tr>
        <w:trPr/>
        <w:tc>
          <w:tcPr>
            <w:tcW w:w="5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2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Updated Guidance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Full Year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Previous Guidance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Full Year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7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millions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Low</w:t>
            </w:r>
          </w:p>
        </w:tc>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Range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7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1,970</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0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$1,935 - 2,015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7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(4,154</w:t>
            </w:r>
          </w:p>
        </w:tc>
        <w:tc>
          <w:tcPr>
            <w:tcW w:w="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$(4,331) - (4,281)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7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acquired intangible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7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396</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376 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7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R&amp;D Law incentive grant related to ordinary income from sold RSUs</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7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related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7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impairment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3,788</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0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3,788 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7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Operating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365</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$185 - 235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updated revenue guidance is increased by 1% at the midpoint, with a narrowed range, compared to the prior guidance. The increase is primarily attributable to higher-than-expected revenue in the second quarter of 2026. Our updated guidance also reflects a decrease in Operating Loss (GAAP) and an increase in Adjusted Operating Income (Non-GAAP), at the midpoint, of 4% and 88%, respectively. Both changes are primarily attributable to the expected impact of the R&amp;D Law described above, which was enacted in the second quarter of 2026 but applies from the beginning of 2026. The foregoing reflects Mobileye’s updated expectations for Revenue, Operating Loss and Adjusted Operating Income results for the full year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101820"/>
          <w:sz w:val="20"/>
        </w:rPr>
      </w:pPr>
      <w:r>
        <w:rPr>
          <w:rFonts w:ascii="Times New Roman;Times;Serif" w:hAnsi="Times New Roman;Times;Serif"/>
          <w:b w:val="false"/>
          <w:i w:val="false"/>
          <w:caps w:val="false"/>
          <w:smallCaps w:val="false"/>
          <w:color w:val="101820"/>
          <w:sz w:val="20"/>
        </w:rPr>
        <w:t>We believe Adjusted Operating Income (a non-GAAP metric) is an appropriate metric as it excludes significant non-cash or non-recurring items including: 1) Amortization charges related to intangible assets consisting of developed technology, customer relationships and brands, and developed IP as a result of Intel’s acquisition of Mobileye in 2017 and the acquisition of Mentee Robotics in 2026; 2) Share-based compensation expense; 3) the R&amp;D Law incentive grant related to ordinary income from sold RSUs 4) Goodwill impairment; and 5) acquisition-related expenses. These statements represent forward-looking information and may not represent a financial outlook, and actual results may vary. Please see the risks and assumptions referred to in the Forward-Looking Statements section of this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The R&amp;D Law incentive grant related to ordinary income from sold RSUs cannot be estimated precisely because it depends on the actual sale of the shares of common stock issued upon the conversion of RSUs. Accordingly, the 2026 outlook includes this component only for the first half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Earnings Conference Call Webcast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7"/>
        </w:rPr>
      </w:pPr>
      <w:r>
        <w:rPr>
          <w:rFonts w:ascii="Times New Roman;Times;Serif" w:hAnsi="Times New Roman;Times;Serif"/>
          <w:b w:val="false"/>
          <w:i w:val="false"/>
          <w:caps w:val="false"/>
          <w:smallCaps w:val="false"/>
          <w:color w:val="101820"/>
          <w:sz w:val="20"/>
        </w:rPr>
        <w:t xml:space="preserve">Mobileye will host a conference call today, July 23, 2026, </w:t>
      </w:r>
      <w:r>
        <w:rPr>
          <w:rFonts w:ascii="Times New Roman;Times;Serif" w:hAnsi="Times New Roman;Times;Serif"/>
          <w:b w:val="false"/>
          <w:i w:val="false"/>
          <w:caps w:val="false"/>
          <w:smallCaps w:val="false"/>
          <w:sz w:val="20"/>
        </w:rPr>
        <w:t xml:space="preserve">at 8:00am ET (3:00pm IT) </w:t>
      </w:r>
      <w:r>
        <w:rPr>
          <w:rFonts w:ascii="Times New Roman;Times;Serif" w:hAnsi="Times New Roman;Times;Serif"/>
          <w:b w:val="false"/>
          <w:i w:val="false"/>
          <w:caps w:val="false"/>
          <w:smallCaps w:val="false"/>
          <w:color w:val="101820"/>
          <w:sz w:val="20"/>
        </w:rPr>
        <w:t xml:space="preserve">to review its results and provide a general business update. The conference call will be accessible live via a webcast on Mobileye’s investor relations site, which can be found at </w:t>
      </w:r>
      <w:r>
        <w:rPr>
          <w:rFonts w:ascii="Times New Roman;Times;Serif" w:hAnsi="Times New Roman;Times;Serif"/>
          <w:b w:val="false"/>
          <w:i w:val="false"/>
          <w:caps w:val="false"/>
          <w:smallCaps w:val="false"/>
          <w:sz w:val="20"/>
          <w:u w:val="single"/>
        </w:rPr>
        <w:t>ir.mobileye.com</w:t>
      </w:r>
      <w:r>
        <w:rPr>
          <w:rFonts w:ascii="Times New Roman;Times;Serif" w:hAnsi="Times New Roman;Times;Serif"/>
          <w:b w:val="false"/>
          <w:i w:val="false"/>
          <w:caps w:val="false"/>
          <w:smallCaps w:val="false"/>
          <w:color w:val="101820"/>
          <w:sz w:val="20"/>
        </w:rPr>
        <w:t>, and a replay of the webcast will be made available shortly after the event’s conclusion.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Adjusted Gross Profit and Margin, Adjusted Operating Income and Margin, Adjusted Net Income and Adjusted EPS, which are financial measures not presented in accordance with GAAP. We define Adjusted Gross Profit as gross profit presented in accordance with GAAP, excluding amortization of acquisition related intangibles and share-based compensation expense. Adjusted Gross Margin is calculated as Adjusted Gross Profit divided by total revenue. We define Adjusted Operating Income (Loss) as operating loss presented in accordance with GAAP, adjusted to exclude amortization of acquisition related intangibles, share-based compensation expenses, the R&amp;D Law incentive grant related to ordinary income from sold RSUs, acquisition-related expenses and impairment of goodwill. Operating Margin is calculated as operating income (loss) divided by total revenue, and Adjusted Operating Margin is calculated as Adjusted Operating Income divided by total revenue. We define Adjusted Net Income as net loss presented in accordance with GAAP, adjusted to exclude amortization of acquisition related intangibles, share-based compensation expenses, the R&amp;D Law incentive grant related to ordinary income from sold RSUs, acquisition-related expenses, impairment of goodwill and the related income tax effects. Income tax effects have been calculated using the applicable statutory tax rate for each adjustment taking into consideration the associated valuation allowance impacts. The adjustment for income tax effects consists primarily of the deferred tax impact of the amortization of acquired intangible assets. Adjusted Basic EPS is calculated by dividing Adjusted Net Income for the period by the weighted-average number of common shares outstanding during the period. Adjusted Diluted EPS is calculated by dividing Adjusted Net Income (Loss) by the weighted-average number of common shares outstanding during the period, while giving effect to all potentially dilutive common shares to the extent they are dilutive.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such non-GAAP financial measures to make strategic decisions, establish business plans and forecasts, identify trends affecting our business, and evaluate performance. For example, we use these non-GAAP financial measures to assess our pricing and sourcing strategy, in the preparation of our annual operating budget, and as a measure of our operating performance. We believe that these non-GAAP financial measures, when taken collectively, may be helpful to investors because they allow for greater transparency into what measures our management uses in operating our business and measuring our performance, and enable comparison of financial trends and results between periods where items may vary independent of business performance. The non-GAAP financial measures are presented for supplemental informational purposes only, should not be considered a substitute for financial information presented in accordance with GAAP, and may be different from similarly titled non-GAAP measures used by other companies. A reconciliation is provided below for each non-GAAP financial measure to the most directly comparable financial measure presented in accordance with GAAP. Investors are encouraged to review the related GAAP financial measures and the reconciliation of these non-GAAP financial measures to their most directly comparable 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Mobileye Global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Mobileye (Nasdaq: MBLY) leads the mobility revolution with our autonomous driving and driver-assistance technologies, harnessing world-renowned expertise in artificial intelligence, computer vision and integrated software and hardware. Since our founding in 1999, Mobileye has enabled the global adoption of advanced driver-assistance systems that save countless lives and reduce crashes, while pioneering groundbreaking technologies such as REM™ crowdsourced road intelligence, Imaging Radar and Compound AI. These technologies drive the ADAS and AV fields towards the future of mobility – enabling self-driving vehicles and mobility solutions at scale, and powering industry-leading ADAS products. To date, more than 250 million vehicles worldwide have been built with Mobileye’s EyeQ technology inside. In 2026, Mobileye acquired Mentee Robotics to pursue the future of physical AI and humanoid robots. Since 2022, Mobileye has been listed independently from Intel (Nasdaq: INTC), which retains majority ownership. For more information, visit https://www.mobileye.com.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Mobileye,” the Mobileye logo and Mobileye product names are registered trademarks of Mobileye Global. All other marks are the property of their respective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7"/>
        </w:rPr>
      </w:pPr>
      <w:r>
        <w:rPr>
          <w:rFonts w:ascii="Times New Roman;Times;Serif" w:hAnsi="Times New Roman;Times;Serif"/>
          <w:b w:val="false"/>
          <w:i w:val="false"/>
          <w:caps w:val="false"/>
          <w:smallCaps w:val="false"/>
          <w:color w:val="262626"/>
          <w:sz w:val="20"/>
        </w:rPr>
        <w:t xml:space="preserve">Mobileye’s business outlook, guidance and other statements in this release that are not statements of historical fact, including statements about our beliefs and expectations, are forward-looking statements and should be evaluated as such. Forward-looking statements include information concerning possible or assumed future results of operations, including Mobileye’s </w:t>
      </w:r>
      <w:r>
        <w:rPr>
          <w:rFonts w:ascii="Times New Roman;Times;Serif" w:hAnsi="Times New Roman;Times;Serif"/>
          <w:b w:val="false"/>
          <w:i w:val="false"/>
          <w:caps w:val="false"/>
          <w:smallCaps w:val="false"/>
          <w:sz w:val="20"/>
        </w:rPr>
        <w:t xml:space="preserve">2026 </w:t>
      </w:r>
      <w:r>
        <w:rPr>
          <w:rFonts w:ascii="Times New Roman;Times;Serif" w:hAnsi="Times New Roman;Times;Serif"/>
          <w:b w:val="false"/>
          <w:i w:val="false"/>
          <w:caps w:val="false"/>
          <w:smallCaps w:val="false"/>
          <w:color w:val="262626"/>
          <w:sz w:val="20"/>
        </w:rPr>
        <w:t xml:space="preserve">full-year guidance, projected future revenue and descriptions of our business plan and strategies. These statements often include words such as “anticipate,” “expect,” “suggests,” “plan,” “believe,” “intend,” “estimates,” “targets,” “projects,” “should,” “could,” “would,” “may,” “will,” “forecast,” or the negative of these terms, and other similar expressions, although not all forward-looking statements contain these words. We base these forward-looking statements or projections, including Mobileye’s full-year guidance, on our current expectations, plans and assumptions that we have made in light of our experience in the industry, as well as our perceptions of historical trends, current conditions, expected future developments and other factors we believe are appropriate under the circumstances and at such time. You should understand that these statements are not guarantees of performance or results. The forward-looking statements and projections are subject to and involve risks, uncertainties and assumptions and you should not place undue reliance on these forward-looking statements or projections. Although we believe that these forward-looking statements and projections are based on reasonable assumptions at the time they are made, you should be aware that many factors could affect our actual financial results or results of operations and could </w:t>
      </w:r>
      <w:r>
        <w:rPr>
          <w:rFonts w:ascii="Times New Roman;Times;Serif" w:hAnsi="Times New Roman;Times;Serif"/>
          <w:b w:val="false"/>
          <w:i w:val="false"/>
          <w:caps w:val="false"/>
          <w:smallCaps w:val="false"/>
          <w:color w:val="101820"/>
          <w:sz w:val="20"/>
        </w:rPr>
        <w:t>cause actual results to differ materially from those expressed in the forward-looking statements and projections.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7"/>
        </w:rPr>
      </w:pPr>
      <w:r>
        <w:rPr>
          <w:rFonts w:ascii="Times New Roman;Times;Serif" w:hAnsi="Times New Roman;Times;Serif"/>
          <w:b w:val="false"/>
          <w:i w:val="false"/>
          <w:caps w:val="false"/>
          <w:smallCaps w:val="false"/>
          <w:color w:val="101820"/>
          <w:sz w:val="20"/>
        </w:rPr>
        <w:t xml:space="preserve">Important factors that may materially affect such forward-looking statements and projections include the following: further deterioration of macroeconomic conditions due to ongoing global economic and political uncertainty; future business, strategic and financial performance, goals and measures; our anticipated growth prospects and trends in markets and industries relevant to our business; business and investment plans; expectations about our ability to maintain or enhance our leadership position in the markets in which we participate; future consumer demand and behavior, including expectations about excess inventory utilization by customers; our ability to effectively compete in the markets in which we operate; increased competition from emerging chip manufacturers and OEMs; future products and technology, and the expected availability and benefits of such products and technology; </w:t>
      </w:r>
      <w:r>
        <w:rPr>
          <w:rFonts w:ascii="Times New Roman;Times;Serif" w:hAnsi="Times New Roman;Times;Serif"/>
          <w:b w:val="false"/>
          <w:i w:val="false"/>
          <w:caps w:val="false"/>
          <w:smallCaps w:val="false"/>
          <w:sz w:val="20"/>
        </w:rPr>
        <w:t xml:space="preserve">our planned vertically integrated robotaxi business, including the development, launch, operation, scaling, regulatory approval and commercial acceptance of autonomous ride-hailing services, may not proceed as expected; </w:t>
      </w:r>
      <w:r>
        <w:rPr>
          <w:rFonts w:ascii="Times New Roman;Times;Serif" w:hAnsi="Times New Roman;Times;Serif"/>
          <w:b w:val="false"/>
          <w:i w:val="false"/>
          <w:caps w:val="false"/>
          <w:smallCaps w:val="false"/>
          <w:color w:val="101820"/>
          <w:sz w:val="20"/>
        </w:rPr>
        <w:t>the humanoid robotics industry and its accompanying technology may not develop as expected; development of regulatory frameworks for current and future technology; changes in regulation and trade policy, including increased tariffs, in regions in which we operate, including the U.S., Europe and China; projected cost and pricing trends; future production capacity and product supply; potential future benefits and competitive advantages associated with our technologies and architecture and the data we have accumulated; the future purchase, use and availability of products, components and services supplied by third parties, including third-party IP and manufacturing services; uncertain events or assumptions, including statements relating to our estimated vehicle production and market opportunity, potential production volumes associated with design wins and other characterizations of future events or circumstances; adverse conditions in Israel, including as a result of war and geopolitical conflict, which may affect our operations and may limit our ability to produce and sell our solutions; any disruption in our operations by the obligations of our personnel to perform military service as a result of current or future military actions involving Israel; availability, uses, sufficiency and cost of capital and capital resources, including expected returns to stockholders such as dividends, and the expected timing of future dividends; tax and accounting-related expectations; sustained low levels of our share price and market capitalization as well as other factors may require further testing of our Mobileye reporting unit, which may result in an impairment of goodwill; the ability to meet our social and environmental goals and projections.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101820"/>
          <w:sz w:val="20"/>
        </w:rPr>
      </w:pPr>
      <w:r>
        <w:rPr>
          <w:rFonts w:ascii="Times New Roman;Times;Serif" w:hAnsi="Times New Roman;Times;Serif"/>
          <w:b w:val="false"/>
          <w:i w:val="false"/>
          <w:caps w:val="false"/>
          <w:smallCaps w:val="false"/>
          <w:color w:val="101820"/>
          <w:sz w:val="20"/>
        </w:rPr>
        <w:t>The estimates included herein are based on projections of future production volumes that were provided by our current and prospective OEMs at the time of sourcing the design wins for the models related to those design wins. For the purpose of these estimates, we estimated sales prices based on our management’s estimates for the applicable product bundles and periods. Achieving design wins is not a guarantee of revenue, and our sales may not correlate with the achievement of additional design wins. Moreover, our pricing estimates are made at the time of a request for quotation by an OEM (in the case of estimates related to contracted customers), so that worsening market or other conditions between the time of a request for quotation and an order for our solutions may require us to sell our solutions for a lower price than we initially expected. These estimates may deviate from actual production volumes and sale prices (which may be higher or lower than the estimates) and the amounts included for prospective but uncontracted production volumes may never be achieved. Accordingly, these estimations are subject to and involve risks, uncertainties and assumptions and you should not place undue reliance on these forward-looking statements or projections.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7"/>
        </w:rPr>
      </w:pPr>
      <w:r>
        <w:rPr>
          <w:rFonts w:ascii="Times New Roman;Times;Serif" w:hAnsi="Times New Roman;Times;Serif"/>
          <w:b w:val="false"/>
          <w:i w:val="false"/>
          <w:caps w:val="false"/>
          <w:smallCaps w:val="false"/>
          <w:color w:val="262626"/>
          <w:sz w:val="20"/>
        </w:rPr>
        <w:t xml:space="preserve">Detailed information regarding these and other factors that could affect Mobileye’s business and results is included in Mobileye’s SEC filings, including the company’s Annual Report on Form 10-K for the year ended December 27, 2025, particularly in the section entitled “Item 1A. Risk Factors”. Copies of these filings may be obtained by visiting our Investor Relations website at </w:t>
      </w:r>
      <w:r>
        <w:rPr>
          <w:rFonts w:ascii="Times New Roman;Times;Serif" w:hAnsi="Times New Roman;Times;Serif"/>
          <w:b w:val="false"/>
          <w:i w:val="false"/>
          <w:caps w:val="false"/>
          <w:smallCaps w:val="false"/>
          <w:sz w:val="20"/>
        </w:rPr>
        <w:t xml:space="preserve">ir.mobileye.com </w:t>
      </w:r>
      <w:r>
        <w:rPr>
          <w:rFonts w:ascii="Times New Roman;Times;Serif" w:hAnsi="Times New Roman;Times;Serif"/>
          <w:b w:val="false"/>
          <w:i w:val="false"/>
          <w:caps w:val="false"/>
          <w:smallCaps w:val="false"/>
          <w:color w:val="262626"/>
          <w:sz w:val="20"/>
        </w:rPr>
        <w:t xml:space="preserve">or the SEC’s website at </w:t>
      </w:r>
      <w:r>
        <w:rPr>
          <w:rFonts w:ascii="Times New Roman;Times;Serif" w:hAnsi="Times New Roman;Times;Serif"/>
          <w:b w:val="false"/>
          <w:i w:val="false"/>
          <w:caps w:val="false"/>
          <w:smallCaps w:val="false"/>
          <w:sz w:val="20"/>
        </w:rPr>
        <w:t>www.sec.gov</w:t>
      </w:r>
      <w:r>
        <w:rPr>
          <w:rFonts w:ascii="Times New Roman;Times;Serif" w:hAnsi="Times New Roman;Times;Serif"/>
          <w:b w:val="false"/>
          <w:i w:val="false"/>
          <w:caps w:val="false"/>
          <w:smallCaps w:val="false"/>
          <w:color w:val="262626"/>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Mobileye Global Inc.</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Condensed Consolidated Statements of Operations (unaudited)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938"/>
        <w:gridCol w:w="60"/>
        <w:gridCol w:w="211"/>
        <w:gridCol w:w="703"/>
        <w:gridCol w:w="93"/>
        <w:gridCol w:w="69"/>
        <w:gridCol w:w="211"/>
        <w:gridCol w:w="703"/>
        <w:gridCol w:w="80"/>
        <w:gridCol w:w="60"/>
        <w:gridCol w:w="172"/>
        <w:gridCol w:w="742"/>
        <w:gridCol w:w="84"/>
        <w:gridCol w:w="62"/>
        <w:gridCol w:w="201"/>
        <w:gridCol w:w="713"/>
        <w:gridCol w:w="103"/>
      </w:tblGrid>
      <w:tr>
        <w:trPr/>
        <w:tc>
          <w:tcPr>
            <w:tcW w:w="59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9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7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10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93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millions, except share and per share data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27, 2026</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69" w:type="dxa"/>
            <w:tcBorders/>
            <w:vAlign w:val="center"/>
          </w:tcPr>
          <w:p>
            <w:pPr>
              <w:pStyle w:val="TableContents"/>
              <w:bidi w:val="0"/>
              <w:spacing w:before="0" w:after="283"/>
              <w:jc w:val="left"/>
              <w:rPr>
                <w:caps w:val="false"/>
                <w:smallCaps w:val="false"/>
              </w:rPr>
            </w:pPr>
            <w:r>
              <w:rPr>
                <w:caps w:val="false"/>
                <w:smallCaps w:val="false"/>
              </w:rPr>
              <w:t> </w:t>
            </w:r>
          </w:p>
        </w:tc>
        <w:tc>
          <w:tcPr>
            <w:tcW w:w="9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28,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27, 2026</w:t>
            </w:r>
          </w:p>
        </w:tc>
        <w:tc>
          <w:tcPr>
            <w:tcW w:w="84" w:type="dxa"/>
            <w:tcBorders/>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9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28, 2025</w:t>
            </w:r>
          </w:p>
        </w:tc>
        <w:tc>
          <w:tcPr>
            <w:tcW w:w="10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9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508</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1,066</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944</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556</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485</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3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235</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510</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459</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557</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impairment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3,788</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3"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3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265</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4,436</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650</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3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income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w:t>
            </w:r>
          </w:p>
        </w:tc>
        <w:tc>
          <w:tcPr>
            <w:tcW w:w="9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(3,926</w:t>
            </w:r>
          </w:p>
        </w:tc>
        <w:tc>
          <w:tcPr>
            <w:tcW w:w="8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(191</w:t>
            </w:r>
          </w:p>
        </w:tc>
        <w:tc>
          <w:tcPr>
            <w:tcW w:w="10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9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income (expense),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3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(loss) before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w:t>
            </w:r>
          </w:p>
        </w:tc>
        <w:tc>
          <w:tcPr>
            <w:tcW w:w="9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(3,899</w:t>
            </w:r>
          </w:p>
        </w:tc>
        <w:tc>
          <w:tcPr>
            <w:tcW w:w="8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(160</w:t>
            </w:r>
          </w:p>
        </w:tc>
        <w:tc>
          <w:tcPr>
            <w:tcW w:w="10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9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Benefit (provision) for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10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3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0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w:t>
            </w:r>
          </w:p>
        </w:tc>
        <w:tc>
          <w:tcPr>
            <w:tcW w:w="9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0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(67</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4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(3,839</w:t>
            </w:r>
          </w:p>
        </w:tc>
        <w:tc>
          <w:tcPr>
            <w:tcW w:w="8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1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(169</w:t>
            </w:r>
          </w:p>
        </w:tc>
        <w:tc>
          <w:tcPr>
            <w:tcW w:w="10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9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r>
      <w:tr>
        <w:trPr/>
        <w:tc>
          <w:tcPr>
            <w:tcW w:w="593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Earnings (loss) per share attributed to Class A and Class B stockholders:</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r>
      <w:tr>
        <w:trPr/>
        <w:tc>
          <w:tcPr>
            <w:tcW w:w="59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9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(4.70</w:t>
            </w:r>
          </w:p>
        </w:tc>
        <w:tc>
          <w:tcPr>
            <w:tcW w:w="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w:t>
            </w:r>
          </w:p>
        </w:tc>
        <w:tc>
          <w:tcPr>
            <w:tcW w:w="10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3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 number of shares used in computation of earnings (loss) per share attributed to Class A and Class B stockholders (in millions):</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r>
      <w:tr>
        <w:trPr/>
        <w:tc>
          <w:tcPr>
            <w:tcW w:w="59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818</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817</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812</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Mobileye Global Inc.</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Condensed Consolidated Balance sheets (unaudited)</w:t>
      </w:r>
    </w:p>
    <w:p>
      <w:pPr>
        <w:pStyle w:val="TextBody"/>
        <w:bidi w:val="0"/>
        <w:spacing w:before="0" w:after="0"/>
        <w:ind w:left="0" w:right="0" w:hanging="0"/>
        <w:jc w:val="left"/>
        <w:rPr>
          <w:caps w:val="false"/>
          <w:smallCaps w:val="false"/>
        </w:rPr>
      </w:pPr>
      <w:r>
        <w:rPr>
          <w:caps w:val="false"/>
          <w:smallCaps w:val="false"/>
        </w:rPr>
        <w:t> </w:t>
      </w:r>
    </w:p>
    <w:tbl>
      <w:tblPr>
        <w:tblW w:w="6373" w:type="dxa"/>
        <w:jc w:val="left"/>
        <w:tblInd w:w="0" w:type="dxa"/>
        <w:tblLayout w:type="fixed"/>
        <w:tblCellMar>
          <w:top w:w="0" w:type="dxa"/>
          <w:left w:w="0" w:type="dxa"/>
          <w:bottom w:w="28" w:type="dxa"/>
          <w:right w:w="0" w:type="dxa"/>
        </w:tblCellMar>
      </w:tblPr>
      <w:tblGrid>
        <w:gridCol w:w="3290"/>
        <w:gridCol w:w="60"/>
        <w:gridCol w:w="242"/>
        <w:gridCol w:w="947"/>
        <w:gridCol w:w="60"/>
        <w:gridCol w:w="60"/>
        <w:gridCol w:w="286"/>
        <w:gridCol w:w="1353"/>
        <w:gridCol w:w="75"/>
      </w:tblGrid>
      <w:tr>
        <w:trPr/>
        <w:tc>
          <w:tcPr>
            <w:tcW w:w="329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millions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27, 2026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27, 2025</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 w:type="dxa"/>
            <w:tcBorders/>
            <w:shd w:fill="CCEEFF" w:val="clear"/>
            <w:tcMar>
              <w:bottom w:w="0" w:type="dxa"/>
            </w:tcMar>
            <w:vAlign w:val="center"/>
          </w:tcPr>
          <w:p>
            <w:pPr>
              <w:pStyle w:val="TableContents"/>
              <w:bidi w:val="0"/>
              <w:spacing w:before="0" w:after="283"/>
              <w:jc w:val="left"/>
              <w:rPr/>
            </w:pPr>
            <w:r>
              <w:rPr/>
              <w:t> </w:t>
            </w:r>
          </w:p>
        </w:tc>
        <w:tc>
          <w:tcPr>
            <w:tcW w:w="94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6" w:type="dxa"/>
            <w:tcBorders/>
            <w:shd w:fill="CCEEFF" w:val="clear"/>
            <w:tcMar>
              <w:bottom w:w="0" w:type="dxa"/>
            </w:tcMar>
            <w:vAlign w:val="center"/>
          </w:tcPr>
          <w:p>
            <w:pPr>
              <w:pStyle w:val="TableContents"/>
              <w:bidi w:val="0"/>
              <w:spacing w:before="0" w:after="283"/>
              <w:jc w:val="left"/>
              <w:rPr/>
            </w:pPr>
            <w:r>
              <w:rPr/>
              <w:t> </w:t>
            </w:r>
          </w:p>
        </w:tc>
        <w:tc>
          <w:tcPr>
            <w:tcW w:w="1353"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2" w:type="dxa"/>
            <w:tcBorders/>
            <w:shd w:fill="FFFFFF" w:val="clear"/>
            <w:tcMar>
              <w:bottom w:w="0" w:type="dxa"/>
            </w:tcMar>
            <w:vAlign w:val="center"/>
          </w:tcPr>
          <w:p>
            <w:pPr>
              <w:pStyle w:val="TableContents"/>
              <w:bidi w:val="0"/>
              <w:spacing w:before="0" w:after="283"/>
              <w:jc w:val="left"/>
              <w:rPr/>
            </w:pPr>
            <w:r>
              <w:rPr/>
              <w:t> </w:t>
            </w:r>
          </w:p>
        </w:tc>
        <w:tc>
          <w:tcPr>
            <w:tcW w:w="94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6" w:type="dxa"/>
            <w:tcBorders/>
            <w:shd w:fill="FFFFFF" w:val="clear"/>
            <w:tcMar>
              <w:bottom w:w="0" w:type="dxa"/>
            </w:tcMar>
            <w:vAlign w:val="center"/>
          </w:tcPr>
          <w:p>
            <w:pPr>
              <w:pStyle w:val="TableContents"/>
              <w:bidi w:val="0"/>
              <w:spacing w:before="0" w:after="283"/>
              <w:jc w:val="left"/>
              <w:rPr/>
            </w:pPr>
            <w:r>
              <w:rPr/>
              <w:t> </w:t>
            </w:r>
          </w:p>
        </w:tc>
        <w:tc>
          <w:tcPr>
            <w:tcW w:w="1353"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2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1,836</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Marketable securities and deposits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5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accounts receivable, net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5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5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assets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2"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6"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3"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assets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2,081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53"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2,478</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 w:type="dxa"/>
            <w:tcBorders/>
            <w:shd w:fill="CCEEFF" w:val="clear"/>
            <w:tcMar>
              <w:bottom w:w="0" w:type="dxa"/>
            </w:tcMar>
            <w:vAlign w:val="center"/>
          </w:tcPr>
          <w:p>
            <w:pPr>
              <w:pStyle w:val="TableContents"/>
              <w:bidi w:val="0"/>
              <w:spacing w:before="0" w:after="283"/>
              <w:jc w:val="left"/>
              <w:rPr/>
            </w:pPr>
            <w:r>
              <w:rPr/>
              <w:t> </w:t>
            </w:r>
          </w:p>
        </w:tc>
        <w:tc>
          <w:tcPr>
            <w:tcW w:w="94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6" w:type="dxa"/>
            <w:tcBorders/>
            <w:shd w:fill="CCEEFF" w:val="clear"/>
            <w:tcMar>
              <w:bottom w:w="0" w:type="dxa"/>
            </w:tcMar>
            <w:vAlign w:val="center"/>
          </w:tcPr>
          <w:p>
            <w:pPr>
              <w:pStyle w:val="TableContents"/>
              <w:bidi w:val="0"/>
              <w:spacing w:before="0" w:after="283"/>
              <w:jc w:val="left"/>
              <w:rPr/>
            </w:pPr>
            <w:r>
              <w:rPr/>
              <w:t> </w:t>
            </w:r>
          </w:p>
        </w:tc>
        <w:tc>
          <w:tcPr>
            <w:tcW w:w="1353"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5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473</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5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1,166</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4,911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5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long-term assets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2"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6"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3"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assets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2"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6,757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6"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3"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10,014</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2"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47"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8,838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6"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353"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12,492</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2" w:type="dxa"/>
            <w:tcBorders/>
            <w:shd w:fill="FFFFFF" w:val="clear"/>
            <w:tcMar>
              <w:bottom w:w="0" w:type="dxa"/>
            </w:tcMar>
            <w:vAlign w:val="center"/>
          </w:tcPr>
          <w:p>
            <w:pPr>
              <w:pStyle w:val="TableContents"/>
              <w:bidi w:val="0"/>
              <w:spacing w:before="0" w:after="283"/>
              <w:jc w:val="left"/>
              <w:rPr/>
            </w:pPr>
            <w:r>
              <w:rPr/>
              <w:t> </w:t>
            </w:r>
          </w:p>
        </w:tc>
        <w:tc>
          <w:tcPr>
            <w:tcW w:w="94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6" w:type="dxa"/>
            <w:tcBorders/>
            <w:shd w:fill="FFFFFF" w:val="clear"/>
            <w:tcMar>
              <w:bottom w:w="0" w:type="dxa"/>
            </w:tcMar>
            <w:vAlign w:val="center"/>
          </w:tcPr>
          <w:p>
            <w:pPr>
              <w:pStyle w:val="TableContents"/>
              <w:bidi w:val="0"/>
              <w:spacing w:before="0" w:after="283"/>
              <w:jc w:val="left"/>
              <w:rPr/>
            </w:pPr>
            <w:r>
              <w:rPr/>
              <w:t> </w:t>
            </w:r>
          </w:p>
        </w:tc>
        <w:tc>
          <w:tcPr>
            <w:tcW w:w="1353"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2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 w:type="dxa"/>
            <w:tcBorders/>
            <w:shd w:fill="CCEEFF" w:val="clear"/>
            <w:tcMar>
              <w:bottom w:w="0" w:type="dxa"/>
            </w:tcMar>
            <w:vAlign w:val="center"/>
          </w:tcPr>
          <w:p>
            <w:pPr>
              <w:pStyle w:val="TableContents"/>
              <w:bidi w:val="0"/>
              <w:spacing w:before="0" w:after="283"/>
              <w:jc w:val="left"/>
              <w:rPr/>
            </w:pPr>
            <w:r>
              <w:rPr/>
              <w:t> </w:t>
            </w:r>
          </w:p>
        </w:tc>
        <w:tc>
          <w:tcPr>
            <w:tcW w:w="94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6" w:type="dxa"/>
            <w:tcBorders/>
            <w:shd w:fill="CCEEFF" w:val="clear"/>
            <w:tcMar>
              <w:bottom w:w="0" w:type="dxa"/>
            </w:tcMar>
            <w:vAlign w:val="center"/>
          </w:tcPr>
          <w:p>
            <w:pPr>
              <w:pStyle w:val="TableContents"/>
              <w:bidi w:val="0"/>
              <w:spacing w:before="0" w:after="283"/>
              <w:jc w:val="left"/>
              <w:rPr/>
            </w:pPr>
            <w:r>
              <w:rPr/>
              <w:t> </w:t>
            </w:r>
          </w:p>
        </w:tc>
        <w:tc>
          <w:tcPr>
            <w:tcW w:w="1353"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accrued expenses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related accrued expenses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5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party payable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5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liabilities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2"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6"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3"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liabilities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53"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406</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 w:type="dxa"/>
            <w:tcBorders/>
            <w:shd w:fill="CCEEFF" w:val="clear"/>
            <w:tcMar>
              <w:bottom w:w="0" w:type="dxa"/>
            </w:tcMar>
            <w:vAlign w:val="center"/>
          </w:tcPr>
          <w:p>
            <w:pPr>
              <w:pStyle w:val="TableContents"/>
              <w:bidi w:val="0"/>
              <w:spacing w:before="0" w:after="283"/>
              <w:jc w:val="left"/>
              <w:rPr/>
            </w:pPr>
            <w:r>
              <w:rPr/>
              <w:t> </w:t>
            </w:r>
          </w:p>
        </w:tc>
        <w:tc>
          <w:tcPr>
            <w:tcW w:w="94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6" w:type="dxa"/>
            <w:tcBorders/>
            <w:shd w:fill="CCEEFF" w:val="clear"/>
            <w:tcMar>
              <w:bottom w:w="0" w:type="dxa"/>
            </w:tcMar>
            <w:vAlign w:val="center"/>
          </w:tcPr>
          <w:p>
            <w:pPr>
              <w:pStyle w:val="TableContents"/>
              <w:bidi w:val="0"/>
              <w:spacing w:before="0" w:after="283"/>
              <w:jc w:val="left"/>
              <w:rPr/>
            </w:pPr>
            <w:r>
              <w:rPr/>
              <w:t> </w:t>
            </w:r>
          </w:p>
        </w:tc>
        <w:tc>
          <w:tcPr>
            <w:tcW w:w="1353"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employee benefits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5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5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long-term liabilities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2"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6"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3"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liabilities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2"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6"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3"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205</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2"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47"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6"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353"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611</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EQUITY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2"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8,210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6"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3"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11,881</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EQUITY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2"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47"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8,838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6"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353"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12,492</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Mobileye Global Inc.</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Condensed Consolidated Cash Flows (unaudited)</w:t>
      </w:r>
    </w:p>
    <w:p>
      <w:pPr>
        <w:pStyle w:val="TextBody"/>
        <w:bidi w:val="0"/>
        <w:spacing w:before="0" w:after="0"/>
        <w:ind w:left="0" w:right="0" w:hanging="0"/>
        <w:jc w:val="left"/>
        <w:rPr>
          <w:caps w:val="false"/>
          <w:smallCaps w:val="false"/>
        </w:rPr>
      </w:pPr>
      <w:r>
        <w:rPr>
          <w:caps w:val="false"/>
          <w:smallCaps w:val="false"/>
        </w:rPr>
        <w:t> </w:t>
      </w:r>
    </w:p>
    <w:tbl>
      <w:tblPr>
        <w:tblW w:w="9965" w:type="dxa"/>
        <w:jc w:val="left"/>
        <w:tblInd w:w="0" w:type="dxa"/>
        <w:tblLayout w:type="fixed"/>
        <w:tblCellMar>
          <w:top w:w="0" w:type="dxa"/>
          <w:left w:w="0" w:type="dxa"/>
          <w:bottom w:w="0" w:type="dxa"/>
          <w:right w:w="0" w:type="dxa"/>
        </w:tblCellMar>
      </w:tblPr>
      <w:tblGrid>
        <w:gridCol w:w="7280"/>
        <w:gridCol w:w="60"/>
        <w:gridCol w:w="221"/>
        <w:gridCol w:w="968"/>
        <w:gridCol w:w="87"/>
        <w:gridCol w:w="65"/>
        <w:gridCol w:w="242"/>
        <w:gridCol w:w="947"/>
        <w:gridCol w:w="95"/>
      </w:tblGrid>
      <w:tr>
        <w:trPr/>
        <w:tc>
          <w:tcPr>
            <w:tcW w:w="7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3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millions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27, 2026</w:t>
            </w:r>
          </w:p>
        </w:tc>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28, 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(3,839</w:t>
            </w:r>
          </w:p>
        </w:tc>
        <w:tc>
          <w:tcPr>
            <w:tcW w:w="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2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Adjustments to reconcile net income (loss)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of property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impairment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3,788</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rate differences on 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2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(Gains) losses on equity and debt investments,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2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2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(increase) in trade accounts receivable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(increase) in 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(increase) in inventories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(increase) in other long-term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2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(decrease) in accounts payable, accrued expenses and related party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(decrease) in employee-related accrued expenses and long-term benefits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(decrease) in other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(decrease) in other long-term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provided by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210</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2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of property and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of debt and equity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c>
          <w:tcPr>
            <w:tcW w:w="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2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Maturities and sales of debt and equity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for acquisition of Mentee Robotics, net of cash acquired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(591</w:t>
            </w:r>
          </w:p>
        </w:tc>
        <w:tc>
          <w:tcPr>
            <w:tcW w:w="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7"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(719</w:t>
            </w:r>
          </w:p>
        </w:tc>
        <w:tc>
          <w:tcPr>
            <w:tcW w:w="8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72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2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Repurchase of 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7"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w:t>
            </w:r>
          </w:p>
        </w:tc>
        <w:tc>
          <w:tcPr>
            <w:tcW w:w="8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7"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foreign exchange rate changes on 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(decrease)  in cash, cash equivalents and 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(524</w:t>
            </w:r>
          </w:p>
        </w:tc>
        <w:tc>
          <w:tcPr>
            <w:tcW w:w="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of cash, cash equivalents and restricted cash, at beginning of year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1,860</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of cash, cash equivalents and restricted cash, at end of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1,336</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4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1,729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Mobileye Global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Reconciliation of GAAP Gross Profit and Margin to Non-GAAP Adjusted Gross Profit and Margin</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37"/>
        <w:gridCol w:w="60"/>
        <w:gridCol w:w="184"/>
        <w:gridCol w:w="496"/>
        <w:gridCol w:w="71"/>
        <w:gridCol w:w="71"/>
        <w:gridCol w:w="138"/>
        <w:gridCol w:w="602"/>
        <w:gridCol w:w="215"/>
        <w:gridCol w:w="60"/>
        <w:gridCol w:w="184"/>
        <w:gridCol w:w="496"/>
        <w:gridCol w:w="71"/>
        <w:gridCol w:w="71"/>
        <w:gridCol w:w="138"/>
        <w:gridCol w:w="602"/>
        <w:gridCol w:w="215"/>
        <w:gridCol w:w="60"/>
        <w:gridCol w:w="184"/>
        <w:gridCol w:w="496"/>
        <w:gridCol w:w="71"/>
        <w:gridCol w:w="71"/>
        <w:gridCol w:w="138"/>
        <w:gridCol w:w="602"/>
        <w:gridCol w:w="215"/>
        <w:gridCol w:w="60"/>
        <w:gridCol w:w="184"/>
        <w:gridCol w:w="496"/>
        <w:gridCol w:w="71"/>
        <w:gridCol w:w="71"/>
        <w:gridCol w:w="138"/>
        <w:gridCol w:w="602"/>
        <w:gridCol w:w="235"/>
      </w:tblGrid>
      <w:tr>
        <w:trPr/>
        <w:tc>
          <w:tcPr>
            <w:tcW w:w="28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99"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99"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2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3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millions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27, 2026</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28, 2025</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27, 2026</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28, 2025</w:t>
            </w:r>
          </w:p>
        </w:tc>
        <w:tc>
          <w:tcPr>
            <w:tcW w:w="2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of</w:t>
              <w:br/>
              <w:t>Revenue</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of</w:t>
              <w:br/>
              <w:t>Revenue</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of</w:t>
              <w:br/>
              <w:t>Revenue</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of</w:t>
              <w:br/>
              <w:t>Revenue</w:t>
            </w:r>
          </w:p>
        </w:tc>
        <w:tc>
          <w:tcPr>
            <w:tcW w:w="2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and Margin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459</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3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Amortization of acquired 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Share-based compensation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2"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2"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2"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2"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3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Gross Profit and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9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333</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66</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9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347</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69</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9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703</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66</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9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648</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69</w:t>
            </w:r>
          </w:p>
        </w:tc>
        <w:tc>
          <w:tcPr>
            <w:tcW w:w="2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Adjusted Gross Margin is calculated as Adjusted Gross Profit as a percentage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Mobileye Global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Reconciliation of GAAP Operating Income (Loss) and Margin to Non-GAAP Adjusted Operating Income and Margin</w:t>
      </w:r>
      <w:r>
        <w:rPr>
          <w:rFonts w:ascii="Times New Roman;Times;Serif" w:hAnsi="Times New Roman;Times;Serif"/>
          <w:b w:val="false"/>
          <w:i w:val="false"/>
          <w:caps w:val="false"/>
          <w:smallCaps w:val="false"/>
          <w:color w:val="101820"/>
          <w:position w:val="7"/>
          <w:sz w:val="16"/>
          <w:sz w:val="20"/>
        </w:rPr>
        <w:t>3</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78"/>
        <w:gridCol w:w="60"/>
        <w:gridCol w:w="184"/>
        <w:gridCol w:w="496"/>
        <w:gridCol w:w="87"/>
        <w:gridCol w:w="65"/>
        <w:gridCol w:w="138"/>
        <w:gridCol w:w="602"/>
        <w:gridCol w:w="224"/>
        <w:gridCol w:w="60"/>
        <w:gridCol w:w="184"/>
        <w:gridCol w:w="496"/>
        <w:gridCol w:w="86"/>
        <w:gridCol w:w="64"/>
        <w:gridCol w:w="126"/>
        <w:gridCol w:w="614"/>
        <w:gridCol w:w="224"/>
        <w:gridCol w:w="60"/>
        <w:gridCol w:w="126"/>
        <w:gridCol w:w="554"/>
        <w:gridCol w:w="80"/>
        <w:gridCol w:w="60"/>
        <w:gridCol w:w="97"/>
        <w:gridCol w:w="643"/>
        <w:gridCol w:w="224"/>
        <w:gridCol w:w="60"/>
        <w:gridCol w:w="163"/>
        <w:gridCol w:w="517"/>
        <w:gridCol w:w="84"/>
        <w:gridCol w:w="63"/>
        <w:gridCol w:w="126"/>
        <w:gridCol w:w="614"/>
        <w:gridCol w:w="246"/>
      </w:tblGrid>
      <w:tr>
        <w:trPr/>
        <w:tc>
          <w:tcPr>
            <w:tcW w:w="27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426"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22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411"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24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7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millions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7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27, 2026</w:t>
            </w:r>
          </w:p>
        </w:tc>
        <w:tc>
          <w:tcPr>
            <w:tcW w:w="22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28, 2025</w:t>
            </w:r>
          </w:p>
        </w:tc>
        <w:tc>
          <w:tcPr>
            <w:tcW w:w="22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27, 2026</w:t>
            </w:r>
          </w:p>
        </w:tc>
        <w:tc>
          <w:tcPr>
            <w:tcW w:w="22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28, 2025</w:t>
            </w:r>
          </w:p>
        </w:tc>
        <w:tc>
          <w:tcPr>
            <w:tcW w:w="24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w:t>
            </w:r>
          </w:p>
        </w:tc>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of</w:t>
              <w:br/>
              <w:t>Revenue</w:t>
            </w:r>
          </w:p>
        </w:tc>
        <w:tc>
          <w:tcPr>
            <w:tcW w:w="22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64"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of</w:t>
              <w:br/>
              <w:t>Revenue</w:t>
            </w:r>
          </w:p>
        </w:tc>
        <w:tc>
          <w:tcPr>
            <w:tcW w:w="22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of</w:t>
              <w:br/>
              <w:t>Revenue</w:t>
            </w:r>
          </w:p>
        </w:tc>
        <w:tc>
          <w:tcPr>
            <w:tcW w:w="22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w:t>
            </w:r>
          </w:p>
        </w:tc>
        <w:tc>
          <w:tcPr>
            <w:tcW w:w="84" w:type="dxa"/>
            <w:tcBorders/>
            <w:vAlign w:val="center"/>
          </w:tcPr>
          <w:p>
            <w:pPr>
              <w:pStyle w:val="TableContents"/>
              <w:bidi w:val="0"/>
              <w:spacing w:before="0" w:after="283"/>
              <w:jc w:val="left"/>
              <w:rPr>
                <w:caps w:val="false"/>
                <w:smallCaps w:val="false"/>
              </w:rPr>
            </w:pPr>
            <w:r>
              <w:rPr>
                <w:caps w:val="false"/>
                <w:smallCaps w:val="false"/>
              </w:rPr>
              <w:t> </w:t>
            </w:r>
          </w:p>
        </w:tc>
        <w:tc>
          <w:tcPr>
            <w:tcW w:w="63"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of</w:t>
              <w:br/>
              <w:t>Revenue</w:t>
            </w:r>
          </w:p>
        </w:tc>
        <w:tc>
          <w:tcPr>
            <w:tcW w:w="24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 (Loss) and Operating Margin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2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c>
          <w:tcPr>
            <w:tcW w:w="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2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(3,926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w:t>
            </w:r>
          </w:p>
        </w:tc>
        <w:tc>
          <w:tcPr>
            <w:tcW w:w="2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w:t>
            </w:r>
          </w:p>
        </w:tc>
        <w:tc>
          <w:tcPr>
            <w:tcW w:w="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2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Amortization of acquired 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2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2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2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2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Share-based compensation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2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2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2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2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R&amp;D Law incentive grant related to ordinary income from sold RSUs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2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Acquisition related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Goodwill impairment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6"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2"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2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6"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4"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2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5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w:t>
            </w:r>
          </w:p>
        </w:tc>
        <w:tc>
          <w:tcPr>
            <w:tcW w:w="2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7"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4"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2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7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Operating Income (Loss) and Margin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155</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w:t>
            </w:r>
          </w:p>
        </w:tc>
        <w:tc>
          <w:tcPr>
            <w:tcW w:w="22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106</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w:t>
            </w:r>
          </w:p>
        </w:tc>
        <w:tc>
          <w:tcPr>
            <w:tcW w:w="22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5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w:t>
            </w:r>
          </w:p>
        </w:tc>
        <w:tc>
          <w:tcPr>
            <w:tcW w:w="22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1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165</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w:t>
            </w:r>
          </w:p>
        </w:tc>
        <w:tc>
          <w:tcPr>
            <w:tcW w:w="24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7"/>
        </w:rPr>
      </w:pPr>
      <w:r>
        <w:rPr>
          <w:rFonts w:ascii="Times New Roman;Times;Serif" w:hAnsi="Times New Roman;Times;Serif"/>
          <w:b w:val="false"/>
          <w:i w:val="false"/>
          <w:caps w:val="false"/>
          <w:smallCaps w:val="false"/>
          <w:color w:val="101820"/>
          <w:position w:val="7"/>
          <w:sz w:val="16"/>
          <w:sz w:val="20"/>
        </w:rPr>
        <w:t>3</w:t>
      </w:r>
      <w:r>
        <w:rPr>
          <w:rFonts w:ascii="Times New Roman;Times;Serif" w:hAnsi="Times New Roman;Times;Serif"/>
          <w:b w:val="false"/>
          <w:i w:val="false"/>
          <w:caps w:val="false"/>
          <w:smallCaps w:val="false"/>
          <w:sz w:val="20"/>
        </w:rPr>
        <w:t>Adjusted Operating Margin is calculated as Adjusted Operating Income (Loss) as a percentage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Mobileye Global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Reconciliation of GAAP Net Income (Loss) to Non-GAAP Adjusted Net Income (unaudited)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78"/>
        <w:gridCol w:w="60"/>
        <w:gridCol w:w="184"/>
        <w:gridCol w:w="496"/>
        <w:gridCol w:w="87"/>
        <w:gridCol w:w="65"/>
        <w:gridCol w:w="138"/>
        <w:gridCol w:w="602"/>
        <w:gridCol w:w="224"/>
        <w:gridCol w:w="60"/>
        <w:gridCol w:w="184"/>
        <w:gridCol w:w="496"/>
        <w:gridCol w:w="86"/>
        <w:gridCol w:w="64"/>
        <w:gridCol w:w="126"/>
        <w:gridCol w:w="614"/>
        <w:gridCol w:w="224"/>
        <w:gridCol w:w="60"/>
        <w:gridCol w:w="126"/>
        <w:gridCol w:w="554"/>
        <w:gridCol w:w="80"/>
        <w:gridCol w:w="60"/>
        <w:gridCol w:w="97"/>
        <w:gridCol w:w="643"/>
        <w:gridCol w:w="224"/>
        <w:gridCol w:w="60"/>
        <w:gridCol w:w="163"/>
        <w:gridCol w:w="517"/>
        <w:gridCol w:w="84"/>
        <w:gridCol w:w="63"/>
        <w:gridCol w:w="126"/>
        <w:gridCol w:w="614"/>
        <w:gridCol w:w="246"/>
      </w:tblGrid>
      <w:tr>
        <w:trPr/>
        <w:tc>
          <w:tcPr>
            <w:tcW w:w="27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426"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22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411"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24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7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millions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7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27, 2026</w:t>
            </w:r>
          </w:p>
        </w:tc>
        <w:tc>
          <w:tcPr>
            <w:tcW w:w="22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28, 2025</w:t>
            </w:r>
          </w:p>
        </w:tc>
        <w:tc>
          <w:tcPr>
            <w:tcW w:w="22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27, 2026</w:t>
            </w:r>
          </w:p>
        </w:tc>
        <w:tc>
          <w:tcPr>
            <w:tcW w:w="22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28, 2025</w:t>
            </w:r>
          </w:p>
        </w:tc>
        <w:tc>
          <w:tcPr>
            <w:tcW w:w="24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w:t>
            </w:r>
          </w:p>
        </w:tc>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of</w:t>
              <w:br/>
              <w:t>Revenue</w:t>
            </w:r>
          </w:p>
        </w:tc>
        <w:tc>
          <w:tcPr>
            <w:tcW w:w="22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64"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of</w:t>
              <w:br/>
              <w:t>Revenue</w:t>
            </w:r>
          </w:p>
        </w:tc>
        <w:tc>
          <w:tcPr>
            <w:tcW w:w="22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of</w:t>
              <w:br/>
              <w:t>Revenue</w:t>
            </w:r>
          </w:p>
        </w:tc>
        <w:tc>
          <w:tcPr>
            <w:tcW w:w="22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w:t>
            </w:r>
          </w:p>
        </w:tc>
        <w:tc>
          <w:tcPr>
            <w:tcW w:w="84" w:type="dxa"/>
            <w:tcBorders/>
            <w:vAlign w:val="center"/>
          </w:tcPr>
          <w:p>
            <w:pPr>
              <w:pStyle w:val="TableContents"/>
              <w:bidi w:val="0"/>
              <w:spacing w:before="0" w:after="283"/>
              <w:jc w:val="left"/>
              <w:rPr>
                <w:caps w:val="false"/>
                <w:smallCaps w:val="false"/>
              </w:rPr>
            </w:pPr>
            <w:r>
              <w:rPr>
                <w:caps w:val="false"/>
                <w:smallCaps w:val="false"/>
              </w:rPr>
              <w:t> </w:t>
            </w:r>
          </w:p>
        </w:tc>
        <w:tc>
          <w:tcPr>
            <w:tcW w:w="63"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of</w:t>
              <w:br/>
              <w:t>Revenue</w:t>
            </w:r>
          </w:p>
        </w:tc>
        <w:tc>
          <w:tcPr>
            <w:tcW w:w="24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2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2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w:t>
            </w:r>
          </w:p>
        </w:tc>
        <w:tc>
          <w:tcPr>
            <w:tcW w:w="2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w:t>
            </w:r>
          </w:p>
        </w:tc>
        <w:tc>
          <w:tcPr>
            <w:tcW w:w="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2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Amortization of acquired 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2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2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2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2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Share-based compensation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2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2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2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2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R&amp;D Law incentive grant related to ordinary income from sold RSUs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2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Acquisition related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Goodwill impairment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w:t>
            </w:r>
          </w:p>
        </w:tc>
        <w:tc>
          <w:tcPr>
            <w:tcW w:w="2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Income tax effects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5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2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7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Net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9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155</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w:t>
            </w:r>
          </w:p>
        </w:tc>
        <w:tc>
          <w:tcPr>
            <w:tcW w:w="22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9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102</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c>
          <w:tcPr>
            <w:tcW w:w="22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5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w:t>
            </w:r>
          </w:p>
        </w:tc>
        <w:tc>
          <w:tcPr>
            <w:tcW w:w="22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1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165</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w:t>
            </w:r>
          </w:p>
        </w:tc>
        <w:tc>
          <w:tcPr>
            <w:tcW w:w="24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Supplemental Information - Average System Price (unaudited)</w:t>
      </w:r>
      <w:r>
        <w:rPr>
          <w:rFonts w:ascii="Times New Roman;Times;Serif" w:hAnsi="Times New Roman;Times;Serif"/>
          <w:b w:val="false"/>
          <w:i w:val="false"/>
          <w:caps w:val="false"/>
          <w:smallCaps w:val="false"/>
          <w:position w:val="7"/>
          <w:sz w:val="16"/>
          <w:sz w:val="20"/>
        </w:rPr>
        <w:t>4</w:t>
      </w:r>
    </w:p>
    <w:p>
      <w:pPr>
        <w:pStyle w:val="TextBody"/>
        <w:bidi w:val="0"/>
        <w:spacing w:before="0" w:after="0"/>
        <w:ind w:left="0" w:right="0" w:hanging="0"/>
        <w:jc w:val="left"/>
        <w:rPr>
          <w:caps w:val="false"/>
          <w:smallCaps w:val="false"/>
        </w:rPr>
      </w:pPr>
      <w:r>
        <w:rPr>
          <w:caps w:val="false"/>
          <w:smallCaps w:val="false"/>
        </w:rPr>
        <w:t> </w:t>
      </w:r>
    </w:p>
    <w:tbl>
      <w:tblPr>
        <w:tblW w:w="8905" w:type="dxa"/>
        <w:jc w:val="left"/>
        <w:tblInd w:w="0" w:type="dxa"/>
        <w:tblLayout w:type="fixed"/>
        <w:tblCellMar>
          <w:top w:w="0" w:type="dxa"/>
          <w:left w:w="0" w:type="dxa"/>
          <w:bottom w:w="0" w:type="dxa"/>
          <w:right w:w="0" w:type="dxa"/>
        </w:tblCellMar>
      </w:tblPr>
      <w:tblGrid>
        <w:gridCol w:w="4595"/>
        <w:gridCol w:w="60"/>
        <w:gridCol w:w="183"/>
        <w:gridCol w:w="556"/>
        <w:gridCol w:w="60"/>
        <w:gridCol w:w="60"/>
        <w:gridCol w:w="183"/>
        <w:gridCol w:w="556"/>
        <w:gridCol w:w="60"/>
        <w:gridCol w:w="60"/>
        <w:gridCol w:w="183"/>
        <w:gridCol w:w="556"/>
        <w:gridCol w:w="60"/>
        <w:gridCol w:w="60"/>
        <w:gridCol w:w="183"/>
        <w:gridCol w:w="556"/>
        <w:gridCol w:w="60"/>
        <w:gridCol w:w="60"/>
        <w:gridCol w:w="183"/>
        <w:gridCol w:w="556"/>
        <w:gridCol w:w="75"/>
      </w:tblGrid>
      <w:tr>
        <w:trPr/>
        <w:tc>
          <w:tcPr>
            <w:tcW w:w="4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Q3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Q4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Q1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EyeQ and SuperVision revenue (U.S. dollars in millions)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systems shipped (in millions)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system price (U.S. dollars)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color w:val="101820"/>
          <w:sz w:val="20"/>
        </w:rPr>
        <w:t>Average System Price is calculated as the sum of revenue related to EyeQ</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01820"/>
          <w:sz w:val="20"/>
        </w:rPr>
        <w:t>and SuperVision systems, divided by the number of systems shipped.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101820"/>
          <w:sz w:val="20"/>
        </w:rPr>
      </w:pPr>
      <w:r>
        <w:rPr>
          <w:rFonts w:ascii="Times New Roman;Times;Serif" w:hAnsi="Times New Roman;Times;Serif"/>
          <w:b/>
          <w:i w:val="false"/>
          <w:caps w:val="false"/>
          <w:smallCaps w:val="false"/>
          <w:color w:val="101820"/>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101820"/>
          <w:sz w:val="20"/>
        </w:rPr>
      </w:pPr>
      <w:r>
        <w:rPr>
          <w:rFonts w:ascii="Times New Roman;Times;Serif" w:hAnsi="Times New Roman;Times;Serif"/>
          <w:b w:val="false"/>
          <w:i w:val="false"/>
          <w:caps w:val="false"/>
          <w:smallCaps w:val="false"/>
          <w:color w:val="101820"/>
          <w:sz w:val="20"/>
        </w:rPr>
        <w:t>Dan Galves</w:t>
      </w:r>
    </w:p>
    <w:p>
      <w:pPr>
        <w:pStyle w:val="TextBody"/>
        <w:bidi w:val="0"/>
        <w:spacing w:before="0" w:after="0"/>
        <w:ind w:left="0" w:right="0" w:hanging="0"/>
        <w:jc w:val="left"/>
        <w:rPr>
          <w:rFonts w:ascii="Times New Roman;Times;Serif" w:hAnsi="Times New Roman;Times;Serif"/>
          <w:b w:val="false"/>
          <w:i w:val="false"/>
          <w:caps w:val="false"/>
          <w:smallCaps w:val="false"/>
          <w:color w:val="101820"/>
          <w:sz w:val="20"/>
        </w:rPr>
      </w:pPr>
      <w:r>
        <w:rPr>
          <w:rFonts w:ascii="Times New Roman;Times;Serif" w:hAnsi="Times New Roman;Times;Serif"/>
          <w:b w:val="false"/>
          <w:i w:val="false"/>
          <w:caps w:val="false"/>
          <w:smallCaps w:val="false"/>
          <w:color w:val="101820"/>
          <w:sz w:val="20"/>
        </w:rPr>
        <w:t>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investors@mobileye.com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101820"/>
          <w:sz w:val="20"/>
        </w:rPr>
      </w:pPr>
      <w:r>
        <w:rPr>
          <w:rFonts w:ascii="Times New Roman;Times;Serif" w:hAnsi="Times New Roman;Times;Serif"/>
          <w:b w:val="false"/>
          <w:i w:val="false"/>
          <w:caps w:val="false"/>
          <w:smallCaps w:val="false"/>
          <w:color w:val="101820"/>
          <w:sz w:val="20"/>
        </w:rPr>
        <w:t>Justin Hyde</w:t>
      </w:r>
    </w:p>
    <w:p>
      <w:pPr>
        <w:pStyle w:val="TextBody"/>
        <w:bidi w:val="0"/>
        <w:spacing w:before="0" w:after="0"/>
        <w:ind w:left="0" w:right="0" w:hanging="0"/>
        <w:jc w:val="left"/>
        <w:rPr>
          <w:rFonts w:ascii="Times New Roman;Times;Serif" w:hAnsi="Times New Roman;Times;Serif"/>
          <w:b w:val="false"/>
          <w:i w:val="false"/>
          <w:caps w:val="false"/>
          <w:smallCaps w:val="false"/>
          <w:color w:val="101820"/>
          <w:sz w:val="20"/>
        </w:rPr>
      </w:pPr>
      <w:r>
        <w:rPr>
          <w:rFonts w:ascii="Times New Roman;Times;Serif" w:hAnsi="Times New Roman;Times;Serif"/>
          <w:b w:val="false"/>
          <w:i w:val="false"/>
          <w:caps w:val="false"/>
          <w:smallCaps w:val="false"/>
          <w:color w:val="101820"/>
          <w:sz w:val="20"/>
        </w:rPr>
        <w:t>Media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justin.hyde@mobileye.com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4860</Words>
  <Characters>26007</Characters>
  <CharactersWithSpaces>31321</CharactersWithSpaces>
  <Paragraphs>2418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