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001-41541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80" w:type="dxa"/>
            <w:vAlign w:val="bottom"/>
          </w:tcPr>
          <w:p>
            <w:pPr>
              <w:spacing w:after="0"/>
              <w:rPr>
                <w:sz w:val="24"/>
                <w:szCs w:val="24"/>
                <w:color w:val="auto"/>
              </w:rPr>
            </w:pPr>
          </w:p>
        </w:tc>
        <w:tc>
          <w:tcPr>
            <w:tcW w:w="442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2700" w:type="dxa"/>
            <w:vAlign w:val="bottom"/>
          </w:tcPr>
          <w:p>
            <w:pPr>
              <w:spacing w:after="0"/>
              <w:rPr>
                <w:sz w:val="24"/>
                <w:szCs w:val="24"/>
                <w:color w:val="auto"/>
              </w:rPr>
            </w:pPr>
          </w:p>
        </w:tc>
      </w:tr>
      <w:tr>
        <w:trPr>
          <w:trHeight w:val="216"/>
        </w:trPr>
        <w:tc>
          <w:tcPr>
            <w:tcW w:w="67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Har Hotzvim, 1 Shlomo Momo HaLevi Street</w:t>
            </w:r>
          </w:p>
        </w:tc>
        <w:tc>
          <w:tcPr>
            <w:tcW w:w="27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42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9"/>
              </w:rPr>
              <w:t>Jerusalem, Israel</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9777015</w:t>
            </w:r>
          </w:p>
        </w:tc>
      </w:tr>
      <w:tr>
        <w:trPr>
          <w:trHeight w:val="238"/>
        </w:trPr>
        <w:tc>
          <w:tcPr>
            <w:tcW w:w="67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940" w:type="dxa"/>
            <w:vAlign w:val="bottom"/>
            <w:tcBorders>
              <w:top w:val="single" w:sz="8" w:color="auto"/>
              <w:left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spacing w:after="0"/>
              <w:rPr>
                <w:sz w:val="18"/>
                <w:szCs w:val="18"/>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April 23, 2026 Mobileye Global Inc. issued a press release announcing its financial results for the quarter ended March 28, 2026.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440" w:type="dxa"/>
            <w:vAlign w:val="bottom"/>
          </w:tcPr>
          <w:p>
            <w:pPr>
              <w:spacing w:after="0"/>
              <w:rPr>
                <w:sz w:val="20"/>
                <w:szCs w:val="20"/>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issued by Mobileye Global Inc. on April 23,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8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Moran Shemesh Rojansky</w:t>
            </w: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Releases First Quarter 2026 Results, Updates Full-Year Outlook, and Announces a $250 Million Share Repurchase Program</w:t>
      </w:r>
    </w:p>
    <w:p>
      <w:pPr>
        <w:spacing w:after="0" w:line="229" w:lineRule="exact"/>
        <w:rPr>
          <w:sz w:val="20"/>
          <w:szCs w:val="20"/>
          <w:color w:val="auto"/>
        </w:rPr>
      </w:pPr>
    </w:p>
    <w:p>
      <w:pPr>
        <w:ind w:left="660" w:hanging="328"/>
        <w:spacing w:after="0" w:line="260"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Revenue of $558 million in the first quarter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101820"/>
        </w:rPr>
        <w:t xml:space="preserve"> 27% year over year compared to Q1 2025. </w:t>
      </w:r>
      <w:r>
        <w:rPr>
          <w:rFonts w:ascii="Times New Roman" w:cs="Times New Roman" w:eastAsia="Times New Roman" w:hAnsi="Times New Roman"/>
          <w:sz w:val="18"/>
          <w:szCs w:val="18"/>
          <w:color w:val="000000"/>
        </w:rPr>
        <w:t>We are raising the midpoint of our full-year 2026</w:t>
      </w:r>
      <w:r>
        <w:rPr>
          <w:rFonts w:ascii="Times New Roman" w:cs="Times New Roman" w:eastAsia="Times New Roman" w:hAnsi="Times New Roman"/>
          <w:sz w:val="18"/>
          <w:szCs w:val="18"/>
          <w:color w:val="101820"/>
        </w:rPr>
        <w:t xml:space="preserve"> </w:t>
      </w:r>
      <w:r>
        <w:rPr>
          <w:rFonts w:ascii="Times New Roman" w:cs="Times New Roman" w:eastAsia="Times New Roman" w:hAnsi="Times New Roman"/>
          <w:sz w:val="18"/>
          <w:szCs w:val="18"/>
          <w:color w:val="000000"/>
        </w:rPr>
        <w:t>revenue guidance by 2% to reflect better-than-expected demand in the first quarter.</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Diluted EPS (GAAP) was $(4.68) and Adjusted Diluted EPS (Non-GAAP) was $0.12 in the first quarter.</w:t>
      </w:r>
    </w:p>
    <w:p>
      <w:pPr>
        <w:spacing w:after="0" w:line="8"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GAAP Operating Loss was impacted by a non-cash goodwill impairment of $3,788 million related to the goodwill asset on Mobileye’s balance sheet resulting from Intel’s acquisition of Mobileye in 2017.</w:t>
      </w:r>
    </w:p>
    <w:p>
      <w:pPr>
        <w:spacing w:after="0" w:line="1"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Generated $75 million of operating cash flow in the first quarter of 2026. The acquisition of Mentee Robotics Ltd. (“Mentee Robotics”) closed in early February, resulting in a reduction in our cash balance of $591 million, net of cash acquired.</w:t>
      </w:r>
    </w:p>
    <w:p>
      <w:pPr>
        <w:spacing w:after="0" w:line="1"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Announced an up to $250 million share repurchase authorization, intended to partially offset dilution associated with stock-based compensation and shares issued as part of the Mentee Robotics acquisition in in the first quarter.</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01820"/>
        </w:rPr>
        <w:t xml:space="preserve">JERUSALEM – April 23, 2026 – Mobileye Global Inc. (Nasdaq: MBLY) (“Mobileye”) today released its financial results for the three months ended </w:t>
      </w:r>
      <w:r>
        <w:rPr>
          <w:rFonts w:ascii="Times New Roman" w:cs="Times New Roman" w:eastAsia="Times New Roman" w:hAnsi="Times New Roman"/>
          <w:sz w:val="18"/>
          <w:szCs w:val="18"/>
          <w:color w:val="000000"/>
        </w:rPr>
        <w:t>March 28, 2026</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quarter results reflected a stronger than expected start to 2026, and continued favorable demand trends enable us to modestly increase our 2026 outlook. We also secured an important design win with Mahindra which adds a third Surround ADAS customer and a second customer for our next-generation SuperVision product,” said Mobileye President and CEO Professor Amnon Shashua. “In parallel, we achieved significant milestones related to our robotaxi technology stack and our EyeQ6H-based Supervision L2++ and Chauffer L3 programs with VW group. Continued execution across these programs is key both to converting our advanced product pipeline into future revenue growth and to winning additional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Business Highlights</w:t>
      </w:r>
    </w:p>
    <w:p>
      <w:pPr>
        <w:spacing w:after="0" w:line="229" w:lineRule="exact"/>
        <w:rPr>
          <w:sz w:val="20"/>
          <w:szCs w:val="20"/>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Mobileye Drive / MOIA / VW ID.Buzz robotaxi ecosystem progressed significantly during the first quarter. VW and MOIA announced the kick off of pre-series production at VW’s Hanover plant in March. MOIA announced Orlando as its initial driverless launch location (in collaboration with Beep) and began on-road validation testing with Uber in Los Angeles. There are now more than 100 ID.Buzz AVs powered by Drive testing on public roads in six cities (LA, Austin, Orlando, Munich, Berlin, and Hamburg), with Oslo coming soon. We believe Mobileye Drive technology has meaningful scaling advantages over the competition and look forward to continued strong execution over the course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660" w:hanging="328"/>
        <w:spacing w:after="0" w:line="26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the first time, EyeQ6 High-based SuperVision is operating in the US inside pre-production vehicles. An extended 2,000+ kilometer drive, on an unplanned route, achieved targeted mean-time-between-failure goals in urban, suburban, and highway road types, as well as severe weather, and outperformed other systems used as benchmarks.</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announced SuperVision and Surround ADAS design wins with Mahindra. We continue to see significant potential for growth in the India market for both ADAS and AV, and are encouraged that Mahindra believes that advanced mobility products based on Mobileye solutions can serve as competitive differentiators in the mid-trim and premium vehicle segments.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Summary and Key Highlights (Unaudited)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24"/>
                <w:szCs w:val="24"/>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3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320" w:type="dxa"/>
            <w:vAlign w:val="bottom"/>
            <w:vMerge w:val="restart"/>
          </w:tcPr>
          <w:p>
            <w:pPr>
              <w:spacing w:after="0"/>
              <w:rPr>
                <w:sz w:val="24"/>
                <w:szCs w:val="24"/>
                <w:color w:val="auto"/>
              </w:rPr>
            </w:pP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Y/Y</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4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+202bps</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14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20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280" w:type="dxa"/>
            <w:vAlign w:val="bottom"/>
            <w:vMerge w:val="restart"/>
          </w:tcPr>
          <w:p>
            <w:pPr>
              <w:spacing w:after="0"/>
              <w:rPr>
                <w:sz w:val="20"/>
                <w:szCs w:val="20"/>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Y/Y</w:t>
            </w:r>
          </w:p>
        </w:tc>
        <w:tc>
          <w:tcPr>
            <w:tcW w:w="3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w:t>
            </w:r>
          </w:p>
        </w:tc>
        <w:tc>
          <w:tcPr>
            <w:tcW w:w="15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52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(241)bps</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5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5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+360bps</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15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0.08</w:t>
            </w:r>
          </w:p>
        </w:tc>
        <w:tc>
          <w:tcPr>
            <w:tcW w:w="152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0.08</w:t>
            </w:r>
          </w:p>
        </w:tc>
        <w:tc>
          <w:tcPr>
            <w:tcW w:w="15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60" w:hanging="328"/>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101820"/>
        </w:rPr>
        <w:t xml:space="preserve"> 27% compared to the first quarter of 2025, primarily due to a 28% ramp up in EyeQ SoC volumes attributable to higher EyeQ demand. A portion of this growth was related to the normalization of safety stock levels at customers, after some draw down that took place in the fourth quarter of 2025.</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Gross Margin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101820"/>
        </w:rPr>
        <w:t xml:space="preserve"> by nearly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101820"/>
        </w:rPr>
        <w:t xml:space="preserve"> percentage points in the first quarter of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101820"/>
        </w:rPr>
        <w:t xml:space="preserve"> as compared to the prior year period. The increase was primarily due to similar levels of amortization of intangible assets on a significantly higher revenue base, partially offset by a higher EyeQ-related cost per unit given the different mix of EyeQ products sold.</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Adjusted Gross Margin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101820"/>
        </w:rPr>
        <w:t xml:space="preserve"> by nearly 2 percentage points in the first quarter of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101820"/>
        </w:rPr>
        <w:t xml:space="preserve"> as compared to the prior year period. This was mainly due to a higher EyeQ-related cost per unit given the different mix of EyeQ products sold.</w:t>
      </w:r>
    </w:p>
    <w:p>
      <w:pPr>
        <w:spacing w:after="0" w:line="162" w:lineRule="exact"/>
        <w:rPr>
          <w:rFonts w:ascii="Arial" w:cs="Arial" w:eastAsia="Arial" w:hAnsi="Arial"/>
          <w:sz w:val="18"/>
          <w:szCs w:val="18"/>
          <w:b w:val="1"/>
          <w:bCs w:val="1"/>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An additional item that is part of this quarter’s reconciliation of GAAP to Non-GAAP earnings is a non-cash impairment loss related to the Goodwill asset on our balance sheet. This asset originally resulted from the Intel acquisition of Mobileye in 2017 and was pushed down to our balance sheet in connection with the IPO in 2022 and separation from Intel. During the quarter, due to a decline in our market capitalization since the most recent assessment date, as well as increased uncertainty in the macroeconomic and geopolitical environment, an interim impairment test was triggered. The resulting analysis led to an approximately </w:t>
      </w:r>
      <w:r>
        <w:rPr>
          <w:rFonts w:ascii="Times New Roman" w:cs="Times New Roman" w:eastAsia="Times New Roman" w:hAnsi="Times New Roman"/>
          <w:sz w:val="18"/>
          <w:szCs w:val="18"/>
          <w:color w:val="000000"/>
        </w:rPr>
        <w:t>$3,788</w:t>
      </w:r>
      <w:r>
        <w:rPr>
          <w:rFonts w:ascii="Times New Roman" w:cs="Times New Roman" w:eastAsia="Times New Roman" w:hAnsi="Times New Roman"/>
          <w:sz w:val="18"/>
          <w:szCs w:val="18"/>
          <w:color w:val="101820"/>
        </w:rPr>
        <w:t xml:space="preserve"> million write-down of goodwill. For more information, see our Quarterly Report on Form 10-Q for the period ended March 28, 2026.</w:t>
      </w:r>
    </w:p>
    <w:p>
      <w:pPr>
        <w:spacing w:after="0" w:line="186"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Operating Margin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101820"/>
        </w:rPr>
        <w:t xml:space="preserve"> meaningfully in the first quarter of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101820"/>
        </w:rPr>
        <w:t xml:space="preserve"> as compared to the prior year period. This was primarily due to goodwill impairment loss of </w:t>
      </w:r>
      <w:r>
        <w:rPr>
          <w:rFonts w:ascii="Times New Roman" w:cs="Times New Roman" w:eastAsia="Times New Roman" w:hAnsi="Times New Roman"/>
          <w:sz w:val="18"/>
          <w:szCs w:val="18"/>
          <w:color w:val="000000"/>
        </w:rPr>
        <w:t>$3,788 million</w:t>
      </w:r>
      <w:r>
        <w:rPr>
          <w:rFonts w:ascii="Times New Roman" w:cs="Times New Roman" w:eastAsia="Times New Roman" w:hAnsi="Times New Roman"/>
          <w:sz w:val="18"/>
          <w:szCs w:val="18"/>
          <w:color w:val="101820"/>
        </w:rPr>
        <w:t xml:space="preserve"> recognized in the first quarter of 2026.</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Adjusted Operating Margin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101820"/>
        </w:rPr>
        <w:t xml:space="preserve"> to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101820"/>
        </w:rPr>
        <w:t xml:space="preserve"> in the first quarter of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101820"/>
        </w:rPr>
        <w:t xml:space="preserve"> as compared to </w:t>
      </w:r>
      <w:r>
        <w:rPr>
          <w:rFonts w:ascii="Times New Roman" w:cs="Times New Roman" w:eastAsia="Times New Roman" w:hAnsi="Times New Roman"/>
          <w:sz w:val="18"/>
          <w:szCs w:val="18"/>
          <w:color w:val="000000"/>
        </w:rPr>
        <w:t>13% in</w:t>
      </w:r>
      <w:r>
        <w:rPr>
          <w:rFonts w:ascii="Times New Roman" w:cs="Times New Roman" w:eastAsia="Times New Roman" w:hAnsi="Times New Roman"/>
          <w:sz w:val="18"/>
          <w:szCs w:val="18"/>
          <w:color w:val="101820"/>
        </w:rPr>
        <w:t xml:space="preserve"> the prior year period. This is related to significantly higher year-over-year revenue which resulted in lower operating expenses as a percentage of revenue.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Operating cash flow for the three months ended </w:t>
      </w:r>
      <w:r>
        <w:rPr>
          <w:rFonts w:ascii="Times New Roman" w:cs="Times New Roman" w:eastAsia="Times New Roman" w:hAnsi="Times New Roman"/>
          <w:sz w:val="18"/>
          <w:szCs w:val="18"/>
          <w:color w:val="000000"/>
        </w:rPr>
        <w:t>March 28, 2026</w:t>
      </w:r>
      <w:r>
        <w:rPr>
          <w:rFonts w:ascii="Times New Roman" w:cs="Times New Roman" w:eastAsia="Times New Roman" w:hAnsi="Times New Roman"/>
          <w:sz w:val="18"/>
          <w:szCs w:val="18"/>
          <w:color w:val="101820"/>
        </w:rPr>
        <w:t xml:space="preserve"> was $75 million, including transaction costs and cash paid for accelerated options as part of the Mentee Robotics acquisition. Cash used in purchases of property and equipment was $30 million for that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Financial Guidance for the 2026 Fiscal Year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01820"/>
        </w:rPr>
        <w:t>The following information reflects Mobileye’s expectations for Revenue, Operating Loss and Adjusted Operating Income results for the full year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01820"/>
        </w:rPr>
        <w:t xml:space="preserve"> Our updated guidance reflects a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101820"/>
        </w:rPr>
        <w:t xml:space="preserve"> increase in expected revenue, at the midpoint, due to higher-than-expected EyeQ unit shipments in the first quarter. Our outlook for Adjusted Operating Income is increased by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101820"/>
        </w:rPr>
        <w:t xml:space="preserve"> at the midpoint, reflecting operating leverage on the higher revenue outlook. We are providing a 2026 outlook for Operating Loss now that the Mentee Robotics acquisition has closed. At the time of our Q4 2025 earnings release, prior to closing of the Mentee Robotics acquisition, our outlook for stock-based compensation and amortization of intangible assets was not able to be estimated with precision.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01820"/>
        </w:rPr>
        <w:t>We believe Adjusted Operating Income (a non-GAAP metric) is an appropriate metric as it excludes significant non-cash expenses including: 1) Amortization charges related to intangible assets consisting of developed technology, customer relationships and brands, and developed IP as a result of Intel’s acquisition of Mobileye in 2017 and the acquisition of Mentee Robotics in 2026; 2) Share-based compensation expense; 3) Goodwill impairment; and 4) acquisition-related expenses. These statements represent forward-looking information and may not represent a financial outlook, and actual results may vary. Please see the risks and assumptions referred to in the Forward-Looking Statements section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Full Year 2026</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19"/>
                <w:szCs w:val="19"/>
                <w:color w:val="auto"/>
              </w:rPr>
            </w:pPr>
          </w:p>
        </w:tc>
      </w:tr>
      <w:tr>
        <w:trPr>
          <w:trHeight w:val="223"/>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1,935</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w:t>
            </w: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101820"/>
        </w:rPr>
        <w:t xml:space="preserve">Mobileye will host a conference call today, April 23, 2026, at 8:00 am ET (3:00pm IT) to review its results and provide a general business update. The conference call will be accessible live via a webcast on Mobileye’s investor relations site, which can be found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101820"/>
        </w:rPr>
        <w:t>, and a replay of the webcast will be made available shortly after the event’s conclusion.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share-based compensation expenses, impairment of goodwill and acquisition-related expenses.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impairment of goodwill, acquisition-related expenses and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404040"/>
        </w:rPr>
        <w:t xml:space="preserve">Mobileye (Nasdaq: MBLY) leads the mobility revolution with our autonomous driving and driver-assistance technologies, harnessing world-renowned expertise in artificial intelligence, computer vision and integrated software and hardware. Since our founding in 1999, Mobileye has enabled the global adoption of advanced driver-assistance systems that save countless lives and reduce crashes, while pioneering groundbreaking technologies such as REM™ crowdsourced road intelligence, Imaging Radar and Compound AI. These technologies drive the ADAS and AV fields towards the future of mobility – enabling self-driving vehicles and mobility solutions at scale, and powering industry-leading ADAS products. Through 2025, more than 230 million vehicles worldwide have been built with Mobileye’s EyeQ technology inside. In </w:t>
      </w:r>
      <w:r>
        <w:rPr>
          <w:rFonts w:ascii="Times New Roman" w:cs="Times New Roman" w:eastAsia="Times New Roman" w:hAnsi="Times New Roman"/>
          <w:sz w:val="18"/>
          <w:szCs w:val="18"/>
          <w:color w:val="000000"/>
        </w:rPr>
        <w:t>2026, Mobileye acquired Mentee Robotics to pursue the future of physical</w:t>
      </w:r>
      <w:r>
        <w:rPr>
          <w:rFonts w:ascii="Times New Roman" w:cs="Times New Roman" w:eastAsia="Times New Roman" w:hAnsi="Times New Roman"/>
          <w:sz w:val="18"/>
          <w:szCs w:val="18"/>
          <w:color w:val="404040"/>
        </w:rPr>
        <w:t xml:space="preserve"> </w:t>
      </w:r>
      <w:r>
        <w:rPr>
          <w:rFonts w:ascii="Times New Roman" w:cs="Times New Roman" w:eastAsia="Times New Roman" w:hAnsi="Times New Roman"/>
          <w:sz w:val="18"/>
          <w:szCs w:val="18"/>
          <w:color w:val="000000"/>
        </w:rPr>
        <w:t xml:space="preserve">AI and humanoid robots. </w:t>
      </w:r>
      <w:r>
        <w:rPr>
          <w:rFonts w:ascii="Times New Roman" w:cs="Times New Roman" w:eastAsia="Times New Roman" w:hAnsi="Times New Roman"/>
          <w:sz w:val="18"/>
          <w:szCs w:val="18"/>
          <w:color w:val="404040"/>
        </w:rPr>
        <w:t>Since 2022, Mobileye has been listed independently from Intel (Nasdaq: INTC), which retains majority ownership. For more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404040"/>
        </w:rPr>
        <w:t xml:space="preserve">information, visit </w:t>
      </w:r>
      <w:r>
        <w:rPr>
          <w:rFonts w:ascii="Times New Roman" w:cs="Times New Roman" w:eastAsia="Times New Roman" w:hAnsi="Times New Roman"/>
          <w:sz w:val="18"/>
          <w:szCs w:val="18"/>
          <w:color w:val="000000"/>
        </w:rPr>
        <w:t>https://www.mobileye.com.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540"/>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62626"/>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2026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262626"/>
        </w:rPr>
        <w:t xml:space="preserve">Important factors that may materially affect such forward-looking statements and projections include the following: </w:t>
      </w:r>
      <w:r>
        <w:rPr>
          <w:rFonts w:ascii="Times New Roman" w:cs="Times New Roman" w:eastAsia="Times New Roman" w:hAnsi="Times New Roman"/>
          <w:sz w:val="18"/>
          <w:szCs w:val="18"/>
          <w:color w:val="000000"/>
        </w:rPr>
        <w:t>further deterioration of macroeconomic</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conditions due to ongoing global economic and political uncertainty; future business, strategic and financial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increased competition from emerging chip manufacturers and OEMs; future products and technology, and the expected availability and benefits of such products and technology; the humanoid robotics industry and its accompanying technology may not develop as expected;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 sustained low levels of our share price and market capitalization as well as other factors may require further testing of our Mobileye reporting unit, which may result in an impairment of goodwill; the ability to meet our social and environmental goals and projections.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262626"/>
        </w:rPr>
        <w:t xml:space="preserve">Detailed information regarding these and other factors that could affect Mobileye’s business and results is included in Mobileye’s SEC filings, including the company’s Annual Report on Form 10-K for the year ended December 27, 2025, particularly in the section entitled “Item 1A. Risk Factors”. Copies of these filings may be obtained by visiting our Investor Relations website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262626"/>
        </w:rPr>
        <w:t xml:space="preserve"> or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62626"/>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 (unaudited)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amounts</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29, 2025</w:t>
            </w:r>
          </w:p>
        </w:tc>
        <w:tc>
          <w:tcPr>
            <w:tcW w:w="100" w:type="dxa"/>
            <w:vAlign w:val="bottom"/>
          </w:tcPr>
          <w:p>
            <w:pPr>
              <w:spacing w:after="0"/>
              <w:rPr>
                <w:sz w:val="19"/>
                <w:szCs w:val="19"/>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231</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194"/>
        </w:trPr>
        <w:tc>
          <w:tcPr>
            <w:tcW w:w="8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 per share attributed to</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and Class B stockholders (in millions):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812</w:t>
            </w:r>
          </w:p>
        </w:tc>
      </w:tr>
      <w:tr>
        <w:trPr>
          <w:trHeight w:val="657"/>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0" w:type="dxa"/>
            <w:vAlign w:val="bottom"/>
          </w:tcPr>
          <w:p>
            <w:pPr>
              <w:spacing w:after="0"/>
              <w:rPr>
                <w:sz w:val="1"/>
                <w:szCs w:val="1"/>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 and deposits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8,735</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29, 2025</w:t>
            </w:r>
          </w:p>
        </w:tc>
        <w:tc>
          <w:tcPr>
            <w:tcW w:w="100" w:type="dxa"/>
            <w:vAlign w:val="bottom"/>
            <w:gridSpan w:val="2"/>
          </w:tcPr>
          <w:p>
            <w:pPr>
              <w:spacing w:after="0"/>
              <w:rPr>
                <w:sz w:val="19"/>
                <w:szCs w:val="19"/>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long-term benefits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120" w:type="dxa"/>
            <w:vAlign w:val="bottom"/>
          </w:tcPr>
          <w:p>
            <w:pPr>
              <w:spacing w:after="0"/>
              <w:rPr>
                <w:sz w:val="19"/>
                <w:szCs w:val="19"/>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8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acquisition of Mentee Robotics, net of cash acquired</w:t>
            </w:r>
          </w:p>
        </w:tc>
        <w:tc>
          <w:tcPr>
            <w:tcW w:w="120" w:type="dxa"/>
            <w:vAlign w:val="bottom"/>
          </w:tcPr>
          <w:p>
            <w:pPr>
              <w:spacing w:after="0"/>
              <w:rPr>
                <w:sz w:val="19"/>
                <w:szCs w:val="19"/>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gridSpan w:val="2"/>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20" w:type="dxa"/>
            <w:vAlign w:val="bottom"/>
          </w:tcPr>
          <w:p>
            <w:pPr>
              <w:spacing w:after="0"/>
              <w:rPr>
                <w:sz w:val="19"/>
                <w:szCs w:val="19"/>
                <w:color w:val="auto"/>
              </w:rPr>
            </w:pPr>
          </w:p>
        </w:tc>
        <w:tc>
          <w:tcPr>
            <w:tcW w:w="276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00" w:type="dxa"/>
            <w:vAlign w:val="bottom"/>
          </w:tcPr>
          <w:p>
            <w:pPr>
              <w:spacing w:after="0"/>
              <w:rPr>
                <w:sz w:val="19"/>
                <w:szCs w:val="19"/>
                <w:color w:val="auto"/>
              </w:rPr>
            </w:pP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160" w:type="dxa"/>
            <w:vAlign w:val="bottom"/>
          </w:tcPr>
          <w:p>
            <w:pPr>
              <w:spacing w:after="0"/>
              <w:rPr>
                <w:sz w:val="19"/>
                <w:szCs w:val="19"/>
                <w:color w:val="auto"/>
              </w:rPr>
            </w:pPr>
          </w:p>
        </w:tc>
      </w:tr>
      <w:tr>
        <w:trPr>
          <w:trHeight w:val="223"/>
        </w:trPr>
        <w:tc>
          <w:tcPr>
            <w:tcW w:w="53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60" w:type="dxa"/>
            <w:vAlign w:val="bottom"/>
            <w:tcBorders>
              <w:bottom w:val="single" w:sz="8" w:color="CCEEFF"/>
            </w:tcBorders>
          </w:tcPr>
          <w:p>
            <w:pPr>
              <w:spacing w:after="0"/>
              <w:rPr>
                <w:sz w:val="19"/>
                <w:szCs w:val="19"/>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66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20" w:type="dxa"/>
            <w:vAlign w:val="bottom"/>
          </w:tcPr>
          <w:p>
            <w:pPr>
              <w:spacing w:after="0"/>
              <w:rPr>
                <w:sz w:val="18"/>
                <w:szCs w:val="18"/>
                <w:color w:val="auto"/>
              </w:rPr>
            </w:pPr>
          </w:p>
        </w:tc>
        <w:tc>
          <w:tcPr>
            <w:tcW w:w="126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and Margin to Non-GAAP Adjusted Operating Income and Margin</w:t>
      </w: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00" w:type="dxa"/>
            <w:vAlign w:val="bottom"/>
          </w:tcPr>
          <w:p>
            <w:pPr>
              <w:spacing w:after="0"/>
              <w:rPr>
                <w:sz w:val="19"/>
                <w:szCs w:val="19"/>
                <w:color w:val="auto"/>
              </w:rPr>
            </w:pPr>
          </w:p>
        </w:tc>
        <w:tc>
          <w:tcPr>
            <w:tcW w:w="272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00" w:type="dxa"/>
            <w:vAlign w:val="bottom"/>
          </w:tcPr>
          <w:p>
            <w:pPr>
              <w:spacing w:after="0"/>
              <w:rPr>
                <w:sz w:val="19"/>
                <w:szCs w:val="19"/>
                <w:color w:val="auto"/>
              </w:rPr>
            </w:pPr>
          </w:p>
        </w:tc>
      </w:tr>
      <w:tr>
        <w:trPr>
          <w:trHeight w:val="223"/>
        </w:trPr>
        <w:tc>
          <w:tcPr>
            <w:tcW w:w="52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200" w:type="dxa"/>
            <w:vAlign w:val="bottom"/>
            <w:tcBorders>
              <w:bottom w:val="single" w:sz="8" w:color="CCEEFF"/>
            </w:tcBorders>
          </w:tcPr>
          <w:p>
            <w:pPr>
              <w:spacing w:after="0"/>
              <w:rPr>
                <w:sz w:val="19"/>
                <w:szCs w:val="19"/>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 Margin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(27)%</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Acquisition related expenses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3,788</w:t>
            </w:r>
          </w:p>
        </w:tc>
        <w:tc>
          <w:tcPr>
            <w:tcW w:w="1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 and Margin</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tcPr>
          <w:p>
            <w:pPr>
              <w:spacing w:after="0"/>
              <w:rPr>
                <w:sz w:val="18"/>
                <w:szCs w:val="18"/>
                <w:color w:val="auto"/>
              </w:rPr>
            </w:pPr>
          </w:p>
        </w:tc>
        <w:tc>
          <w:tcPr>
            <w:tcW w:w="124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color w:val="auto"/>
        </w:rPr>
        <w:t>Adjusted operating margin is calculated as adjusted operating income (loss)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March 29, 2025</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Amount</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(684)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Add: Acquisition related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58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 Average System Price (unaudited)</w:t>
            </w:r>
            <w:r>
              <w:rPr>
                <w:rFonts w:ascii="Times New Roman" w:cs="Times New Roman" w:eastAsia="Times New Roman" w:hAnsi="Times New Roman"/>
                <w:sz w:val="29"/>
                <w:szCs w:val="29"/>
                <w:color w:val="auto"/>
                <w:vertAlign w:val="superscript"/>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Q2 2025</w:t>
            </w:r>
          </w:p>
        </w:tc>
        <w:tc>
          <w:tcPr>
            <w:tcW w:w="12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40" w:type="dxa"/>
            <w:vAlign w:val="bottom"/>
          </w:tcPr>
          <w:p>
            <w:pPr>
              <w:spacing w:after="0"/>
              <w:rPr>
                <w:sz w:val="24"/>
                <w:szCs w:val="24"/>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160" w:type="dxa"/>
            <w:vAlign w:val="bottom"/>
          </w:tcPr>
          <w:p>
            <w:pPr>
              <w:spacing w:after="0"/>
              <w:rPr>
                <w:sz w:val="24"/>
                <w:szCs w:val="24"/>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Q1 2026</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EyeQ and SuperVision revenue (U.S. dollars in millions)</w:t>
            </w: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r>
    </w:tbl>
    <w:p>
      <w:pPr>
        <w:spacing w:after="0" w:line="201"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Average System Price is calculated as the sum of revenue related to EyeQ</w:t>
      </w:r>
      <w:r>
        <w:rPr>
          <w:rFonts w:ascii="Times New Roman" w:cs="Times New Roman" w:eastAsia="Times New Roman" w:hAnsi="Times New Roman"/>
          <w:sz w:val="29"/>
          <w:szCs w:val="29"/>
          <w:color w:val="000000"/>
          <w:vertAlign w:val="superscript"/>
        </w:rPr>
        <w:t>TM</w:t>
      </w:r>
      <w:r>
        <w:rPr>
          <w:rFonts w:ascii="Times New Roman" w:cs="Times New Roman" w:eastAsia="Times New Roman" w:hAnsi="Times New Roman"/>
          <w:sz w:val="18"/>
          <w:szCs w:val="18"/>
          <w:color w:val="101820"/>
        </w:rPr>
        <w:t xml:space="preserve"> and SuperVision systems, divided by the number of systems shipped.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2026-04-23T06:21:51Z</dcterms:created>
  <dcterms:modified xsi:type="dcterms:W3CDTF">2026-04-23T06:21:51Z</dcterms:modified>
</cp:coreProperties>
</file>