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30, 2025</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79"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Har Hotzvim, 1 Shlomo Momo HaLevi Street</w:t>
      </w:r>
    </w:p>
    <w:p>
      <w:pPr>
        <w:spacing w:after="0" w:line="2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Jerusalem, Israel</w:t>
      </w:r>
    </w:p>
    <w:p>
      <w:pPr>
        <w:spacing w:after="0" w:line="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9777015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77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52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January 30, 2025 Mobileye Global Inc. issued a press release announcing its financial results for the quarter and year ended December 28, 2024.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432"/>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420" w:type="dxa"/>
            <w:vAlign w:val="bottom"/>
            <w:tcBorders>
              <w:bottom w:val="single" w:sz="8" w:color="auto"/>
            </w:tcBorders>
            <w:gridSpan w:val="2"/>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January 30, 2025</w:t>
            </w:r>
          </w:p>
        </w:tc>
      </w:tr>
      <w:tr>
        <w:trPr>
          <w:trHeight w:val="20"/>
        </w:trPr>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Moran Shemesh Rojansky</w:t>
      </w:r>
    </w:p>
    <w:p>
      <w:pPr>
        <w:spacing w:after="0" w:line="9"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Releases Fourth-Quarter and Full-Year 2024 Results and Provides Business Overview</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Revenue decreased 23% year over year to $490 million in the fourth quarter. Full-year financial guidance implies a return to revenue growth in 2025.</w:t>
      </w:r>
    </w:p>
    <w:p>
      <w:pPr>
        <w:spacing w:after="0" w:line="161" w:lineRule="exact"/>
        <w:rPr>
          <w:rFonts w:ascii="Times New Roman" w:cs="Times New Roman" w:eastAsia="Times New Roman" w:hAnsi="Times New Roman"/>
          <w:sz w:val="18"/>
          <w:szCs w:val="18"/>
          <w:color w:val="101820"/>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Diluted EPS (GAAP) was $(0.09) and Adjusted Diluted EPS (Non-GAAP) was $0.13 in the fourth quarter of 2024.</w:t>
      </w:r>
    </w:p>
    <w:p>
      <w:pPr>
        <w:spacing w:after="0" w:line="225" w:lineRule="exact"/>
        <w:rPr>
          <w:rFonts w:ascii="Times New Roman" w:cs="Times New Roman" w:eastAsia="Times New Roman" w:hAnsi="Times New Roman"/>
          <w:sz w:val="18"/>
          <w:szCs w:val="18"/>
          <w:color w:val="101820"/>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Generated net cash from operating activities of $400 million in the year ended </w:t>
      </w:r>
      <w:r>
        <w:rPr>
          <w:rFonts w:ascii="Times New Roman" w:cs="Times New Roman" w:eastAsia="Times New Roman" w:hAnsi="Times New Roman"/>
          <w:sz w:val="18"/>
          <w:szCs w:val="18"/>
          <w:color w:val="000000"/>
        </w:rPr>
        <w:t>December 28, 2024, slightly higher than full-year 2023</w:t>
      </w:r>
      <w:r>
        <w:rPr>
          <w:rFonts w:ascii="Times New Roman" w:cs="Times New Roman" w:eastAsia="Times New Roman" w:hAnsi="Times New Roman"/>
          <w:sz w:val="18"/>
          <w:szCs w:val="18"/>
          <w:color w:val="101820"/>
        </w:rPr>
        <w:t xml:space="preserve">. Our balance sheet is strong with $1.4 billion of cash and cash equivalents and zero debt as of </w:t>
      </w:r>
      <w:r>
        <w:rPr>
          <w:rFonts w:ascii="Times New Roman" w:cs="Times New Roman" w:eastAsia="Times New Roman" w:hAnsi="Times New Roman"/>
          <w:sz w:val="18"/>
          <w:szCs w:val="18"/>
          <w:color w:val="000000"/>
        </w:rPr>
        <w:t>December 28, 2024</w:t>
      </w:r>
      <w:r>
        <w:rPr>
          <w:rFonts w:ascii="Times New Roman" w:cs="Times New Roman" w:eastAsia="Times New Roman" w:hAnsi="Times New Roman"/>
          <w:sz w:val="18"/>
          <w:szCs w:val="18"/>
          <w:color w:val="101820"/>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Continued growth in RFQ-stage advanced product development programs positions us well to substantially increase long-term growth visibility over the course of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01820"/>
        </w:rPr>
        <w:t xml:space="preserve">JERUSALEM – Jan. 30, 2025 – Mobileye Global Inc. (Nasdaq: MBLY) (“Mobileye”) today released its financial results for the three months and for the year ended </w:t>
      </w:r>
      <w:r>
        <w:rPr>
          <w:rFonts w:ascii="Times New Roman" w:cs="Times New Roman" w:eastAsia="Times New Roman" w:hAnsi="Times New Roman"/>
          <w:sz w:val="18"/>
          <w:szCs w:val="18"/>
          <w:color w:val="000000"/>
        </w:rPr>
        <w:t>December 28, 2024</w:t>
      </w:r>
      <w:r>
        <w:rPr>
          <w:rFonts w:ascii="Times New Roman" w:cs="Times New Roman" w:eastAsia="Times New Roman" w:hAnsi="Times New Roman"/>
          <w:sz w:val="18"/>
          <w:szCs w:val="18"/>
          <w:color w:val="101820"/>
        </w:rPr>
        <w:t>.</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“I’m proud of our accomplishments in 2024. Against a challenging backdrop, we executed dozens of production program launches on-time for our customers and shipped the 200 millionth EyeQ</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 in our history. In 2024, while generating $400 million of operating cash flow, we also made outstanding progress on the technology pillars that support our SuperVision, Chauffeur, and Drive advanced solutions that are driving the largest opportunity pipeline in our history,” said Mobileye President and CEO Prof. Amnon Shashua. “Our autonomous driving system architecture is built to optimize both precision and scalability, supporting a true revolution of transportation. We look forward to a robust cadence of EyeQ6 High-based product launches beginning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2024 Business Highlights</w:t>
      </w:r>
    </w:p>
    <w:p>
      <w:pPr>
        <w:spacing w:after="0" w:line="229" w:lineRule="exact"/>
        <w:rPr>
          <w:sz w:val="20"/>
          <w:szCs w:val="20"/>
          <w:color w:val="auto"/>
        </w:rPr>
      </w:pPr>
    </w:p>
    <w:p>
      <w:pPr>
        <w:jc w:val="both"/>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another year of impressive product execution in 2024. On the core business we launched ADAS programs into 313 car models and managed an additional 80 active ADAS development projects. On the technology front, we achieved major progress across the pillars that support our portfolio of advanced solutions, including: 1) EyeQ6 High System-on-Chip (SoC) is on-track for series production launch and achieves 10x the frame-per-second processing in comparison to EyeQ5 High with high efficiency; 2) imaging radar (launching 2nd half 2025) B-samples achieved outstanding performance across hundreds of OEM tests; and, 3) our compound AI system software infrastructure inside the EyeQ6 High-based family of ECUs delivers line-of-sight to approximately 100x the camera-only mean-time-between-failure as compared to EyeQ5 High. Most importantly, within our advanced portfolio, we progressed significantly on the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Chauffeur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and Drive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projects for VW Group, achieving milestones on the path to start-of-production.</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Business development activity was substantial in 2024. We won well-above 95% of the ADAS programs awarded by our top customers. On the advanced product side, decision-making timing was slower than expected, but the number of engagements significantly expanded and we gained additional clarity on future segmentation and volume expectations of premium ADAS and AV products. We have built an unprecedented set of potential opportunities across 9 of our top 10 customers, as well as others, with RFQ-stage development programs representing 25 million future units for Surround ADAS, 8-16 million future units for SuperVision, and 1-3 million future units for Chauffeur. This represents more than 10 times our current awarded business for these solutions and offers the potential for meaningful business expansion during 2025</w:t>
      </w:r>
      <w:r>
        <w:rPr>
          <w:rFonts w:ascii="Times New Roman" w:cs="Times New Roman" w:eastAsia="Times New Roman" w:hAnsi="Times New Roman"/>
          <w:sz w:val="29"/>
          <w:szCs w:val="29"/>
          <w:color w:val="101820"/>
          <w:vertAlign w:val="superscript"/>
        </w:rPr>
        <w:t>1</w:t>
      </w:r>
      <w:r>
        <w:rPr>
          <w:rFonts w:ascii="Times New Roman" w:cs="Times New Roman" w:eastAsia="Times New Roman" w:hAnsi="Times New Roman"/>
          <w:sz w:val="18"/>
          <w:szCs w:val="18"/>
          <w:color w:val="101820"/>
        </w:rPr>
        <w:t>.</w:t>
      </w:r>
    </w:p>
    <w:p>
      <w:pPr>
        <w:spacing w:after="0" w:line="58" w:lineRule="exact"/>
        <w:rPr>
          <w:rFonts w:ascii="Times New Roman" w:cs="Times New Roman" w:eastAsia="Times New Roman" w:hAnsi="Times New Roman"/>
          <w:sz w:val="18"/>
          <w:szCs w:val="18"/>
          <w:color w:val="101820"/>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During the second half of 2024 we detailed our Compound AI System software and hardware infrastructure approach, which we have high confidence will support the optimized combination of precision and recall required to enable safe and useful eyes-off products. This included an in-depth overview of our safety methodology that comprehensively addresses all aspects of a self-driving system’s safe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Summary and Key Highlights (Unaudited)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52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Y/Y</w:t>
            </w: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344</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1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3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0.08</w:t>
            </w:r>
          </w:p>
        </w:tc>
        <w:tc>
          <w:tcPr>
            <w:tcW w:w="1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0.08</w:t>
            </w:r>
          </w:p>
        </w:tc>
        <w:tc>
          <w:tcPr>
            <w:tcW w:w="1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427"/>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*Not Meaningful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52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Y/Y</w:t>
            </w: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439</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0.28</w:t>
            </w:r>
          </w:p>
        </w:tc>
        <w:tc>
          <w:tcPr>
            <w:tcW w:w="1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0.28</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660" w:right="20" w:hanging="328"/>
        <w:spacing w:after="0" w:line="312"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101820"/>
        </w:rPr>
        <w:t xml:space="preserve">Revenue of $490 million decreased 23% as compared to the fourth quarter of 2023, primarily due to a </w:t>
      </w:r>
      <w:r>
        <w:rPr>
          <w:rFonts w:ascii="Times New Roman" w:cs="Times New Roman" w:eastAsia="Times New Roman" w:hAnsi="Times New Roman"/>
          <w:sz w:val="17"/>
          <w:szCs w:val="17"/>
          <w:color w:val="000000"/>
        </w:rPr>
        <w:t>20% reduction in</w:t>
      </w:r>
      <w:r>
        <w:rPr>
          <w:rFonts w:ascii="Times New Roman" w:cs="Times New Roman" w:eastAsia="Times New Roman" w:hAnsi="Times New Roman"/>
          <w:sz w:val="17"/>
          <w:szCs w:val="17"/>
          <w:color w:val="101820"/>
        </w:rPr>
        <w:t xml:space="preserve"> EyeQ SoC volumes. This was primarily related to the previously disclosed meaningful build-up of inventory at our Tier 1 customers, including in the fourth quarter of 2023.</w:t>
      </w:r>
    </w:p>
    <w:p>
      <w:pPr>
        <w:spacing w:after="0" w:line="143" w:lineRule="exact"/>
        <w:rPr>
          <w:rFonts w:ascii="Times New Roman" w:cs="Times New Roman" w:eastAsia="Times New Roman" w:hAnsi="Times New Roman"/>
          <w:sz w:val="17"/>
          <w:szCs w:val="17"/>
          <w:color w:val="auto"/>
        </w:rPr>
      </w:pPr>
    </w:p>
    <w:p>
      <w:pPr>
        <w:ind w:left="660" w:hanging="328"/>
        <w:spacing w:after="0" w:line="188"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101820"/>
        </w:rPr>
        <w:t>Average System Price</w:t>
      </w: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color w:val="101820"/>
        </w:rPr>
        <w:t xml:space="preserve"> was $50.0 in fourth quarter 2024, compared to $52.7 in the prior year period primarily due to lower percentage of SuperVision related revenue as compared to the fourth quarter of 2023.</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Gross Margin decreased by nearly 5 percentage points in the fourth quarter of 2024 as compared to the prior year period. The decrease was primarily due to the impact of the cost attributable to amortization of intangible assets which was similar to the prior year but on a lower revenue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Adjusted Gross Margin (a non-GAAP measure) in the fourth quarter of 2024 was similar to the prior year period. The positive gross margin impact of a lower percentage of SuperVision related revenue was offset by the modestly negative impact of EyeQ-related mix effects.</w:t>
      </w:r>
    </w:p>
    <w:p>
      <w:pPr>
        <w:spacing w:after="0" w:line="161" w:lineRule="exact"/>
        <w:rPr>
          <w:rFonts w:ascii="Times New Roman" w:cs="Times New Roman" w:eastAsia="Times New Roman" w:hAnsi="Times New Roman"/>
          <w:sz w:val="18"/>
          <w:szCs w:val="18"/>
          <w:color w:val="101820"/>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Operating Margin of </w:t>
      </w:r>
      <w:r>
        <w:rPr>
          <w:rFonts w:ascii="Times New Roman" w:cs="Times New Roman" w:eastAsia="Times New Roman" w:hAnsi="Times New Roman"/>
          <w:sz w:val="18"/>
          <w:szCs w:val="18"/>
          <w:color w:val="000000"/>
        </w:rPr>
        <w:t>(18%)</w:t>
      </w:r>
      <w:r>
        <w:rPr>
          <w:rFonts w:ascii="Times New Roman" w:cs="Times New Roman" w:eastAsia="Times New Roman" w:hAnsi="Times New Roman"/>
          <w:sz w:val="18"/>
          <w:szCs w:val="18"/>
          <w:color w:val="101820"/>
        </w:rPr>
        <w:t xml:space="preserve"> decreased by 29 percentage points in the fourth quarter of 2024 as compared to the prior year period, due to higher operating expenses than the prior year period on a lower revenue base, as well as the gross margin decrease described above.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Adjusted Operating Margin (a non-GAAP measure) of 21% decreased by </w:t>
      </w:r>
      <w:r>
        <w:rPr>
          <w:rFonts w:ascii="Times New Roman" w:cs="Times New Roman" w:eastAsia="Times New Roman" w:hAnsi="Times New Roman"/>
          <w:sz w:val="18"/>
          <w:szCs w:val="18"/>
          <w:color w:val="000000"/>
        </w:rPr>
        <w:t>18</w:t>
      </w:r>
      <w:r>
        <w:rPr>
          <w:rFonts w:ascii="Times New Roman" w:cs="Times New Roman" w:eastAsia="Times New Roman" w:hAnsi="Times New Roman"/>
          <w:sz w:val="18"/>
          <w:szCs w:val="18"/>
          <w:color w:val="101820"/>
        </w:rPr>
        <w:t xml:space="preserve"> percentage points in the fourth quarter of 2024 as compared to the prior year period, due to higher operating expenses on a lower revenue base.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Operating cash flow for the year ended </w:t>
      </w:r>
      <w:r>
        <w:rPr>
          <w:rFonts w:ascii="Times New Roman" w:cs="Times New Roman" w:eastAsia="Times New Roman" w:hAnsi="Times New Roman"/>
          <w:sz w:val="18"/>
          <w:szCs w:val="18"/>
          <w:color w:val="000000"/>
        </w:rPr>
        <w:t>December 28, 2024</w:t>
      </w:r>
      <w:r>
        <w:rPr>
          <w:rFonts w:ascii="Times New Roman" w:cs="Times New Roman" w:eastAsia="Times New Roman" w:hAnsi="Times New Roman"/>
          <w:sz w:val="18"/>
          <w:szCs w:val="18"/>
          <w:color w:val="101820"/>
        </w:rPr>
        <w:t xml:space="preserve"> was $400 million. Cash used in purchases of property and equipment was $81 million for that same period.</w:t>
      </w:r>
    </w:p>
    <w:p>
      <w:pPr>
        <w:spacing w:after="0" w:line="202" w:lineRule="exact"/>
        <w:rPr>
          <w:sz w:val="20"/>
          <w:szCs w:val="20"/>
          <w:color w:val="auto"/>
        </w:rPr>
      </w:pPr>
    </w:p>
    <w:p>
      <w:pPr>
        <w:jc w:val="both"/>
        <w:ind w:left="8" w:hanging="8"/>
        <w:spacing w:after="0" w:line="224"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01820"/>
        </w:rPr>
        <w:t>These expectations are based on estimated volumes, which are based on projections of future production volumes that were provided by our current and prospective OEMs at the time of sourcing the design wins for the models related to those design wins. Further, achievement of a design win is an estimate only and subject to multiple factors, many of which are outside of Mobileye’s control. Any statement on the timing of a design win is an estimate only and subject to change. See the disclaimer under the heading “Forward-Looking Statements” below for important limitations applicable to these estimates.</w:t>
      </w:r>
    </w:p>
    <w:p>
      <w:pPr>
        <w:spacing w:after="0" w:line="131" w:lineRule="exact"/>
        <w:rPr>
          <w:sz w:val="20"/>
          <w:szCs w:val="20"/>
          <w:color w:val="auto"/>
        </w:rPr>
      </w:pPr>
    </w:p>
    <w:p>
      <w:pPr>
        <w:ind w:left="108" w:hanging="108"/>
        <w:spacing w:after="0"/>
        <w:tabs>
          <w:tab w:leader="none" w:pos="108"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01820"/>
        </w:rPr>
        <w:t>Average System Price is calculated as the sum of revenue related to EyeQ</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01820"/>
        </w:rPr>
        <w:t xml:space="preserve"> and SuperVision systems, divided by the number of systems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Financial Guidance for the 2025 Fiscal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01820"/>
        </w:rPr>
        <w:t>The following information reflects Mobileye’s expectations for Revenue, Operating Loss and Adjusted Operating Income results for the year ending December 27,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01820"/>
        </w:rPr>
        <w:t>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2) Share-based compensation expense; and 3) Goodwill impairment. These statements represent forward-looking information and may not represent a financial outlook, and actual results may vary. Please see the risks and assumptions referred to in the Forward-Looking Statements section of this release.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Full Year 2025</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1,690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1,810</w:t>
            </w:r>
          </w:p>
        </w:tc>
        <w:tc>
          <w:tcPr>
            <w:tcW w:w="100" w:type="dxa"/>
            <w:vAlign w:val="bottom"/>
            <w:shd w:val="clear" w:color="auto" w:fill="CCEEFF"/>
          </w:tcPr>
          <w:p>
            <w:pPr>
              <w:spacing w:after="0"/>
              <w:rPr>
                <w:sz w:val="19"/>
                <w:szCs w:val="19"/>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w:t>
            </w:r>
          </w:p>
        </w:tc>
        <w:tc>
          <w:tcPr>
            <w:tcW w:w="9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9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101820"/>
        </w:rPr>
        <w:t xml:space="preserve">Mobileye will host a conference call today, January 30, 2025, at 8:00am ET (3:00pm IT) to review its results and provide a general business update. The conference call will be accessible live via a webcast on Mobileye’s investor relations site, which can be found at </w:t>
      </w:r>
      <w:r>
        <w:rPr>
          <w:rFonts w:ascii="Times New Roman" w:cs="Times New Roman" w:eastAsia="Times New Roman" w:hAnsi="Times New Roman"/>
          <w:sz w:val="18"/>
          <w:szCs w:val="18"/>
          <w:u w:val="single" w:color="auto"/>
          <w:color w:val="000000"/>
        </w:rPr>
        <w:t>ir.mobileye.com</w:t>
      </w:r>
      <w:r>
        <w:rPr>
          <w:rFonts w:ascii="Times New Roman" w:cs="Times New Roman" w:eastAsia="Times New Roman" w:hAnsi="Times New Roman"/>
          <w:sz w:val="18"/>
          <w:szCs w:val="18"/>
          <w:color w:val="101820"/>
        </w:rPr>
        <w:t>, and a replay of the webcast will be made available shortly after the event’s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share-based compensation expenses and impairment of goodwill.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impairment of goodwill, as well as the related income tax effects. Income tax effects have been calculated using the applicable statutory tax rate for each adjustment taking into consideration the associated valuation allowance impacts.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more than 200 million vehicles worldwide have been built with Mobileye technology inside. In 2022 Mobileye listed as an independent company separate from Intel (Nasdaq: INTC), which retains majority ownership. For more information, visit https://www.mobileye.com.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62626"/>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2025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262626"/>
        </w:rPr>
        <w:t xml:space="preserve">Important factors that may materially affect such forward-looking statements and projections include the following: </w:t>
      </w:r>
      <w:r>
        <w:rPr>
          <w:rFonts w:ascii="Times New Roman" w:cs="Times New Roman" w:eastAsia="Times New Roman" w:hAnsi="Times New Roman"/>
          <w:sz w:val="18"/>
          <w:szCs w:val="18"/>
          <w:color w:val="000000"/>
        </w:rPr>
        <w:t>future business, social and</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future products and technology, and the expected availability and benefits of such products and technology;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effects of the COVID-19 pandemic and responses to future pandemics;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018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62626"/>
        </w:rPr>
        <w:t xml:space="preserve">Detailed information regarding these and other factors that could affect Mobileye’s business and results is included in Mobileye’s SEC filings, including the company’s Annual Report on Form 10-K for the year ended December 30, 2023, particularly in the section entitled “Item 1A. Risk Factors”. Copies of these filings may be obtained by visiting our Investor Relations website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262626"/>
        </w:rPr>
        <w:t xml:space="preserve"> or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Full Year 2024 Financial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0"/>
                <w:szCs w:val="20"/>
                <w:color w:val="auto"/>
              </w:rPr>
            </w:pPr>
          </w:p>
        </w:tc>
        <w:tc>
          <w:tcPr>
            <w:tcW w:w="270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187"/>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161"/>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141"/>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30,</w:t>
            </w:r>
          </w:p>
        </w:tc>
        <w:tc>
          <w:tcPr>
            <w:tcW w:w="100" w:type="dxa"/>
            <w:vAlign w:val="bottom"/>
          </w:tcPr>
          <w:p>
            <w:pPr>
              <w:spacing w:after="0"/>
              <w:rPr>
                <w:sz w:val="16"/>
                <w:szCs w:val="16"/>
                <w:color w:val="auto"/>
              </w:rPr>
            </w:pPr>
          </w:p>
        </w:tc>
      </w:t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amounts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1,032</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8"/>
                <w:szCs w:val="18"/>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attributed to Class A and Class B stockholders: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194"/>
        </w:trPr>
        <w:tc>
          <w:tcPr>
            <w:tcW w:w="5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attributed to Class A and Class B stockholders (in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805</w:t>
            </w:r>
          </w:p>
        </w:tc>
      </w:tr>
      <w:tr>
        <w:trPr>
          <w:trHeight w:val="675"/>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30,</w:t>
            </w:r>
          </w:p>
        </w:tc>
      </w:t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10,895</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100" w:type="dxa"/>
            <w:vAlign w:val="bottom"/>
            <w:tcBorders>
              <w:bottom w:val="single" w:sz="8" w:color="CCEEFF"/>
            </w:tcBorders>
          </w:tcPr>
          <w:p>
            <w:pPr>
              <w:spacing w:after="0"/>
              <w:rPr>
                <w:sz w:val="22"/>
                <w:szCs w:val="22"/>
                <w:color w:val="auto"/>
              </w:rPr>
            </w:pPr>
          </w:p>
        </w:tc>
      </w:tr>
      <w:tr>
        <w:trPr>
          <w:trHeight w:val="197"/>
        </w:trPr>
        <w:tc>
          <w:tcPr>
            <w:tcW w:w="8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100" w:type="dxa"/>
            <w:vAlign w:val="bottom"/>
            <w:shd w:val="clear" w:color="auto" w:fill="CCEEFF"/>
          </w:tcPr>
          <w:p>
            <w:pPr>
              <w:spacing w:after="0"/>
              <w:rPr>
                <w:sz w:val="18"/>
                <w:szCs w:val="18"/>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14,924</w:t>
            </w:r>
          </w:p>
        </w:tc>
        <w:tc>
          <w:tcPr>
            <w:tcW w:w="100" w:type="dxa"/>
            <w:vAlign w:val="bottom"/>
            <w:tcBorders>
              <w:bottom w:val="single" w:sz="8" w:color="CCEEFF"/>
            </w:tcBorders>
          </w:tcPr>
          <w:p>
            <w:pPr>
              <w:spacing w:after="0"/>
              <w:rPr>
                <w:sz w:val="18"/>
                <w:szCs w:val="18"/>
                <w:color w:val="auto"/>
              </w:rPr>
            </w:pPr>
          </w:p>
        </w:tc>
      </w:tr>
      <w:tr>
        <w:trPr>
          <w:trHeight w:val="223"/>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187"/>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241"/>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28,</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30,</w:t>
            </w:r>
          </w:p>
        </w:tc>
        <w:tc>
          <w:tcPr>
            <w:tcW w:w="100" w:type="dxa"/>
            <w:vAlign w:val="bottom"/>
            <w:gridSpan w:val="2"/>
          </w:tcPr>
          <w:p>
            <w:pPr>
              <w:spacing w:after="0"/>
              <w:rPr>
                <w:sz w:val="16"/>
                <w:szCs w:val="16"/>
                <w:color w:val="auto"/>
              </w:rPr>
            </w:pPr>
          </w:p>
        </w:tc>
      </w:t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with related party,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equity and debt investments,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trade accounts receivables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other long term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long term liabilities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CEEFF"/>
          </w:tcPr>
          <w:p>
            <w:pPr>
              <w:spacing w:after="0"/>
              <w:rPr>
                <w:sz w:val="19"/>
                <w:szCs w:val="19"/>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year</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21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20" w:type="dxa"/>
            <w:vAlign w:val="bottom"/>
          </w:tcPr>
          <w:p>
            <w:pPr>
              <w:spacing w:after="0"/>
              <w:rPr>
                <w:sz w:val="19"/>
                <w:szCs w:val="19"/>
                <w:color w:val="auto"/>
              </w:rPr>
            </w:pPr>
          </w:p>
        </w:tc>
        <w:tc>
          <w:tcPr>
            <w:tcW w:w="18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20" w:type="dxa"/>
            <w:vAlign w:val="bottom"/>
          </w:tcPr>
          <w:p>
            <w:pPr>
              <w:spacing w:after="0"/>
              <w:rPr>
                <w:sz w:val="19"/>
                <w:szCs w:val="19"/>
                <w:color w:val="auto"/>
              </w:rPr>
            </w:pPr>
          </w:p>
        </w:tc>
        <w:tc>
          <w:tcPr>
            <w:tcW w:w="18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160" w:type="dxa"/>
            <w:vAlign w:val="bottom"/>
          </w:tcPr>
          <w:p>
            <w:pPr>
              <w:spacing w:after="0"/>
              <w:rPr>
                <w:sz w:val="19"/>
                <w:szCs w:val="19"/>
                <w:color w:val="auto"/>
              </w:rPr>
            </w:pPr>
          </w:p>
        </w:tc>
      </w:tr>
      <w:tr>
        <w:trPr>
          <w:trHeight w:val="191"/>
        </w:trPr>
        <w:tc>
          <w:tcPr>
            <w:tcW w:w="2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60" w:type="dxa"/>
            <w:vAlign w:val="bottom"/>
          </w:tcPr>
          <w:p>
            <w:pPr>
              <w:spacing w:after="0"/>
              <w:rPr>
                <w:sz w:val="16"/>
                <w:szCs w:val="16"/>
                <w:color w:val="auto"/>
              </w:rPr>
            </w:pPr>
          </w:p>
        </w:tc>
      </w:tr>
      <w:tr>
        <w:trPr>
          <w:trHeight w:val="234"/>
        </w:trPr>
        <w:tc>
          <w:tcPr>
            <w:tcW w:w="2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tcPr>
          <w:p>
            <w:pPr>
              <w:spacing w:after="0"/>
              <w:rPr>
                <w:sz w:val="20"/>
                <w:szCs w:val="20"/>
                <w:color w:val="auto"/>
              </w:rPr>
            </w:pPr>
          </w:p>
        </w:tc>
      </w:tr>
      <w:tr>
        <w:trPr>
          <w:trHeight w:val="209"/>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50%</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20%</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8"/>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200" w:type="dxa"/>
            <w:vAlign w:val="bottom"/>
          </w:tcPr>
          <w:p>
            <w:pPr>
              <w:spacing w:after="0"/>
              <w:rPr>
                <w:sz w:val="18"/>
                <w:szCs w:val="18"/>
                <w:color w:val="auto"/>
              </w:rPr>
            </w:pPr>
          </w:p>
        </w:tc>
        <w:tc>
          <w:tcPr>
            <w:tcW w:w="8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69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220" w:type="dxa"/>
            <w:vAlign w:val="bottom"/>
          </w:tcPr>
          <w:p>
            <w:pPr>
              <w:spacing w:after="0"/>
              <w:rPr>
                <w:sz w:val="18"/>
                <w:szCs w:val="18"/>
                <w:color w:val="auto"/>
              </w:rPr>
            </w:pPr>
          </w:p>
        </w:tc>
        <w:tc>
          <w:tcPr>
            <w:tcW w:w="8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69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220" w:type="dxa"/>
            <w:vAlign w:val="bottom"/>
          </w:tcPr>
          <w:p>
            <w:pPr>
              <w:spacing w:after="0"/>
              <w:rPr>
                <w:sz w:val="18"/>
                <w:szCs w:val="18"/>
                <w:color w:val="auto"/>
              </w:rPr>
            </w:pPr>
          </w:p>
        </w:tc>
        <w:tc>
          <w:tcPr>
            <w:tcW w:w="8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220" w:type="dxa"/>
            <w:vAlign w:val="bottom"/>
          </w:tcPr>
          <w:p>
            <w:pPr>
              <w:spacing w:after="0"/>
              <w:rPr>
                <w:sz w:val="18"/>
                <w:szCs w:val="18"/>
                <w:color w:val="auto"/>
              </w:rPr>
            </w:pPr>
          </w:p>
        </w:tc>
        <w:tc>
          <w:tcPr>
            <w:tcW w:w="9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and Margin to Non-GAAP Adjusted Operating Income and Margin</w:t>
      </w:r>
      <w:r>
        <w:rPr>
          <w:rFonts w:ascii="Times New Roman" w:cs="Times New Roman" w:eastAsia="Times New Roman" w:hAnsi="Times New Roman"/>
          <w:sz w:val="29"/>
          <w:szCs w:val="29"/>
          <w:color w:val="101820"/>
          <w:vertAlign w:val="superscript"/>
        </w:rPr>
        <w:t>4</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4"/>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jc w:val="center"/>
              <w:ind w:right="3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100" w:type="dxa"/>
            <w:vAlign w:val="bottom"/>
          </w:tcPr>
          <w:p>
            <w:pPr>
              <w:spacing w:after="0"/>
              <w:rPr>
                <w:sz w:val="16"/>
                <w:szCs w:val="16"/>
                <w:color w:val="auto"/>
              </w:rPr>
            </w:pPr>
          </w:p>
        </w:tc>
        <w:tc>
          <w:tcPr>
            <w:tcW w:w="1860" w:type="dxa"/>
            <w:vAlign w:val="bottom"/>
            <w:gridSpan w:val="4"/>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30,</w:t>
            </w:r>
          </w:p>
        </w:tc>
        <w:tc>
          <w:tcPr>
            <w:tcW w:w="220" w:type="dxa"/>
            <w:vAlign w:val="bottom"/>
          </w:tcPr>
          <w:p>
            <w:pPr>
              <w:spacing w:after="0"/>
              <w:rPr>
                <w:sz w:val="16"/>
                <w:szCs w:val="16"/>
                <w:color w:val="auto"/>
              </w:rPr>
            </w:pPr>
          </w:p>
        </w:tc>
      </w:tr>
      <w:tr>
        <w:trPr>
          <w:trHeight w:val="238"/>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6"/>
                <w:szCs w:val="16"/>
                <w:color w:val="auto"/>
              </w:rPr>
            </w:pPr>
          </w:p>
        </w:tc>
      </w:tr>
      <w:tr>
        <w:trPr>
          <w:trHeight w:val="234"/>
        </w:trPr>
        <w:tc>
          <w:tcPr>
            <w:tcW w:w="2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Revenue</w:t>
            </w:r>
          </w:p>
        </w:tc>
        <w:tc>
          <w:tcPr>
            <w:tcW w:w="2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220" w:type="dxa"/>
            <w:vAlign w:val="bottom"/>
            <w:tcBorders>
              <w:bottom w:val="single" w:sz="8" w:color="CCEEFF"/>
            </w:tcBorders>
          </w:tcPr>
          <w:p>
            <w:pPr>
              <w:spacing w:after="0"/>
              <w:rPr>
                <w:sz w:val="20"/>
                <w:szCs w:val="20"/>
                <w:color w:val="auto"/>
              </w:rPr>
            </w:pPr>
          </w:p>
        </w:tc>
      </w:tr>
      <w:tr>
        <w:trPr>
          <w:trHeight w:val="21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20"/>
                <w:szCs w:val="20"/>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2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19"/>
                <w:szCs w:val="19"/>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21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Adjusted Operating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52"/>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193</w:t>
            </w: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693</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101820"/>
          <w:vertAlign w:val="superscript"/>
        </w:rPr>
        <w:t>4</w:t>
      </w:r>
      <w:r>
        <w:rPr>
          <w:rFonts w:ascii="Times New Roman" w:cs="Times New Roman" w:eastAsia="Times New Roman" w:hAnsi="Times New Roman"/>
          <w:sz w:val="18"/>
          <w:szCs w:val="18"/>
          <w:color w:val="auto"/>
        </w:rPr>
        <w:t>Adjusted operating margin is calculated as adjusted operating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to Non-GAAP Adjusted Net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6"/>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5"/>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5"/>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8"/>
              </w:rPr>
              <w:t>% of</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4"/>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Revenue</w:t>
            </w: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8"/>
              </w:rPr>
              <w:t>Revenue</w:t>
            </w: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gridSpan w:val="2"/>
          </w:tcPr>
          <w:p>
            <w:pPr>
              <w:spacing w:after="0"/>
              <w:rPr>
                <w:sz w:val="20"/>
                <w:szCs w:val="20"/>
                <w:color w:val="auto"/>
              </w:rPr>
            </w:pPr>
          </w:p>
        </w:tc>
      </w:tr>
      <w:tr>
        <w:trPr>
          <w:trHeight w:val="209"/>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(3,090)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(187)</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(27)</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0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2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(40)</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659</w:t>
            </w: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426"/>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 - Average System Price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Q4 2024</w:t>
            </w:r>
          </w:p>
        </w:tc>
      </w:tr>
      <w:tr>
        <w:trPr>
          <w:trHeight w:val="178"/>
        </w:trPr>
        <w:tc>
          <w:tcPr>
            <w:tcW w:w="3420" w:type="dxa"/>
            <w:vAlign w:val="bottom"/>
            <w:tcBorders>
              <w:top w:val="single" w:sz="8" w:color="CCEEFF"/>
            </w:tcBorders>
            <w:gridSpan w:val="6"/>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w w:val="99"/>
              </w:rPr>
              <w:t>EyeQ and SuperVision revenue (U.S. dollars in</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413</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3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4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2025-01-30T06:12:21Z</dcterms:created>
  <dcterms:modified xsi:type="dcterms:W3CDTF">2025-01-30T06:12:21Z</dcterms:modified>
</cp:coreProperties>
</file>