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April 27, 2023</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Mobileye Global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Charter)</w:t>
      </w:r>
    </w:p>
    <w:p>
      <w:pPr>
        <w:sectPr>
          <w:pgSz w:w="11900" w:h="16838" w:orient="portrait"/>
          <w:cols w:equalWidth="0" w:num="1">
            <w:col w:w="11240"/>
          </w:cols>
          <w:pgMar w:left="320" w:top="77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001-41541</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79" w:right="339" w:bottom="1440" w:gutter="0" w:footer="0" w:header="0"/>
          <w:type w:val="continuous"/>
        </w:sectPr>
      </w:pPr>
    </w:p>
    <w:p>
      <w:pPr>
        <w:spacing w:after="0" w:line="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Har Hotzvim, 13 Hartom Street</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P.O. Box 45157</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Jerusalem 9777513, Israel</w:t>
      </w:r>
    </w:p>
    <w:p>
      <w:pPr>
        <w:spacing w:after="0" w:line="9"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9777513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77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+972-2-541-7333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310" w:type="dxa"/>
        <w:tblCellMar>
          <w:top w:w="0" w:type="dxa"/>
          <w:left w:w="0" w:type="dxa"/>
          <w:bottom w:w="0" w:type="dxa"/>
          <w:right w:w="0" w:type="dxa"/>
        </w:tblCellMar>
      </w:tblPr>
      <w:tr>
        <w:trPr>
          <w:trHeight w:val="215"/>
        </w:trPr>
        <w:tc>
          <w:tcPr>
            <w:tcW w:w="4500" w:type="dxa"/>
            <w:vAlign w:val="bottom"/>
            <w:tcBorders>
              <w:top w:val="single" w:sz="8" w:color="auto"/>
              <w:left w:val="single" w:sz="8" w:color="auto"/>
              <w:right w:val="single" w:sz="8" w:color="auto"/>
            </w:tcBorders>
          </w:tcPr>
          <w:p>
            <w:pPr>
              <w:spacing w:after="0"/>
              <w:rPr>
                <w:sz w:val="18"/>
                <w:szCs w:val="18"/>
                <w:color w:val="auto"/>
              </w:rPr>
            </w:pPr>
          </w:p>
        </w:tc>
        <w:tc>
          <w:tcPr>
            <w:tcW w:w="2120" w:type="dxa"/>
            <w:vAlign w:val="bottom"/>
            <w:tcBorders>
              <w:top w:val="single" w:sz="8" w:color="auto"/>
              <w:right w:val="single" w:sz="8" w:color="auto"/>
            </w:tcBorders>
          </w:tcPr>
          <w:p>
            <w:pPr>
              <w:spacing w:after="0"/>
              <w:rPr>
                <w:sz w:val="18"/>
                <w:szCs w:val="18"/>
                <w:color w:val="auto"/>
              </w:rPr>
            </w:pPr>
          </w:p>
        </w:tc>
        <w:tc>
          <w:tcPr>
            <w:tcW w:w="4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w:t>
            </w:r>
          </w:p>
        </w:tc>
      </w:tr>
      <w:tr>
        <w:trPr>
          <w:trHeight w:val="238"/>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36"/>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Class A common stock, $0.01 par value</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MBLY</w:t>
            </w:r>
          </w:p>
        </w:tc>
        <w:tc>
          <w:tcPr>
            <w:tcW w:w="4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27, 2023 Mobileye Global Inc. issued a press release announcing its financial results for the quarter ended April 1, 2023. A copy of the press release is furnished as Exhibit 99.1 to this Current Report on Form 8-K.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including Exhibit 99.1 attached hereto, is being furnished and shall not be deemed “filed” for purposes of Section 18 of the Securities Exchange Act of 1934, as amended (the “Exchange Act”), and shall not be deemed incorporated by reference in any filing under the Securities Act of 1933, as amended, or the Exchange Act,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60" w:type="dxa"/>
            <w:vAlign w:val="bottom"/>
          </w:tcPr>
          <w:p>
            <w:pPr>
              <w:spacing w:after="0"/>
              <w:rPr>
                <w:sz w:val="20"/>
                <w:szCs w:val="20"/>
                <w:color w:val="auto"/>
              </w:rPr>
            </w:pPr>
          </w:p>
        </w:tc>
        <w:tc>
          <w:tcPr>
            <w:tcW w:w="5100" w:type="dxa"/>
            <w:vAlign w:val="bottom"/>
          </w:tcPr>
          <w:p>
            <w:pPr>
              <w:spacing w:after="0"/>
              <w:rPr>
                <w:sz w:val="20"/>
                <w:szCs w:val="20"/>
                <w:color w:val="auto"/>
              </w:rPr>
            </w:pPr>
          </w:p>
        </w:tc>
      </w:tr>
      <w:tr>
        <w:trPr>
          <w:trHeight w:val="432"/>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2"/>
          </w:tcPr>
          <w:p>
            <w:pPr>
              <w:ind w:left="4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issued by Mobileye Global Inc. on April 27, 2023</w:t>
            </w:r>
          </w:p>
        </w:tc>
      </w:tr>
      <w:tr>
        <w:trPr>
          <w:trHeight w:val="20"/>
        </w:trPr>
        <w:tc>
          <w:tcPr>
            <w:tcW w:w="3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60" w:type="dxa"/>
            <w:vAlign w:val="bottom"/>
          </w:tcPr>
          <w:p>
            <w:pPr>
              <w:spacing w:after="0"/>
              <w:rPr>
                <w:sz w:val="24"/>
                <w:szCs w:val="24"/>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74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Anat Heller</w:t>
      </w:r>
    </w:p>
    <w:p>
      <w:pPr>
        <w:spacing w:after="0" w:line="9"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Discloses First Quarter 2023 Results, Updates 2023 Guidance and Provides Business Update</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Revenue increased 16% year over year to $458 million in the first quarter.</w:t>
      </w:r>
    </w:p>
    <w:p>
      <w:pPr>
        <w:spacing w:after="0" w:line="225" w:lineRule="exact"/>
        <w:rPr>
          <w:rFonts w:ascii="Times New Roman" w:cs="Times New Roman" w:eastAsia="Times New Roman" w:hAnsi="Times New Roman"/>
          <w:sz w:val="18"/>
          <w:szCs w:val="18"/>
          <w:color w:val="101820"/>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101820"/>
        </w:rPr>
      </w:pPr>
      <w:r>
        <w:rPr>
          <w:rFonts w:ascii="Times New Roman" w:cs="Times New Roman" w:eastAsia="Times New Roman" w:hAnsi="Times New Roman"/>
          <w:sz w:val="18"/>
          <w:szCs w:val="18"/>
          <w:color w:val="101820"/>
        </w:rPr>
        <w:t>Diluted EPS (GAAP) was $(0.10) and Adjusted Diluted EPS (Non-GAAP) was $0.14 in the first quarter.</w:t>
      </w:r>
    </w:p>
    <w:p>
      <w:pPr>
        <w:spacing w:after="0" w:line="228" w:lineRule="exact"/>
        <w:rPr>
          <w:rFonts w:ascii="Times New Roman" w:cs="Times New Roman" w:eastAsia="Times New Roman" w:hAnsi="Times New Roman"/>
          <w:sz w:val="18"/>
          <w:szCs w:val="18"/>
          <w:color w:val="101820"/>
        </w:rPr>
      </w:pPr>
    </w:p>
    <w:p>
      <w:pPr>
        <w:ind w:left="660" w:right="20" w:hanging="328"/>
        <w:spacing w:after="0" w:line="20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101820"/>
        </w:rPr>
        <w:t>Average System Price</w:t>
      </w:r>
      <w:r>
        <w:rPr>
          <w:rFonts w:ascii="Times New Roman" w:cs="Times New Roman" w:eastAsia="Times New Roman" w:hAnsi="Times New Roman"/>
          <w:sz w:val="29"/>
          <w:szCs w:val="29"/>
          <w:color w:val="101820"/>
          <w:vertAlign w:val="superscript"/>
        </w:rPr>
        <w:t>1</w:t>
      </w:r>
      <w:r>
        <w:rPr>
          <w:rFonts w:ascii="Times New Roman" w:cs="Times New Roman" w:eastAsia="Times New Roman" w:hAnsi="Times New Roman"/>
          <w:sz w:val="18"/>
          <w:szCs w:val="18"/>
          <w:color w:val="101820"/>
        </w:rPr>
        <w:t xml:space="preserve"> increased to $53.9 in the first quarter of 2023 from $51.0 in the prior year period, driven primarily by more than doubling the volume of SuperVision</w:t>
      </w:r>
      <w:r>
        <w:rPr>
          <w:rFonts w:ascii="Times New Roman" w:cs="Times New Roman" w:eastAsia="Times New Roman" w:hAnsi="Times New Roman"/>
          <w:sz w:val="29"/>
          <w:szCs w:val="29"/>
          <w:color w:val="101820"/>
          <w:vertAlign w:val="superscript"/>
        </w:rPr>
        <w:t>TM</w:t>
      </w:r>
      <w:r>
        <w:rPr>
          <w:rFonts w:ascii="Times New Roman" w:cs="Times New Roman" w:eastAsia="Times New Roman" w:hAnsi="Times New Roman"/>
          <w:sz w:val="18"/>
          <w:szCs w:val="18"/>
          <w:color w:val="101820"/>
        </w:rPr>
        <w:t xml:space="preserve"> sales.</w:t>
      </w:r>
    </w:p>
    <w:p>
      <w:pPr>
        <w:spacing w:after="0" w:line="118" w:lineRule="exact"/>
        <w:rPr>
          <w:rFonts w:ascii="Times New Roman" w:cs="Times New Roman" w:eastAsia="Times New Roman" w:hAnsi="Times New Roman"/>
          <w:sz w:val="36"/>
          <w:szCs w:val="36"/>
          <w:color w:val="auto"/>
          <w:vertAlign w:val="superscript"/>
        </w:rPr>
      </w:pPr>
    </w:p>
    <w:p>
      <w:pPr>
        <w:ind w:left="660" w:hanging="328"/>
        <w:spacing w:after="0" w:line="197" w:lineRule="auto"/>
        <w:tabs>
          <w:tab w:leader="none" w:pos="660" w:val="left"/>
        </w:tabs>
        <w:numPr>
          <w:ilvl w:val="0"/>
          <w:numId w:val="2"/>
        </w:numPr>
        <w:rPr>
          <w:rFonts w:ascii="Times New Roman" w:cs="Times New Roman" w:eastAsia="Times New Roman" w:hAnsi="Times New Roman"/>
          <w:sz w:val="36"/>
          <w:szCs w:val="36"/>
          <w:color w:val="101820"/>
          <w:vertAlign w:val="superscript"/>
        </w:rPr>
      </w:pPr>
      <w:r>
        <w:rPr>
          <w:rFonts w:ascii="Times New Roman" w:cs="Times New Roman" w:eastAsia="Times New Roman" w:hAnsi="Times New Roman"/>
          <w:sz w:val="18"/>
          <w:szCs w:val="18"/>
          <w:color w:val="101820"/>
        </w:rPr>
        <w:t>Additional near-term SuperVision launches include Polestar 4 expected in Q4 2023, and expansion of Zeekr 001 into Europe, expected in late 2023. Multiple development activities with traditional OEMs on SuperVision and Chauffeur</w:t>
      </w:r>
      <w:r>
        <w:rPr>
          <w:rFonts w:ascii="Times New Roman" w:cs="Times New Roman" w:eastAsia="Times New Roman" w:hAnsi="Times New Roman"/>
          <w:sz w:val="29"/>
          <w:szCs w:val="29"/>
          <w:color w:val="101820"/>
          <w:vertAlign w:val="superscript"/>
        </w:rPr>
        <w:t>TM</w:t>
      </w:r>
      <w:r>
        <w:rPr>
          <w:rFonts w:ascii="Times New Roman" w:cs="Times New Roman" w:eastAsia="Times New Roman" w:hAnsi="Times New Roman"/>
          <w:sz w:val="18"/>
          <w:szCs w:val="18"/>
          <w:color w:val="101820"/>
        </w:rPr>
        <w:t xml:space="preserve"> gaining traction.</w:t>
      </w:r>
    </w:p>
    <w:p>
      <w:pPr>
        <w:spacing w:after="0" w:line="74" w:lineRule="exact"/>
        <w:rPr>
          <w:rFonts w:ascii="Times New Roman" w:cs="Times New Roman" w:eastAsia="Times New Roman" w:hAnsi="Times New Roman"/>
          <w:sz w:val="36"/>
          <w:szCs w:val="36"/>
          <w:color w:val="101820"/>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Generated net cash from operating activities of $171 million in the first quarter. Our balance sheet is strong with $1.2 billion of cash and cash equivalents and zero debt as of April 1, 2023.</w:t>
      </w:r>
    </w:p>
    <w:p>
      <w:pPr>
        <w:spacing w:after="0" w:line="16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101820"/>
        </w:rPr>
        <w:t>JERUSALEM – April 27, 2023 – Mobileye Global Inc. (Nasdaq: MBLY) (“Mobileye”) today released its financial results for the three months ended April 1, 2023.</w:t>
      </w:r>
    </w:p>
    <w:p>
      <w:pPr>
        <w:spacing w:after="0" w:line="202"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101820"/>
        </w:rPr>
        <w:t>“The business performed very well in Q1, including 16% revenue growth as both our EyeQ® and SuperVision business lines grew strongly, significantly outperforming underlying global auto production growth. Operating Cash flow was very robust at $171 million. We continue to gain traction with our advanced product portfolio as multiple SuperVision and Chauffeur programs with global automakers approach design win conclusion. We expect that near-term SuperVision launches, such as Polestar 4 in Q4 2023, will drive customer and regional diversification in this key business, while also driving momentum with additional customers,” said Mobileye President and CEO Prof. Amnon Shashua. “Due to a number of headwinds lowering EV demand in</w:t>
      </w:r>
    </w:p>
    <w:p>
      <w:pPr>
        <w:spacing w:after="0" w:line="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101820"/>
        </w:rPr>
        <w:t>China, we have reduced our 2023 SuperVision shipment forecast which is negatively impacting our annual financial guidance as explained below. We see this as a temporary issue that should not impact the potential for this business to accelerate our top and bottom-line growth as it scales, diversifies, and becomes more predictable with additional OEMs and vehicle launches. We will continue to invest heavily (while maintaining strong profitability) during 2023 to productize and launch our advanced solutions. We feel more confident than ever that the opportunities ahead of us can deliver substantial benefits to our investors, our customers, and other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First Quarter 2023 Business Highlights</w:t>
      </w:r>
    </w:p>
    <w:p>
      <w:pPr>
        <w:spacing w:after="0" w:line="229" w:lineRule="exact"/>
        <w:rPr>
          <w:sz w:val="20"/>
          <w:szCs w:val="20"/>
          <w:color w:val="auto"/>
        </w:rPr>
      </w:pPr>
    </w:p>
    <w:p>
      <w:pPr>
        <w:ind w:left="660" w:hanging="328"/>
        <w:spacing w:after="0" w:line="29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business development activity remains very robust. The pipeline of design win opportunities we are currently pursuing in 2023 is expected to be higher than the $6.7 billion in projected future revenue from design wins we achieved in 2022.</w:t>
      </w:r>
      <w:r>
        <w:rPr>
          <w:rFonts w:ascii="Times New Roman" w:cs="Times New Roman" w:eastAsia="Times New Roman" w:hAnsi="Times New Roman"/>
          <w:sz w:val="29"/>
          <w:szCs w:val="29"/>
          <w:color w:val="auto"/>
          <w:vertAlign w:val="superscript"/>
        </w:rPr>
        <w:t>2</w:t>
      </w:r>
    </w:p>
    <w:p>
      <w:pPr>
        <w:spacing w:after="0" w:line="3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Cloud-enhanced ADAS volumes (i.e. front-facing camera plus REM mapping) is expected to ramp up more meaningfully with the second major customer planned to begin production this year. Each of those OEMs also recently chose to expand this technology to additional vehicle platforms beyond the original plan. We expect this business to drive significant recurring software licensing revenue that we expect will represent approximately double the upfront price of the EyeQ</w:t>
      </w:r>
      <w:r>
        <w:rPr>
          <w:rFonts w:ascii="Times New Roman" w:cs="Times New Roman" w:eastAsia="Times New Roman" w:hAnsi="Times New Roman"/>
          <w:sz w:val="18"/>
          <w:szCs w:val="18"/>
          <w:color w:val="101820"/>
        </w:rPr>
        <w:t>®</w:t>
      </w:r>
      <w:r>
        <w:rPr>
          <w:rFonts w:ascii="Times New Roman" w:cs="Times New Roman" w:eastAsia="Times New Roman" w:hAnsi="Times New Roman"/>
          <w:sz w:val="18"/>
          <w:szCs w:val="18"/>
          <w:color w:val="auto"/>
        </w:rPr>
        <w:t xml:space="preserve"> SoC. We are also encouraged by the inclusion of cloud-enabled safety features in the Euro NCAP safety rating protocols beginning in 2026 which we expect to drive further traction for this product.</w:t>
      </w:r>
    </w:p>
    <w:p>
      <w:pPr>
        <w:spacing w:after="0" w:line="223" w:lineRule="exact"/>
        <w:rPr>
          <w:rFonts w:ascii="Times New Roman" w:cs="Times New Roman" w:eastAsia="Times New Roman" w:hAnsi="Times New Roman"/>
          <w:sz w:val="18"/>
          <w:szCs w:val="18"/>
          <w:color w:val="auto"/>
        </w:rPr>
      </w:pPr>
    </w:p>
    <w:p>
      <w:pPr>
        <w:jc w:val="both"/>
        <w:ind w:left="660" w:hanging="328"/>
        <w:spacing w:after="0" w:line="204"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SuperVision launches are on-track, supporting diversification of this high-value product line and continued growth in Mobileye Average System Price. Zeekr 009 launched in Q1 and SuperVision-equipped vehicles from two additional Geely-related brands are planned to launch in China in the second half of 2023, including Polestar 4. Additionally, Zeekr 001 is planned to enter Europe in late 2023 and Polestar 4 expected to be sold globally in 2024.</w:t>
      </w:r>
    </w:p>
    <w:p>
      <w:pPr>
        <w:spacing w:after="0" w:line="200" w:lineRule="exact"/>
        <w:rPr>
          <w:rFonts w:ascii="Times New Roman" w:cs="Times New Roman" w:eastAsia="Times New Roman" w:hAnsi="Times New Roman"/>
          <w:sz w:val="36"/>
          <w:szCs w:val="36"/>
          <w:color w:val="auto"/>
          <w:vertAlign w:val="superscript"/>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see strong interest in SuperVision (and Chauffeur) from additional global OEMs. Development activities for advanced products with Western OEMs are progressing well, including an ongoing series production development program for SuperVision with a Premium European Automaker. We expect that SuperVision will expand to additional brands within this group based on shared vehicle platforms. Beyond this, we continue to expect nomination for SuperVision with an additional global US-based OEM in the 2nd half of 2023. Finally, our successful commercial deployment with Zeekr is driving substantial interest from a number of OEMs based in China and India.</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Mobility-as-a-Service front, we are focusing our efforts on collaborations to develop purpose-built vehicle platforms that would be pre-engineered to integrate Mobileye’s self-driving system at the OEMs factory. In addition to partnering with Holon and Schaeffler, we are working with a leading European producer of light commercial vehicles and have already upfitted 30 of the targeted vehicles with our self-driving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First Quarter 2023 Financial Summary and Key Explanations (Unaudited)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GAAP</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Q1 2023</w:t>
            </w:r>
          </w:p>
        </w:tc>
        <w:tc>
          <w:tcPr>
            <w:tcW w:w="280" w:type="dxa"/>
            <w:vAlign w:val="bottom"/>
            <w:gridSpan w:val="2"/>
            <w:vMerge w:val="restart"/>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Q1 2022</w:t>
            </w:r>
          </w:p>
        </w:tc>
        <w:tc>
          <w:tcPr>
            <w:tcW w:w="300" w:type="dxa"/>
            <w:vAlign w:val="bottom"/>
            <w:vMerge w:val="restart"/>
          </w:tcPr>
          <w:p>
            <w:pPr>
              <w:spacing w:after="0"/>
              <w:rPr>
                <w:sz w:val="24"/>
                <w:szCs w:val="24"/>
                <w:color w:val="auto"/>
              </w:rPr>
            </w:pPr>
          </w:p>
        </w:tc>
        <w:tc>
          <w:tcPr>
            <w:tcW w:w="12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 Y/Y</w:t>
            </w:r>
          </w:p>
        </w:tc>
        <w:tc>
          <w:tcPr>
            <w:tcW w:w="3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12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gridSpan w:val="2"/>
            <w:vMerge w:val="continue"/>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30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gridSpan w:val="2"/>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18"/>
                <w:szCs w:val="18"/>
                <w:color w:val="auto"/>
              </w:rPr>
            </w:pP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500" w:type="dxa"/>
            <w:vAlign w:val="bottom"/>
            <w:gridSpan w:val="2"/>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+53bps</w:t>
            </w:r>
          </w:p>
        </w:tc>
        <w:tc>
          <w:tcPr>
            <w:tcW w:w="0" w:type="dxa"/>
            <w:vAlign w:val="bottom"/>
          </w:tcPr>
          <w:p>
            <w:pPr>
              <w:spacing w:after="0"/>
              <w:rPr>
                <w:sz w:val="1"/>
                <w:szCs w:val="1"/>
                <w:color w:val="auto"/>
              </w:rPr>
            </w:pPr>
          </w:p>
        </w:tc>
      </w:tr>
      <w:tr>
        <w:trPr>
          <w:trHeight w:val="21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gridSpan w:val="2"/>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500" w:type="dxa"/>
            <w:vAlign w:val="bottom"/>
            <w:gridSpan w:val="2"/>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(601)bps</w:t>
            </w:r>
          </w:p>
        </w:tc>
        <w:tc>
          <w:tcPr>
            <w:tcW w:w="0" w:type="dxa"/>
            <w:vAlign w:val="bottom"/>
          </w:tcPr>
          <w:p>
            <w:pPr>
              <w:spacing w:after="0"/>
              <w:rPr>
                <w:sz w:val="1"/>
                <w:szCs w:val="1"/>
                <w:color w:val="auto"/>
              </w:rPr>
            </w:pPr>
          </w:p>
        </w:tc>
      </w:tr>
      <w:tr>
        <w:trPr>
          <w:trHeight w:val="21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gridSpan w:val="2"/>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Pr>
          <w:p>
            <w:pPr>
              <w:spacing w:after="0"/>
              <w:rPr>
                <w:sz w:val="18"/>
                <w:szCs w:val="18"/>
                <w:color w:val="auto"/>
              </w:rPr>
            </w:pP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EPS - Basic</w:t>
            </w:r>
          </w:p>
        </w:tc>
        <w:tc>
          <w:tcPr>
            <w:tcW w:w="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(0.08)</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EPS - Diluted</w:t>
            </w:r>
          </w:p>
        </w:tc>
        <w:tc>
          <w:tcPr>
            <w:tcW w:w="220" w:type="dxa"/>
            <w:vAlign w:val="bottom"/>
            <w:gridSpan w:val="2"/>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spacing w:after="0"/>
              <w:rPr>
                <w:sz w:val="19"/>
                <w:szCs w:val="19"/>
                <w:color w:val="auto"/>
              </w:rPr>
            </w:pPr>
          </w:p>
        </w:tc>
        <w:tc>
          <w:tcPr>
            <w:tcW w:w="2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(0.08)</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9"/>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Q1 2023</w:t>
            </w:r>
          </w:p>
        </w:tc>
        <w:tc>
          <w:tcPr>
            <w:tcW w:w="80" w:type="dxa"/>
            <w:vAlign w:val="bottom"/>
            <w:vMerge w:val="restart"/>
          </w:tcPr>
          <w:p>
            <w:pPr>
              <w:spacing w:after="0"/>
              <w:rPr>
                <w:sz w:val="24"/>
                <w:szCs w:val="24"/>
                <w:color w:val="auto"/>
              </w:rPr>
            </w:pPr>
          </w:p>
        </w:tc>
        <w:tc>
          <w:tcPr>
            <w:tcW w:w="20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Q1 2022</w:t>
            </w:r>
          </w:p>
        </w:tc>
        <w:tc>
          <w:tcPr>
            <w:tcW w:w="300" w:type="dxa"/>
            <w:vAlign w:val="bottom"/>
            <w:vMerge w:val="restart"/>
          </w:tcPr>
          <w:p>
            <w:pPr>
              <w:spacing w:after="0"/>
              <w:rPr>
                <w:sz w:val="24"/>
                <w:szCs w:val="24"/>
                <w:color w:val="auto"/>
              </w:rPr>
            </w:pPr>
          </w:p>
        </w:tc>
        <w:tc>
          <w:tcPr>
            <w:tcW w:w="120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 Y/Y</w:t>
            </w:r>
          </w:p>
        </w:tc>
        <w:tc>
          <w:tcPr>
            <w:tcW w:w="3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30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301</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1500" w:type="dxa"/>
            <w:vAlign w:val="bottom"/>
            <w:gridSpan w:val="2"/>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(571)bps</w:t>
            </w:r>
          </w:p>
        </w:tc>
        <w:tc>
          <w:tcPr>
            <w:tcW w:w="0" w:type="dxa"/>
            <w:vAlign w:val="bottom"/>
          </w:tcPr>
          <w:p>
            <w:pPr>
              <w:spacing w:after="0"/>
              <w:rPr>
                <w:sz w:val="1"/>
                <w:szCs w:val="1"/>
                <w:color w:val="auto"/>
              </w:rPr>
            </w:pPr>
          </w:p>
        </w:tc>
      </w:tr>
      <w:tr>
        <w:trPr>
          <w:trHeight w:val="21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143</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1500" w:type="dxa"/>
            <w:vAlign w:val="bottom"/>
            <w:gridSpan w:val="2"/>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(921)bps</w:t>
            </w:r>
          </w:p>
        </w:tc>
        <w:tc>
          <w:tcPr>
            <w:tcW w:w="0" w:type="dxa"/>
            <w:vAlign w:val="bottom"/>
          </w:tcPr>
          <w:p>
            <w:pPr>
              <w:spacing w:after="0"/>
              <w:rPr>
                <w:sz w:val="1"/>
                <w:szCs w:val="1"/>
                <w:color w:val="auto"/>
              </w:rPr>
            </w:pPr>
          </w:p>
        </w:tc>
      </w:tr>
      <w:tr>
        <w:trPr>
          <w:trHeight w:val="21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120</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EPS - Basic</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0.16</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EPS - Diluted</w:t>
            </w: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0.16</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32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Revenue of $458 million increased 16% compared to the first quarter of 2022. EyeQ® SoC related revenue grew 11% in the quarter due to a combination of volume and ASP growth. The remaining growth was primarily generated by SuperVision related revenue.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Average System Price was $53.9 in first quarter of 2023 as compared to $51.0 in the prior year period, driven primarily by increased mix of advanced products. Price increases to offset the increased cost of our EyeQ® chip due to global inflationary pressures also contributed to the Average System Price increase but to a lesser extent.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Gross Margin in the first quarter of 2023 was largely consistent with the prior year period, as the downward impact of the increased cost of our EyeQ® chip (and associated price increase to customers), was mostly offset by lower impact of the cost attributable to amortization of intangible assets as a percentage of revenue.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Adjusted Gross Margin declined by nearly 6 percentage points in the first quarter of 2023 as compared to the prior year period. The decrease was primarily due to the increased cost of our EyeQ® chip which was passed through as a price increase to customers on a zero-margin basis.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Operating Margin declined by approximately 6 percentage points in the first quarter of 2023 as compared to the prior year period. The decrease was primarily due to higher headcount and direct research and development expenses which resulted in a year-over-year increase in operating expenses as a percentage of revenue.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Adjusted Operating Margin declined by approximately 9 percentage points in the first quarter of 2023 as compared to the prior year period. The decrease was due to lower Adjusted Gross Margin, as well as an increase in research and development expenses attributable to headcount and higher direct expenses, to execute our future product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01820"/>
        </w:rPr>
        <w:t>Operating cash flow for the three months ended April 1, 2023 was $171 million. Cash used in purchases of property and equipment was $26 million for that same period.</w:t>
      </w:r>
    </w:p>
    <w:p>
      <w:pPr>
        <w:spacing w:after="0" w:line="91" w:lineRule="exact"/>
        <w:rPr>
          <w:sz w:val="20"/>
          <w:szCs w:val="20"/>
          <w:color w:val="auto"/>
        </w:rPr>
      </w:pPr>
    </w:p>
    <w:p>
      <w:pPr>
        <w:ind w:left="440" w:hanging="108"/>
        <w:spacing w:after="0"/>
        <w:tabs>
          <w:tab w:leader="none" w:pos="4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101820"/>
        </w:rPr>
        <w:t>Average System Price is calculated as the sum of revenue related to EyeQ® and SuperVision systems, divided by the number of systems shipped.</w:t>
      </w:r>
    </w:p>
    <w:p>
      <w:pPr>
        <w:spacing w:after="0" w:line="238" w:lineRule="exact"/>
        <w:rPr>
          <w:sz w:val="20"/>
          <w:szCs w:val="20"/>
          <w:color w:val="auto"/>
        </w:rPr>
      </w:pPr>
    </w:p>
    <w:p>
      <w:pPr>
        <w:jc w:val="both"/>
        <w:ind w:left="340" w:hanging="8"/>
        <w:spacing w:after="0" w:line="210" w:lineRule="auto"/>
        <w:tabs>
          <w:tab w:leader="none" w:pos="452"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101820"/>
        </w:rPr>
        <w:t>Mobileye’s revenue for the periods presented represent estimated volumes based on projections of future production volumes that were provided by our current and prospective OEMs at the time of sourcing the design wins for the models related to those design wins. See the disclaimer under the heading “Forward-Looking Statements” below for important limitations applicable to these estimates.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 for the 2023 Fiscal Year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updating our 2023 fiscal year guidance we provided on January 26, 2023 to reflect a meaningful reduction in our expectations for SuperVision volumes in 2023, which is impacting the midpoint of our annual Revenue, Operating Loss, and Adjusted Operating Income guidance by about 6.5%, 34%, and 6.5%, respectively. The China electric vehicle market has been negatively impacted by meaningful pricing actions by a global EV OEM, reduction of government electric vehicle subsidies, and general economic weakness in the country. While order flows for our main current customer for SuperVision have improved in recent weeks, given the impact they have seen in Q1 and revised outlook for the year, we are updating our 2023 fiscal year guidance to reflect this development. The reduction in guidance is driven solely by the recent reduction in expected volumes in our SuperVision business line. We plan to continue the diversification and scaling of this business in the coming quarters and years, which we expect will improve the predictability of SuperVision volumes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18"/>
          <w:szCs w:val="18"/>
          <w:color w:val="101820"/>
        </w:rPr>
        <w:t>The following information reflects Mobileye’s expectations for Revenue, Operating Loss and Adjusted Operating Income results for the year ending December 30, 2023. We believe Adjusted Operating Income (a non-GAAP metric) is an appropriate metric as it excludes significant non-cash expenses including: 1) Amortization charges related to intangible assets consisting of developed technology, customer relationships, and brands as a result of Intel’s acquisition of Mobileye in 2017 and the acquisition of Moovit in 2020; and, 2) Share-based compensation expense. These statements represent forward-looking information and may not represent a financial outlook, and actual results may vary. Please see the risks and assumptions referred to in the Forward-Looking Statements section of this release.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Full Year 2023</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Low</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High</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2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2,065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2,114</w:t>
            </w:r>
          </w:p>
        </w:tc>
        <w:tc>
          <w:tcPr>
            <w:tcW w:w="100" w:type="dxa"/>
            <w:vAlign w:val="bottom"/>
            <w:shd w:val="clear" w:color="auto" w:fill="CCEEFF"/>
          </w:tcPr>
          <w:p>
            <w:pPr>
              <w:spacing w:after="0"/>
              <w:rPr>
                <w:sz w:val="19"/>
                <w:szCs w:val="19"/>
                <w:color w:val="auto"/>
              </w:rPr>
            </w:pPr>
          </w:p>
        </w:tc>
      </w:tr>
      <w:tr>
        <w:trPr>
          <w:trHeight w:val="209"/>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474</w:t>
            </w:r>
          </w:p>
        </w:tc>
        <w:tc>
          <w:tcPr>
            <w:tcW w:w="9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w:t>
            </w:r>
          </w:p>
        </w:tc>
        <w:tc>
          <w:tcPr>
            <w:tcW w:w="9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 Webcast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101820"/>
        </w:rPr>
        <w:t xml:space="preserve">Mobileye will host a conference call today, April 27, 2023, at 8:00 a.m. ET (3:00 p.m. IT) to review its results and provide a general business update. The conference call will be accessible live via a webcast on Mobileye’s investor relations site, which can be found at </w:t>
      </w:r>
      <w:r>
        <w:rPr>
          <w:rFonts w:ascii="Times New Roman" w:cs="Times New Roman" w:eastAsia="Times New Roman" w:hAnsi="Times New Roman"/>
          <w:sz w:val="18"/>
          <w:szCs w:val="18"/>
          <w:color w:val="000000"/>
        </w:rPr>
        <w:t>ir.mobileye.com</w:t>
      </w:r>
      <w:r>
        <w:rPr>
          <w:rFonts w:ascii="Times New Roman" w:cs="Times New Roman" w:eastAsia="Times New Roman" w:hAnsi="Times New Roman"/>
          <w:sz w:val="18"/>
          <w:szCs w:val="18"/>
          <w:color w:val="101820"/>
        </w:rPr>
        <w:t>, and a replay of the webcast will be made available shortly after the event’s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Adjusted Gross Profit and Margin, Adjusted Operating Income and Margin, Adjusted Net Income and Adjusted EPS, which are financial measures not presented in accordance with GAAP. We define Adjusted Gross Profit as gross profit presented in accordance with GAAP, excluding amortization of acquisition related intangibles and share-based compensation expense. Adjusted Gross Margin is calculated as Adjusted Gross Profit divided by total revenue. We define Adjusted Operating Income as operating loss presented in accordance with GAAP, adjusted to exclude amortization of acquisition related intangibles, share-based compensation expenses and expenses related to our initial public offering that was completed on October 28, 2022. Operating margin is calculated as operating income (loss) divided by total revenue, and Adjusted Operating Margin is calculated as Adjusted Operating Income divided by total revenue. We define Adjusted Net Income as net loss presented in accordance with GAAP, adjusted to exclude amortization of acquisition related intangibles, share-based compensation expense, and expenses related to our initial public offering that was completed on October 28, 2022,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Adjusted Basic EPS (Earnings Per Share) is calculated by dividing Adjusted Net Income for the period by the weighted-average number of common shares outstanding during the period. Adjusted Diluted EPS is calculated by dividing Adjusted Net Income by the weighted-average number of common shares outstanding during the period, while giving effect to all potentially dilutive common shares to the extent they are dilutive.</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Mobileye Global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Mobileye (Nasdaq: MBLY) leads the mobility revolution with its autonomous driving and driver-assistance technologies, harnessing world-renowned expertise in computer vision, artificial intelligence, mapping, and data analysis. Since its founding in 1999, Mobileye has pioneered such groundbreaking technologies as REM™ crowdsourced mapping, True Redundancy™ sensing, and Responsibility Sensitive Safety (RSS). These technologies are driving the ADAS and AV fields towards the future of mobility – enabling self-driving vehicles and mobility solutions, powering industry-leading advanced driver-assistance systems and delivering valuable intelligence to optimize mobility infrastructure. To date, more than 125 million vehicles worldwide have been built with Mobileye technology inside. In 2022 Mobileye listed as an independent company separate from Intel (Nasdaq: INTC), which retains majority ownership. For more information, visit https://www.mobileye.com.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“Mobileye,” the Mobileye logo and Mobileye product names are registered trademarks of Mobileye Global. All other marks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62626"/>
        </w:rPr>
        <w:t>Mobileye’s business outlook, guidance and other statements in this release that are not statements of historical fact, including statements about our beliefs and expectations, are forward-looking statements and should be evaluated as such. Forward-looking statements include information concerning possible or assumed future results of operations, including Mobileye’s 2023 full-year guidance, projected future revenue and descriptions of our business plan and strategies.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We base these forward-looking statements or projections, including Mobileye’s full-year guidance,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You should understand that these statements are not guarantees of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53" w:lineRule="auto"/>
        <w:rPr>
          <w:sz w:val="20"/>
          <w:szCs w:val="20"/>
          <w:color w:val="auto"/>
        </w:rPr>
      </w:pPr>
      <w:r>
        <w:rPr>
          <w:rFonts w:ascii="Times New Roman" w:cs="Times New Roman" w:eastAsia="Times New Roman" w:hAnsi="Times New Roman"/>
          <w:sz w:val="18"/>
          <w:szCs w:val="18"/>
          <w:color w:val="262626"/>
        </w:rPr>
        <w:t xml:space="preserve">Important factors that may materially affect such forward-looking statements and projections include the following: </w:t>
      </w:r>
      <w:r>
        <w:rPr>
          <w:rFonts w:ascii="Times New Roman" w:cs="Times New Roman" w:eastAsia="Times New Roman" w:hAnsi="Times New Roman"/>
          <w:sz w:val="18"/>
          <w:szCs w:val="18"/>
          <w:color w:val="000000"/>
        </w:rPr>
        <w:t>future business, social and</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environmental performance, goals and measures; our anticipated growth prospects and trends in markets and industries relevant to our business; business and investment plans; expectations about our ability to maintain or enhance our leadership position in the markets in which we participate; future consumer demand and behavior; future products and technology, and the expected availability and benefits of such products and technology; development of regulatory frameworks for current and future technology; ​projected cost and pricing trends; ​future production capacity and product supply; potential future benefits and competitive advantages associated with our technologies and architecture and the data we have accumulated; the future purchase, use and availability of products, components and services supplied by third parties, including third-party IP and manufacturing services; uncertain events or assumptions, including statements relating to our estimated vehicle production and market opportunity, potential production volumes associated with design wins and other characterizations of future events or circumstances; future responses to and effects of the COVID-19 pandemic; availability, uses, sufficiency and cost of capital and capital resources, including expected returns to stockholders such as dividends, and the expected timing of future dividends; tax- and accounting-related expectations.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101820"/>
        </w:rPr>
        <w:t>The estimates included herein are based on projections of future production volumes that were provided by our current and prospective OEMs at the time of sourcing the design wins for the models related to those design wins. For the purpose of these estimates, we estimated sales prices based on our management’s estimates for the applicable product bundles and periods. Achieving design wins is not a guarantee of revenue, and our sales may not correlate with the achievement of additional design wins. Moreover, our pricing estimates are made at the time of a request for quotation by an OEM (in the case of estimates related to contracted customers), so that worsening market or other conditions between the time of a request for quotation and an order for our solutions may require us to sell our solutions for a lower price than we initial expected. These estimates may deviate from actual production volumes and sale prices (which may be higher or lower than the estimates) and the amounts included for prospective but uncontracted production volumes may never be achieved. Accordingly, these estimations are subject to and involve risks, uncertainties and assumptions and you should not place undue reliance on these forward-looking statements or projections.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62626"/>
        </w:rPr>
        <w:t>Detailed information regarding these and other factors that could affect Mobileye’s business and results is included in Mobileye’s SEC filings, including the company’s Annual Report on Form 10-K for the year ended December 31, 2022, particularly in the section entitled “Item 1A. Risk Factors”. Copies of these filings may be obtained by visiting our Investor Relations website at ir.mobileye.com or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First Quarter 2023 Financial Results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Operations (unaudited)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 except share and per share amounts</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8"/>
              </w:rPr>
              <w:t>April 1, 2023</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April 2, 2022</w:t>
            </w:r>
          </w:p>
        </w:tc>
        <w:tc>
          <w:tcPr>
            <w:tcW w:w="100" w:type="dxa"/>
            <w:vAlign w:val="bottom"/>
          </w:tcPr>
          <w:p>
            <w:pPr>
              <w:spacing w:after="0"/>
              <w:rPr>
                <w:sz w:val="19"/>
                <w:szCs w:val="19"/>
                <w:color w:val="auto"/>
              </w:rPr>
            </w:pPr>
          </w:p>
        </w:tc>
      </w:tr>
      <w:tr>
        <w:trPr>
          <w:trHeight w:val="209"/>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218</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related party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 earnings (loss) per share (in millions):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w:t>
            </w:r>
          </w:p>
        </w:tc>
      </w:tr>
      <w:tr>
        <w:trPr>
          <w:trHeight w:val="414"/>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Balance sheets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April 1, 2023</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09"/>
        </w:trPr>
        <w:tc>
          <w:tcPr>
            <w:tcW w:w="8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1,161</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w:t>
            </w:r>
          </w:p>
        </w:tc>
      </w:tr>
      <w:tr>
        <w:trPr>
          <w:trHeight w:val="216"/>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0"/>
        </w:trPr>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2,527</w:t>
            </w:r>
          </w:p>
        </w:tc>
      </w:tr>
      <w:tr>
        <w:trPr>
          <w:trHeight w:val="216"/>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10,895</w:t>
            </w: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r>
      <w:tr>
        <w:trPr>
          <w:trHeight w:val="209"/>
        </w:trPr>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15,462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15,441</w:t>
            </w:r>
          </w:p>
        </w:tc>
        <w:tc>
          <w:tcPr>
            <w:tcW w:w="100" w:type="dxa"/>
            <w:vAlign w:val="bottom"/>
            <w:tcBorders>
              <w:bottom w:val="single" w:sz="8" w:color="CCEEFF"/>
            </w:tcBorders>
          </w:tcPr>
          <w:p>
            <w:pPr>
              <w:spacing w:after="0"/>
              <w:rPr>
                <w:sz w:val="22"/>
                <w:szCs w:val="22"/>
                <w:color w:val="auto"/>
              </w:rPr>
            </w:pPr>
          </w:p>
        </w:tc>
      </w:tr>
      <w:tr>
        <w:trPr>
          <w:trHeight w:val="197"/>
        </w:trPr>
        <w:tc>
          <w:tcPr>
            <w:tcW w:w="814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Related party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00" w:type="dxa"/>
            <w:vAlign w:val="bottom"/>
            <w:tcBorders>
              <w:bottom w:val="single" w:sz="8" w:color="CCEEFF"/>
            </w:tcBorders>
          </w:tcPr>
          <w:p>
            <w:pPr>
              <w:spacing w:after="0"/>
              <w:rPr>
                <w:sz w:val="18"/>
                <w:szCs w:val="18"/>
                <w:color w:val="auto"/>
              </w:rPr>
            </w:pPr>
          </w:p>
        </w:tc>
      </w:tr>
      <w:tr>
        <w:trPr>
          <w:trHeight w:val="209"/>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c>
          <w:tcPr>
            <w:tcW w:w="100" w:type="dxa"/>
            <w:vAlign w:val="bottom"/>
            <w:shd w:val="clear" w:color="auto" w:fill="CCEEFF"/>
          </w:tcPr>
          <w:p>
            <w:pPr>
              <w:spacing w:after="0"/>
              <w:rPr>
                <w:sz w:val="18"/>
                <w:szCs w:val="18"/>
                <w:color w:val="auto"/>
              </w:rPr>
            </w:pPr>
          </w:p>
        </w:tc>
      </w:tr>
      <w:tr>
        <w:trPr>
          <w:trHeight w:val="210"/>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14,787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14,794</w:t>
            </w:r>
          </w:p>
        </w:tc>
        <w:tc>
          <w:tcPr>
            <w:tcW w:w="100" w:type="dxa"/>
            <w:vAlign w:val="bottom"/>
            <w:tcBorders>
              <w:bottom w:val="single" w:sz="8" w:color="CCEEFF"/>
            </w:tcBorders>
          </w:tcPr>
          <w:p>
            <w:pPr>
              <w:spacing w:after="0"/>
              <w:rPr>
                <w:sz w:val="18"/>
                <w:szCs w:val="18"/>
                <w:color w:val="auto"/>
              </w:rPr>
            </w:pPr>
          </w:p>
        </w:tc>
      </w:tr>
      <w:tr>
        <w:trPr>
          <w:trHeight w:val="223"/>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15,462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Cash Flows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8"/>
              </w:rPr>
              <w:t>April 1, 2023</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April 2, 2022</w:t>
            </w:r>
          </w:p>
        </w:tc>
        <w:tc>
          <w:tcPr>
            <w:tcW w:w="100" w:type="dxa"/>
            <w:vAlign w:val="bottom"/>
          </w:tcPr>
          <w:p>
            <w:pPr>
              <w:spacing w:after="0"/>
              <w:rPr>
                <w:sz w:val="19"/>
                <w:szCs w:val="19"/>
                <w:color w:val="auto"/>
              </w:rPr>
            </w:pPr>
          </w:p>
        </w:tc>
      </w:tr>
      <w:tr>
        <w:trPr>
          <w:trHeight w:val="210"/>
        </w:trPr>
        <w:tc>
          <w:tcPr>
            <w:tcW w:w="8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Exchange rate differences on cash and cash equivalents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with related party,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trade accounts receivable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related party payable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in employee-related accrued expenses and long term benefits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other 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other long term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long-term 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8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Borders>
              <w:bottom w:val="single" w:sz="8" w:color="CCEEFF"/>
            </w:tcBorders>
          </w:tcPr>
          <w:p>
            <w:pPr>
              <w:spacing w:after="0"/>
              <w:rPr>
                <w:sz w:val="18"/>
                <w:szCs w:val="18"/>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 of loan due from related party</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w:t>
            </w: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00" w:type="dxa"/>
            <w:vAlign w:val="bottom"/>
            <w:tcBorders>
              <w:bottom w:val="single" w:sz="8" w:color="CCEEFF"/>
            </w:tcBorders>
          </w:tcPr>
          <w:p>
            <w:pPr>
              <w:spacing w:after="0"/>
              <w:rPr>
                <w:sz w:val="18"/>
                <w:szCs w:val="18"/>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transfers from Parent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 of year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625</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end of period</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100" w:type="dxa"/>
            <w:vAlign w:val="bottom"/>
            <w:tcBorders>
              <w:top w:val="single" w:sz="8" w:color="CCEEFF"/>
            </w:tcBorders>
            <w:shd w:val="clear" w:color="auto" w:fill="CCEEFF"/>
          </w:tcPr>
          <w:p>
            <w:pPr>
              <w:spacing w:after="0"/>
              <w:rPr>
                <w:sz w:val="18"/>
                <w:szCs w:val="18"/>
                <w:color w:val="auto"/>
              </w:rPr>
            </w:pPr>
          </w:p>
        </w:tc>
      </w:tr>
      <w:tr>
        <w:trPr>
          <w:trHeight w:val="425"/>
        </w:trPr>
        <w:tc>
          <w:tcPr>
            <w:tcW w:w="8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Gross Profit and Margin to Non-GAAP Adjusted Gross Profit and Margin</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200" w:type="dxa"/>
            <w:vAlign w:val="bottom"/>
          </w:tcPr>
          <w:p>
            <w:pPr>
              <w:spacing w:after="0"/>
              <w:rPr>
                <w:sz w:val="19"/>
                <w:szCs w:val="19"/>
                <w:color w:val="auto"/>
              </w:rPr>
            </w:pPr>
          </w:p>
        </w:tc>
        <w:tc>
          <w:tcPr>
            <w:tcW w:w="2740" w:type="dxa"/>
            <w:vAlign w:val="bottom"/>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April 1, 2023</w:t>
            </w:r>
          </w:p>
        </w:tc>
        <w:tc>
          <w:tcPr>
            <w:tcW w:w="200" w:type="dxa"/>
            <w:vAlign w:val="bottom"/>
          </w:tcPr>
          <w:p>
            <w:pPr>
              <w:spacing w:after="0"/>
              <w:rPr>
                <w:sz w:val="19"/>
                <w:szCs w:val="19"/>
                <w:color w:val="auto"/>
              </w:rPr>
            </w:pPr>
          </w:p>
        </w:tc>
        <w:tc>
          <w:tcPr>
            <w:tcW w:w="250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April 2, 2022</w:t>
            </w:r>
          </w:p>
        </w:tc>
        <w:tc>
          <w:tcPr>
            <w:tcW w:w="140" w:type="dxa"/>
            <w:vAlign w:val="bottom"/>
          </w:tcPr>
          <w:p>
            <w:pPr>
              <w:spacing w:after="0"/>
              <w:rPr>
                <w:sz w:val="19"/>
                <w:szCs w:val="19"/>
                <w:color w:val="auto"/>
              </w:rPr>
            </w:pPr>
          </w:p>
        </w:tc>
      </w:tr>
      <w:tr>
        <w:trPr>
          <w:trHeight w:val="223"/>
        </w:trPr>
        <w:tc>
          <w:tcPr>
            <w:tcW w:w="536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of Revenue</w:t>
            </w:r>
          </w:p>
        </w:tc>
        <w:tc>
          <w:tcPr>
            <w:tcW w:w="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of Revenue</w:t>
            </w:r>
          </w:p>
        </w:tc>
        <w:tc>
          <w:tcPr>
            <w:tcW w:w="140" w:type="dxa"/>
            <w:vAlign w:val="bottom"/>
            <w:tcBorders>
              <w:bottom w:val="single" w:sz="8" w:color="CCEEFF"/>
            </w:tcBorders>
          </w:tcPr>
          <w:p>
            <w:pPr>
              <w:spacing w:after="0"/>
              <w:rPr>
                <w:sz w:val="19"/>
                <w:szCs w:val="19"/>
                <w:color w:val="auto"/>
              </w:rPr>
            </w:pPr>
          </w:p>
        </w:tc>
      </w:tr>
      <w:tr>
        <w:trPr>
          <w:trHeight w:val="209"/>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2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2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Adjusted gross margin is calculated as adjusted gross profit as a percentage of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Operating Income and Margin to Non-GAAP Adjusted Operating Income and Margin</w:t>
      </w:r>
      <w:r>
        <w:rPr>
          <w:rFonts w:ascii="Times New Roman" w:cs="Times New Roman" w:eastAsia="Times New Roman" w:hAnsi="Times New Roman"/>
          <w:sz w:val="29"/>
          <w:szCs w:val="29"/>
          <w:color w:val="101820"/>
          <w:vertAlign w:val="superscript"/>
        </w:rPr>
        <w:t>4</w:t>
      </w:r>
      <w:r>
        <w:rPr>
          <w:rFonts w:ascii="Times New Roman" w:cs="Times New Roman" w:eastAsia="Times New Roman" w:hAnsi="Times New Roman"/>
          <w:sz w:val="18"/>
          <w:szCs w:val="18"/>
          <w:b w:val="1"/>
          <w:bCs w:val="1"/>
          <w:i w:val="1"/>
          <w:iCs w:val="1"/>
          <w:color w:val="auto"/>
        </w:rPr>
        <w:t xml:space="preserve"> (unaudited)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200" w:type="dxa"/>
            <w:vAlign w:val="bottom"/>
          </w:tcPr>
          <w:p>
            <w:pPr>
              <w:spacing w:after="0"/>
              <w:rPr>
                <w:sz w:val="19"/>
                <w:szCs w:val="19"/>
                <w:color w:val="auto"/>
              </w:rPr>
            </w:pPr>
          </w:p>
        </w:tc>
        <w:tc>
          <w:tcPr>
            <w:tcW w:w="2720" w:type="dxa"/>
            <w:vAlign w:val="bottom"/>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April 1, 2023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April 2, 2022</w:t>
            </w:r>
          </w:p>
        </w:tc>
        <w:tc>
          <w:tcPr>
            <w:tcW w:w="200" w:type="dxa"/>
            <w:vAlign w:val="bottom"/>
          </w:tcPr>
          <w:p>
            <w:pPr>
              <w:spacing w:after="0"/>
              <w:rPr>
                <w:sz w:val="19"/>
                <w:szCs w:val="19"/>
                <w:color w:val="auto"/>
              </w:rPr>
            </w:pPr>
          </w:p>
        </w:tc>
      </w:tr>
      <w:tr>
        <w:trPr>
          <w:trHeight w:val="223"/>
        </w:trPr>
        <w:tc>
          <w:tcPr>
            <w:tcW w:w="5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of Revenue</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of Revenue</w:t>
            </w:r>
          </w:p>
        </w:tc>
        <w:tc>
          <w:tcPr>
            <w:tcW w:w="200" w:type="dxa"/>
            <w:vAlign w:val="bottom"/>
          </w:tcPr>
          <w:p>
            <w:pPr>
              <w:spacing w:after="0"/>
              <w:rPr>
                <w:sz w:val="19"/>
                <w:szCs w:val="19"/>
                <w:color w:val="auto"/>
              </w:rPr>
            </w:pPr>
          </w:p>
        </w:tc>
      </w:tr>
      <w:tr>
        <w:trPr>
          <w:trHeight w:val="209"/>
        </w:trPr>
        <w:tc>
          <w:tcPr>
            <w:tcW w:w="5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101820"/>
          <w:vertAlign w:val="superscript"/>
        </w:rPr>
        <w:t>4</w:t>
      </w:r>
      <w:r>
        <w:rPr>
          <w:rFonts w:ascii="Times New Roman" w:cs="Times New Roman" w:eastAsia="Times New Roman" w:hAnsi="Times New Roman"/>
          <w:sz w:val="18"/>
          <w:szCs w:val="18"/>
          <w:color w:val="auto"/>
        </w:rPr>
        <w:t>Adjusted operating margin is calculated as adjusted operating income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Net Income to Non-GAAP Adjusted Net Income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9"/>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dollars in millions</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April 1, 2023</w:t>
            </w: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April 2, 2022</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of Revenue</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Amount</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of Revenue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425"/>
        </w:trPr>
        <w:tc>
          <w:tcPr>
            <w:tcW w:w="5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 - Average System Price (unaudited)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Q1 2022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Q2 2022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Q3 2022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Q4 2022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7"/>
              </w:rPr>
              <w:t>Q1 2023</w:t>
            </w:r>
          </w:p>
        </w:tc>
      </w:tr>
      <w:tr>
        <w:trPr>
          <w:trHeight w:val="178"/>
        </w:trPr>
        <w:tc>
          <w:tcPr>
            <w:tcW w:w="37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EyeQ and SuperVision revenue (U.S. dollars in</w:t>
            </w: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millions)</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543</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Number of systems shipped (in millions)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system price (U.S. dollars)</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53.0</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01820"/>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Dan Galves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investors@mobileye.com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Justin Hyde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01820"/>
        </w:rPr>
        <w:t>Media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justin.hyde@mobileye.com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2023-04-27T05:52:52Z</dcterms:created>
  <dcterms:modified xsi:type="dcterms:W3CDTF">2023-04-27T05:52:52Z</dcterms:modified>
</cp:coreProperties>
</file>