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1 Shlomo Momo HaLevi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25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760" w:type="dxa"/>
            <w:vAlign w:val="bottom"/>
            <w:tcBorders>
              <w:top w:val="single" w:sz="8" w:color="auto"/>
              <w:left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spacing w:after="0"/>
              <w:rPr>
                <w:sz w:val="20"/>
                <w:szCs w:val="20"/>
                <w:color w:val="auto"/>
              </w:rPr>
            </w:pP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and Stock Repurchase</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On July 9, 2025, Mobileye Global Inc. (the “Company”) entered into an Underwriting Agreement (the “Underwriting Agreement”) with Intel Overseas Funding Corporation, a wholly owned subsidiary of Intel Corporation (the “Selling Stockholder”), and Goldman Sachs &amp; Co. LLC and BofA Securities, Inc., relating to the offer and sale by the Selling Stockholder of 57,500,000 shares of the Company’s Class A common stock (the “Class A Stock”), at a price to the public of $16.50 per share (the “Offering”). The Company did not sell any shares of Class A Stock in the Offering and did not receive any proceeds from the sale of the shares offered by the Selling Stockholder. The Offering closed on July 11, 2025.</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closing conditions and termination provisions. The Company and the Selling Stockholder have agreed to indemnify the underwriters against certain liabilities and to contribute to payments the underwriters may be required to make in the event of any such liabilities.</w:t>
      </w:r>
    </w:p>
    <w:p>
      <w:pPr>
        <w:spacing w:after="0" w:line="176"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Underwriting Agreement does not purport to be complete and is subject to and is qualified in its entirety by reference to the Underwriting Agreement, a copy of which is attached hereto as Exhibit 1.1 and the terms of which are incorporated herein by reference.</w:t>
      </w:r>
    </w:p>
    <w:p>
      <w:pPr>
        <w:spacing w:after="0" w:line="14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Davis Polk &amp; Wardwell LLP has issued an opinion, dated July 11, 2025, regarding certain legal matters with respect to the Offering, a copy of which is filed as Exhibit 5.1 hereto.</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on July 11, 2025 the Company purchased from the Selling Stockholder 6,231,985 shares of Class A Stock from the Selling Stockholder, at a price of $16.04625 per share, which is equal to the per share purchase price paid by the underwriters in the Offering (the “Share Repurchase”) pursuant to a previously filed agreement with the Selling Stockholder. The aggregate consideration was $100 million. The underwriters in the Offering did not receive any compensation for the shares of the Class A common stock that were repurchased by the Company. The Selling Stockholder is the Company’s majority stockholder. For more information on the Selling Stockholder’s relationship to the Company, please refer to the Company’s Definitive Proxy Statement filed on April 25,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addition, on July 11, 2025 the Selling Stockholder voluntarily converted pursuant to the Company's Amended and Restated Certificate of Incorporation an additional 50 million shares of its outstanding Class B common stock to Class A Stock (the “Conversion”). The Selling Stockholder previously informed the Company that it intends to hold the Class A Stock at this time and that the Conversion of such shares is being effected solely to increase the number of Class A Stock issued and outstanding.</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Class A Stock issued to the Selling Stockholder in the Conversion was issued pursuant to an exemption from registration provided by Section 3(a)(9) of the Securities Act of 1933. The Company received no proceeds from the issuance of shares in the Conversion.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580" w:right="4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as of July 9, 2025, among Mobileye Global Inc., Intel Overseas Funding Corporation, Goldman Sachs &amp; Co. LLC and BofA Securities, Inc.</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Davis Polk &amp; Wardwell LLP, relating to the Offering.</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Mobileye Global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Prof. Amnon Shashua</w:t>
            </w:r>
          </w:p>
        </w:tc>
      </w:tr>
      <w:tr>
        <w:trPr>
          <w:trHeight w:val="187"/>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Prof. Amnon Shashua</w:t>
            </w:r>
          </w:p>
        </w:tc>
      </w:tr>
      <w:tr>
        <w:trPr>
          <w:trHeight w:val="238"/>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432"/>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 shares of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7"/>
          <w:szCs w:val="17"/>
          <w:color w:val="auto"/>
        </w:rPr>
        <w:t>July 9,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representatives (the “Representatives” or “you”) of the several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stockholder named in Schedule II hereto (the “Selling Stockholder”) of Mobileye Global Inc., a Delaware corporation (the “Company”), proposes, subject to the terms and conditions stated in this agreement (this “Agreement”), to sell to the Underwriters named in Schedule I hereto (the “Underwriters”) an aggregate of 50,000,000 shares (the “Firm Shares”) and, at the election of the Underwriters, up to 7,500,000 additional shares (the “Optional Shares”) of Class A common stock, par value $0.01 per share (“Stock”), of the Company (the Firm Shares and the Optional Shares that the Underwriters elect to purchase pursuant to Section 3 hereof being collectively called the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7, 2025, the Company and the Selling Stockholder entered into an agreement (the “Share Repurchase Agreement”) for the Company to repurchase from the Selling Stockholder in a private transaction a number of shares of Stock equal to $100 million (the “Share Repurchase”). The completion of the Share Repurchase is contingent on the satisfaction of customary closing conditions and conditioned upon the completion of the sale of the Shares by the Selling Stockholder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Company represents and warrants to, and agrees with, each of the Underwriters that: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 “automatic shelf registration statement” as defined under Rule 405 under the Securities Act of 1933, as amended (the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Form S-3 (File No. 333-277937) in respect of the Shares has been filed with the Securities and Exchange Commission (the “Commission”)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such registration statement, including all exhibits thereto but excluding Form T-1 and including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No order preventing or suspending the use of any Preliminary Prospectus or any Issuer Free Writing Prospectus has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this representation and warranty shall not apply to any statements or omissions made in reliance upon and in conformity with the Underwriter Information (as defined in Section 10 of this Agreement);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 w:name="page6"/>
    <w:bookmarkEnd w:id="5"/>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For the purposes of this Agreement, the “Applicable Time” is 5:20 p.m. (New York City time) on the date of this Agreement.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Pricing Prospectus, as supplemented by the information listed on Schedule III(c) hereto, taken together (collectively, the “Pricing Disclosure</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Package”), as of the Applicable Time, did not, and as of each Time of Delivery (as defined in 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 xml:space="preserve">5(a) hereof)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representation and warranty shall not apply to statements or omissions made in reliance upon and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 Information;</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documents incorporated by reference in the Pricing Prospectus and the Prospectus, when they became effective or were filed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this representation and warranty shall not apply to any statements or omissions made in reliance upon and in conformity with the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Underwriter Information; and no such or any other documents were filed with the Commission since the Commission’s close of business on the business day immediately prior to the date of this Agreement and prior to the execution of this Agreement, except as set forth on Schedule III(b) hereto;</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Registration Statement conforms, and the Prospectus and any further amendments or supplements to the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this representation and warranty shall not apply to any statements or omissions made in reliance upon and in conformity with the Underwriter Information;</w:t>
      </w:r>
    </w:p>
    <w:p>
      <w:pPr>
        <w:spacing w:after="0" w:line="18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Neither the Company nor any of its subsidiaries has, since the date of the latest audited financial statements included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or short-term debt of the Company or any of its subsidiaries or</w:t>
      </w:r>
    </w:p>
    <w:p>
      <w:pPr>
        <w:spacing w:after="0" w:line="5" w:lineRule="exact"/>
        <w:rPr>
          <w:sz w:val="20"/>
          <w:szCs w:val="20"/>
          <w:color w:val="auto"/>
        </w:rPr>
      </w:pPr>
    </w:p>
    <w:p>
      <w:pPr>
        <w:jc w:val="both"/>
        <w:ind w:left="4" w:hanging="4"/>
        <w:spacing w:after="0" w:line="253" w:lineRule="auto"/>
        <w:tabs>
          <w:tab w:leader="none" w:pos="2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 and the Prospectus;</w:t>
      </w:r>
    </w:p>
    <w:p>
      <w:pPr>
        <w:spacing w:after="0" w:line="187" w:lineRule="exact"/>
        <w:rPr>
          <w:sz w:val="20"/>
          <w:szCs w:val="20"/>
          <w:color w:val="auto"/>
        </w:rPr>
      </w:pPr>
    </w:p>
    <w:p>
      <w:pPr>
        <w:ind w:left="4"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Company and its subsidiaries have good and marketable title in fee simple to all real property and good and marketable title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all personal property owned by them (other than with respect to Intellectual Property, title to which is addressed exclusively in subsection</w:t>
      </w:r>
    </w:p>
    <w:p>
      <w:pPr>
        <w:jc w:val="both"/>
        <w:ind w:left="4" w:hanging="4"/>
        <w:spacing w:after="0" w:line="253"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their knowledge, under valid, subsisting and enforceable leases with such exceptions as are not material and do not materially interfere with the use made and proposed to be made of such property and buildings by the Company and its subsidiaries;</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ind w:left="4" w:firstLine="648"/>
        <w:spacing w:after="0" w:line="261"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Company has been (i) duly incorporated and is validly existing as a corporation and in good standing under the laws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 of Delaware, with corporate power and authority to own its properties and conduct its business as described in the Pricing Prospectus, and</w:t>
      </w:r>
    </w:p>
    <w:p>
      <w:pPr>
        <w:jc w:val="both"/>
        <w:ind w:left="4" w:hanging="4"/>
        <w:spacing w:after="0" w:line="251"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that is a “significant subsidiary” (as such term is defined in Rule 1-02 of Regulation S-X promulgated under the Act) (each a “significant subsidiary”) has been (x) duly incorporated or organized and is validly existing as a corporation or other business organization in good standing under the laws of its jurisdiction of incorporation, formation or organization, as applicable, to the extent the concept of “good standing” is applicable under the laws of such jurisdiction, and (y) duly qualified as a foreign corporation or other business organization for the transaction of business and is in good standing (or the foreign equivalent, to the extent such concept exists) under the laws of each other jurisdiction in which it owns or leases properties or conducts any business so as to require such qualification, except, in the case of this clause (y), where the failure to be so qualified or in good standing would not, individually or in the aggregate, reasonably be expected to have a Material Adverse Effect; and each subsidiary of the Company required to be listed in the Registration Statement under Item 601(b)(21) of Regulation S-K has been listed in the Registration Statement;</w:t>
      </w:r>
    </w:p>
    <w:p>
      <w:pPr>
        <w:spacing w:after="0" w:line="192"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The Company has an authorized capitalization as set forth in the Pricing Prospectus and, after giving effect to the Share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Repurchase, the Company will have an authorized capitalization on a pro forma basis as set forth in the Pricing Prospectus, based on the assumptions set forth therein, and all of the issued shares of capital stock of the Company have been duly and validly authorized and issued and are fully paid and non-assessable and conform in all material respects to the description of the Stock contained in the Pricing Disclosure Package and Prospectus; and all of the issued shares of capital stock or other equity interests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w:t>
      </w:r>
    </w:p>
    <w:p>
      <w:pPr>
        <w:spacing w:after="0" w:line="18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(j)             </w:t>
      </w:r>
      <w:r>
        <w:rPr>
          <w:rFonts w:ascii="Times New Roman" w:cs="Times New Roman" w:eastAsia="Times New Roman" w:hAnsi="Times New Roman"/>
          <w:sz w:val="18"/>
          <w:szCs w:val="18"/>
          <w:color w:val="000000"/>
        </w:rPr>
        <w:t>The Shares to be issued by the Company to the Selling Stockholder upon conversion of the Class B Common Stock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and validly authorized and, when issued upon conversion,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 w:name="page9"/>
    <w:bookmarkEnd w:id="8"/>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010000"/>
        </w:rPr>
        <w:t>(k)            </w:t>
      </w:r>
      <w:r>
        <w:rPr>
          <w:rFonts w:ascii="Times New Roman" w:cs="Times New Roman" w:eastAsia="Times New Roman" w:hAnsi="Times New Roman"/>
          <w:sz w:val="17"/>
          <w:szCs w:val="17"/>
          <w:color w:val="000000"/>
        </w:rPr>
        <w:t>The issuance of the Shares upon conversion of shares of Class B Common Stock held by the Selling Stockholder, the compliance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by the Company with this Agreement and the consummation of the transactions contemplated in this Agreement (including the Share Repurchase) and the Pricing Prospectus will not conflict with or result in a breach or violation of any of the terms or provisions of, or constitute a default under,</w:t>
      </w:r>
    </w:p>
    <w:p>
      <w:pPr>
        <w:spacing w:after="0" w:line="2" w:lineRule="exact"/>
        <w:rPr>
          <w:sz w:val="20"/>
          <w:szCs w:val="20"/>
          <w:color w:val="auto"/>
        </w:rPr>
      </w:pPr>
    </w:p>
    <w:p>
      <w:pPr>
        <w:jc w:val="both"/>
        <w:ind w:left="4" w:hanging="4"/>
        <w:spacing w:after="0" w:line="251" w:lineRule="auto"/>
        <w:tabs>
          <w:tab w:leader="none" w:pos="2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conflicts,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issuance of the Shares upon conversion of shares of Class B Common Stock held by the Selling Stockholder or the consummation by the Company of the transactions contemplated by this Agreement (including the Share Repurchase), except such as have been obtained under the Act, the approval by the Financial Industry Regulatory Authority (“FINRA”) of the underwriting terms and arrangements, the listing of the Shares on The Nasdaq Global Select Market (“NASDAQ”) and such consents, approvals, authorizations, orders, registrations or qualifications as may be required under state securities or Blue Sky laws in connection with the purchase and distribution of the Shares by the Underwriters;</w:t>
      </w:r>
    </w:p>
    <w:p>
      <w:pPr>
        <w:spacing w:after="0" w:line="19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(l)             </w:t>
      </w:r>
      <w:r>
        <w:rPr>
          <w:rFonts w:ascii="Times New Roman" w:cs="Times New Roman" w:eastAsia="Times New Roman" w:hAnsi="Times New Roman"/>
          <w:sz w:val="18"/>
          <w:szCs w:val="18"/>
          <w:color w:val="000000"/>
        </w:rPr>
        <w:t>Neither the Company nor any of its subsidiaries is (i) in violation of its certificate of incorporation or by-laws (or other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The statements set forth in or incorporated by reference in the Pricing Prospectus and Prospectus under the caption “Description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Capital Stock,” insofar as they purport to constitute a summary of the terms of the Stock, under the caption “Certain Relationships and Related Party Transactions,” insofar as they purport to constitute a summary of the terms of the agreements referred to therein, and under the captions “U.S. Federal Income Tax Considerations for Non-U.S. Holders of Common Stock” and “Underwriting,” insofar as they purport to describe the provisions of the laws and documents referred to therein, are accurate, complete and fair in all material respects;</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Other than as set forth in the Pricing Prospectus, there are no legal, governmental or regulatory investigations, claims, arbitrations,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in all material respects;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all material respects in the Registration Statement and the Pricing Prospectus;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The Company is not, and after giving effect to the Share Repurchase will not be, an “investment company,” as such term is defined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Investment Company Act of 1940, as amended (the “Investment Company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(A) (i) At the time of filing the Registration Statement, (ii) at the time of the most recent amendment thereto for the purposes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(q)            </w:t>
      </w:r>
      <w:r>
        <w:rPr>
          <w:rFonts w:ascii="Times New Roman" w:cs="Times New Roman" w:eastAsia="Times New Roman" w:hAnsi="Times New Roman"/>
          <w:sz w:val="18"/>
          <w:szCs w:val="18"/>
          <w:color w:val="000000"/>
        </w:rPr>
        <w:t>PricewaterhouseCoopers LLP, which has certified certain financial statements of the Company and its subsidiaries, is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independent registered public accounting firm as required by the Act and the rules and regulations of the Commission thereunder;</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010000"/>
        </w:rPr>
        <w:t>(r)            </w:t>
      </w:r>
      <w:r>
        <w:rPr>
          <w:rFonts w:ascii="Times New Roman" w:cs="Times New Roman" w:eastAsia="Times New Roman" w:hAnsi="Times New Roman"/>
          <w:sz w:val="18"/>
          <w:szCs w:val="18"/>
          <w:color w:val="000000"/>
        </w:rPr>
        <w:t>The Company maintains a system of internal control over financial reporting (as such term is defined in Rule 13a-15(f)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sufficient to provide reasonable assurance that (A) transactions are executed in accordance with management’s general or specific authorization,</w:t>
      </w:r>
    </w:p>
    <w:p>
      <w:pPr>
        <w:spacing w:after="0" w:line="3" w:lineRule="exact"/>
        <w:rPr>
          <w:sz w:val="20"/>
          <w:szCs w:val="20"/>
          <w:color w:val="auto"/>
        </w:rPr>
      </w:pPr>
    </w:p>
    <w:p>
      <w:pPr>
        <w:jc w:val="both"/>
        <w:ind w:left="4" w:hanging="4"/>
        <w:spacing w:after="0" w:line="253" w:lineRule="auto"/>
        <w:tabs>
          <w:tab w:leader="none" w:pos="2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187"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(s)            </w:t>
      </w:r>
      <w:r>
        <w:rPr>
          <w:rFonts w:ascii="Times New Roman" w:cs="Times New Roman" w:eastAsia="Times New Roman" w:hAnsi="Times New Roman"/>
          <w:sz w:val="18"/>
          <w:szCs w:val="18"/>
          <w:color w:val="000000"/>
        </w:rPr>
        <w:t>Since the date of the latest audited financial statements included or incorporated by reference in the Pricing Prospectus, there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been no change in the Company’s internal control over financial reporting that has materially and adversely affected, or is reasonably likely to materially and adversely affect, the Company’s internal control over financial reporting;</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(t)            </w:t>
      </w:r>
      <w:r>
        <w:rPr>
          <w:rFonts w:ascii="Times New Roman" w:cs="Times New Roman" w:eastAsia="Times New Roman" w:hAnsi="Times New Roman"/>
          <w:sz w:val="18"/>
          <w:szCs w:val="18"/>
          <w:color w:val="000000"/>
        </w:rPr>
        <w:t>The Company maintains disclosure controls and procedures (as such term is defined in Rule 13a-15(e) under the Exchange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(u)            </w:t>
      </w:r>
      <w:r>
        <w:rPr>
          <w:rFonts w:ascii="Times New Roman" w:cs="Times New Roman" w:eastAsia="Times New Roman" w:hAnsi="Times New Roman"/>
          <w:sz w:val="18"/>
          <w:szCs w:val="18"/>
          <w:color w:val="000000"/>
        </w:rPr>
        <w:t>The Company has all requisite corporate power and authority to execute and deliver this Agreement and the Share Repurchase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to perform its obligations under, this Agreement and the Share Repurchase Agreement. Each of this Agreement and the Share Repurchase Agreement has been duly authorized, executed and delivered by the Company;</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None of the Company, any of its subsidiaries or controlled affiliates, or any director or officer of the Company or any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nor to the Company’s knowledge, any employee, agent, representative or other person associated with or acting on behalf of the Company, any of its subsidiaries or controlled affiliates, has (i) made, offered, promised or authorized any unlawful contribution, gift, entertainment or other unlawful expense (or taken, or will take, any act in furtherance thereof); (ii) made, offered, promised or authorized any direct or indirect unlawful payment (or taken, or will take, any act in furtherance thereof); or (iii) violated or is in violation of any provision of the U.S. Foreign Corrupt Practices Act of 1977, as amended, or the rules and regulations thereunder, the Bribery Act 2010 of the United Kingdom or any other applicable anti-corruption, anti-bribery or related law, statute or regulation (collectively, “Anti-Corruption Laws”); the Company and each of its subsidiaries and controlled affiliates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w:t>
      </w:r>
    </w:p>
    <w:p>
      <w:pPr>
        <w:spacing w:after="0" w:line="200" w:lineRule="exact"/>
        <w:rPr>
          <w:sz w:val="20"/>
          <w:szCs w:val="20"/>
          <w:color w:val="auto"/>
        </w:rPr>
      </w:pP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(w)           </w:t>
      </w:r>
      <w:r>
        <w:rPr>
          <w:rFonts w:ascii="Times New Roman" w:cs="Times New Roman" w:eastAsia="Times New Roman" w:hAnsi="Times New Roman"/>
          <w:sz w:val="18"/>
          <w:szCs w:val="18"/>
          <w:color w:val="000000"/>
        </w:rPr>
        <w:t>The operations of the Company and each of its subsidiaries are and have been conducted at all times in compliance in all material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each of its subsidiaries conduct business,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None of the Company, any of its subsidiaries or any director or officer of the Company or any of its subsidiaries, nor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Company’s knowledge, any employee, agent, controlled affiliate, representative or other person associated with or acting on behalf of the Company or any of its subsidiaries is, or is owned or controlled by one or more persons or entities that are,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the Swiss Secretariat of Economic Affairs, or other relevant sanctions authority (collectively, “Sanctions”), or (ii) located, organized, or resident in a country or territory that is the subject or target of Sanctions (a “Sanctioned Jurisdiction”) including, but not limited to, so-called Donetsk People’s Republic, so-called Luhansk People’s Republic, the non-government controlled areas of Kherson and Zaporizhzhia regions or any other Covered Region of Ukraine identified pursuant to Executive Order 14065 and the Crimea region, Cuba, Iran, North Korea and Syria. Since April 24, 2019, the Company and each of its subsidiaries have not knowingly engaged in, are not now knowingly engaged in, and will not knowingly engage in, any dealings or transactions with or involving any individual or entity, or in any country or territory, that at the time of the dealing or transaction is or was the subject of Sanctions; the Company and its subsidiaries have instituted and maintain policies and procedures designed to promote and achieve continued compliance with Sanctions;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(y)            </w:t>
      </w:r>
      <w:r>
        <w:rPr>
          <w:rFonts w:ascii="Times New Roman" w:cs="Times New Roman" w:eastAsia="Times New Roman" w:hAnsi="Times New Roman"/>
          <w:sz w:val="18"/>
          <w:szCs w:val="18"/>
          <w:color w:val="000000"/>
        </w:rPr>
        <w:t>Neither the Company nor any of its subsidiaries (i) is a “covered foreign person” within the meaning of the final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rules implementing Executive Order 14105 of August 9, 2023, “Addressing United States Investments in Certain National Security Technologies and Products in Countries of Concern” (the “Outbound Order”), promulgated by Office of Investment Security, Department of the Treasury, (ii) is currently engaged in, or has plans to engage in, one or more of the activities identified in the definitions of “notifiable transaction” or “prohibited transaction” under 31 C.F.R. Part 850 or (iii) is currently holding or has plans to hold, directly or indirectly, a board seat on, a voting or equity interest in, or any contractual power to direct or cause the direction of the management or policies of a “person of a country of concern” (as identified in the Outbound Order) that engages in one or more activities identified in the definitions of “notifiable transaction” or “prohibited transaction” under 31 C.F.R. Part 850;</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(z)            </w:t>
      </w:r>
      <w:r>
        <w:rPr>
          <w:rFonts w:ascii="Times New Roman" w:cs="Times New Roman" w:eastAsia="Times New Roman" w:hAnsi="Times New Roman"/>
          <w:sz w:val="18"/>
          <w:szCs w:val="18"/>
          <w:color w:val="000000"/>
        </w:rPr>
        <w:t>The financial statements included in the Registration Statement, the Pricing Prospectus and the Prospectus, together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related schedules and notes, present fairly in all material respects the financial position of the Company and its consolidated subsidiaries at the dates indicated and the statement of operations, stockholders’ equity and cash flows of the Company and its subsidiaries for the periods specified; and said financial statements have been prepared in conformity with GAAP applied on a consistent basis throughout the periods involved. The supporting schedules, if any, present fairly in all material respects in accordance with GAAP the information required to be stated therein.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(aa)</w:t>
      </w:r>
    </w:p>
    <w:p>
      <w:pPr>
        <w:spacing w:after="0" w:line="225" w:lineRule="exact"/>
        <w:rPr>
          <w:sz w:val="20"/>
          <w:szCs w:val="20"/>
          <w:color w:val="auto"/>
        </w:rPr>
      </w:pPr>
    </w:p>
    <w:p>
      <w:pPr>
        <w:jc w:val="both"/>
        <w:ind w:left="640" w:firstLine="648"/>
        <w:spacing w:after="0" w:line="25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Except as described in the Pricing Prospectus and except as would not be reasonably expected to have a Material Adverse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the Company and each of its subsidiaries (A) owns or possesses valid and sufficient rights to use all Intellectual Property used in or necessary for the conduct of its business as currently conducted, and (B) owns all Intellectual Property owned or purported to be owned by such entity (in the case of (B), “Company Intellectual Property”), free and clear of all liens and other encumbrances, other than licenses or covenants not to assert granted in the ordinary course. For the purpose of this Agreement, “Intellectual Property” means all intellectual property and proprietary rights of any kind arising in any jurisdiction of the world, including in or with respect to any patents (together with any reissues, continuations, continuations-in-part, divisions, renewals, extensions, counterparts and reexaminations thereof), patent applications (including provisional applications), discoveries and inventions; trademarks, service marks, trade names, trade dress, logos, Internet domain names, social media identifiers and accounts, and other indicia of origin and any registrations, applications and goodwill associated with any of the foregoing, as applicable; rights in published and unpublished works of authorship, whether copyrightable or not (including software and firmware (whether in object code, source code or RTL), website content, data, designs, databases, integrated circuits and integrated circuit masks, electronic, electrical, and mechanical equipment, and all other forms of technology and related documentation), and copyrights, mask work and semiconductor chip rights and all registrations and applications therefor; trade secrets, know-how and other confidential or proprietary information, including systems, procedures, methods, technologies, algorithms, designs, data, unpatentable discoveries and inventions and any other information meeting the definition of a trade secret under the Uniform Trade Secrets Act or similar laws (“Trade Secrets”) and other technology and intellectual property rights, including the right to sue for past, present and future infringement, misappropriation or dilution of any of the foregoing. Except as would not be reasonably expected to have a Material Adverse Effect, all Company Intellectual Property registered with, issued by or the subject of a pending application before the U.S. Patent and Trademark Office, United States Copyright Office, or any equivalent foreign governmental entities anywhere in the world, is to the knowledge of the Company, subsisting, valid and enforceable. Except as described in the Pricing Prospectus, neither the Company nor any of its subsidiaries have made any commitments or entered into any agreements regarding any standards-setting organization or multi-party special interest groups where such participation requires the Company or any of its subsidiaries to grant to any third party a license or other right to any Company Intellectual Property, except as would not reasonably be expected to have a Material Adverse Effect;</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Except as would not reasonably be expected to have a Material Adverse Effect, (A) the conduct of the Company’s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respective businesses has not violated, infringed, misappropriated or conflicted with, and will not, as currently planned to be conducted, violate, infringe, misappropriate or conflict with any Intellectual Property rights of any third party; (B) since January 1, 2022, the Company and its subsidiaries have not received any written notice of any claim of infringement, misappropriation or conflict with Intellectual Property rights of any third party (including any invitations to take a license or cease and desist letters); and (C) to the Company’s knowledge, there are no third parties who have or will be able to establish ownership rights of any Company Intellectual Property. Except as described in the Pricing Prospectus and as would not be reasonably expected to have a Material Adverse Effect,</w:t>
      </w:r>
    </w:p>
    <w:p>
      <w:pPr>
        <w:spacing w:after="0" w:line="3" w:lineRule="exact"/>
        <w:rPr>
          <w:sz w:val="20"/>
          <w:szCs w:val="20"/>
          <w:color w:val="auto"/>
        </w:rPr>
      </w:pPr>
    </w:p>
    <w:p>
      <w:pPr>
        <w:jc w:val="both"/>
        <w:ind w:left="180" w:firstLine="4"/>
        <w:spacing w:after="0" w:line="251" w:lineRule="auto"/>
        <w:tabs>
          <w:tab w:leader="none" w:pos="4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Company’s knowledge, threatened in writing action, suit, proceeding or written claim by any third party challenging the validity, enforceability or scope of any Company Intellectual Property, or any right in or ownership of by the Company or any of its subsidiaries of any Company Intellectual Property, (B) there is no pending or to the Company’s knowledge, threatened in writing, action, suit, proceeding or written claim by others that the Company or any of its subsidiaries has violated, infringed, misappropriated or conflicted with, any Intellectual Property or other proprietary rights of any third party and (C) to the Company’s knowledge, no party has infringed, misappropriated, violated, or conflicted with any Company Intellectual Property. To the Company’s knowledge, except as would not be reasonably expected to have a Material Adverse Effect, no Intellectual Property has been obtained by the Company or any of its subsidiaries in violation of any contractual obligation binding on the Company or any of its subsidiaries, and the Company and its subsidiaries have complied with the terms of each agreement pursuant to which Intellectual Property has been licensed to the Company or any of its subsidiaries, all such agreements are in full force and effect and no such agreement has been breached or violated;</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180"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(iii)           </w:t>
      </w:r>
      <w:r>
        <w:rPr>
          <w:rFonts w:ascii="Times New Roman" w:cs="Times New Roman" w:eastAsia="Times New Roman" w:hAnsi="Times New Roman"/>
          <w:sz w:val="18"/>
          <w:szCs w:val="18"/>
          <w:color w:val="000000"/>
        </w:rPr>
        <w:t>Except as would not be reasonably expected to have a Material Adverse Effect, the Company and its subsidiaries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taken reasonable steps necessary to secure and protect their interests in the Intellectual Property developed by their employees, consultants, agents and contractors on behalf of the Company and its subsidiaries, including the execution of agreements that</w:t>
      </w:r>
    </w:p>
    <w:p>
      <w:pPr>
        <w:spacing w:after="0" w:line="1" w:lineRule="exact"/>
        <w:rPr>
          <w:sz w:val="20"/>
          <w:szCs w:val="20"/>
          <w:color w:val="auto"/>
        </w:rPr>
      </w:pPr>
    </w:p>
    <w:p>
      <w:pPr>
        <w:jc w:val="both"/>
        <w:ind w:left="180" w:firstLine="4"/>
        <w:spacing w:after="0" w:line="251"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presently assign Intellectual Property for the benefit of the Company and its subsidiaries by such employees, consultants, agents and contractors, except to the extent ownership of such Intellectual Property vests in the Company by operation of law, and (y) contain reasonable confidentiality obligations, consistent with industry standards, and to the Company’s knowledge, no such agreement has been breached or violated in a way that would impact the Company’s or any of its subsidiaries’ businesses. Except as would not reasonably be expected to have a Material Adverse Effect, (A) no government funding, facilities or resources of a university, college, other educational institution or research center was used in the development of any Company Intellectual Property, and no governmental agency or body (including the Israel Innovation Authority), university, college, other educational institution or research center has any claim, option or right in or to any Company Intellectual Property, and (B) the Company and its subsidiaries have taken commercially reasonable steps to maintain the confidentiality of all Trade Secrets and other confidential information owned, used or held for use by the Company or any of its subsidiaries;</w:t>
      </w:r>
    </w:p>
    <w:p>
      <w:pPr>
        <w:spacing w:after="0" w:line="193"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Except as would not reasonably be expected to have a Material Adverse Effect, the Company and its subsidiaries,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all software (including source code) and other materials that are distributed under a “free,” “open source,” or similar licensing model (including the GNU General Public License, GNU Lesser General Public License, GNU Affero General Public License, New BSD License, Apache License, Apache 2.0 License, MIT License, Common Public License and other licenses approved as Open Source licenses under the Open Source Definition of the Open Source Initiative) (“Open Source Materials”) are in compliance with all license terms applicable to such Open Source Materials. To the knowledge of the Company, except as would not reasonably be expected to have a Material Adverse Effect, neither the Company nor any of its subsidiaries has used or distributed any Open Source Materials (or any software that links to Open Source Materials) in a manner that requires or has required (A) the Company or any of its subsidiaries to permit reverse engineering of any products or services of the Company or any of its subsidiaries, or any software code or other technology owned (or purported to be owned) by the Company or any of its subsidiaries, or (B) any products or services of the Company or any of its subsidiaries, or any software code or other technology owned (or purported to be owned) by the Company or any of its subsidiaries, to be (I) disclosed or distributed in source code form or (II) redistributed at no charge or minimal charge;</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Except as would not be reasonably expected to have a Material Adverse Effect, the Company and its subsidiaries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since January 1, 2022, (A) operated and currently operate their respective businesses in a manner compliant with all applicable foreign, federal, state and local laws, regulations and standards, all contractual obligations and all Company policies (internal and posted) concerning privacy and data security applicable to the Company’s, and its subsidiaries’, collection, access, use, modification, processing, handling, transfer (including cross border transfers), transmission, storage, disclosure and/or disposal of the data of their respective customers, employees and other third parties (the “Privacy and Data Security Requirements”), (B) implemented commercially reasonable administrative, technical and physical safeguards and policies and procedures designed to ensure compliance with Privacy and Data Security Requirements and (C) there has been no loss or unauthorized collection, access, use, modification, processing, handling, transfer, transmission, storage, disclosure, disposal or breach of security of customer, employee or third-party data maintained by or on behalf of the Company and its subsidiaries, and neither the Company nor any of its subsidiaries has notified, has been required to notify pursuant to its Privacy and Data Security Requirements, or has the current intention to notify, any customer, or governmental entity of any such event; and</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(vi)           </w:t>
      </w:r>
      <w:r>
        <w:rPr>
          <w:rFonts w:ascii="Times New Roman" w:cs="Times New Roman" w:eastAsia="Times New Roman" w:hAnsi="Times New Roman"/>
          <w:sz w:val="18"/>
          <w:szCs w:val="18"/>
          <w:color w:val="000000"/>
        </w:rPr>
        <w:t>Except as would not reasonably be expected to have a Material Adverse Effect, (A) the information technology assets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equipment, computers, systems, networks, hardware, software, websites, applications, and databases owned (or purported to be owned) or controlled by the Company and its subsidiaries (collectively, “IT Systems”) are adequate for, and operate and perform in all respects as required in connection with, the operation of the business of the Company and its subsidiaries as currently conducted, and, to the knowledge of the Company, are free and clear of all viruses, bugs, contaminants, errors, defects, “Trojan horses,” “time bombs,” (as such terms are commonly understood in the software industry), malware and other corruptants or malicious code; and (B) the Company and its subsidiaries have taken commercially reasonable measures, consistent with industry standards, designed to protect the IT Systems. Without limiting the foregoing, the Company and its subsidiaries have implemented, maintained and complied with commercially reasonable information technology measures designed to ensure the operation, redundancy and security of, and to protect against any material breach, destruction, loss, unauthorized distribution, use, access, disablement, misappropriation or modification, or other compromise or misuse of or relating to, the IT Systems (“Breach”). Except as described in the Pricing Prospectus, since January 1, 2022, except as would not reasonably be expected to have a Material Adverse Effect, there have been (i) no Breaches or outages, and (ii) no incidents, events or conditions under internal review or investigations relating to outages or any actual or suspected Breach;</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(bb)         </w:t>
      </w:r>
      <w:r>
        <w:rPr>
          <w:rFonts w:ascii="Times New Roman" w:cs="Times New Roman" w:eastAsia="Times New Roman" w:hAnsi="Times New Roman"/>
          <w:sz w:val="18"/>
          <w:szCs w:val="18"/>
          <w:color w:val="000000"/>
        </w:rPr>
        <w:t>No labor dispute with or disturbance by the employees of the Company or any of its subsidiaries exists or, to the knowledge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is threatened; and neither the Company nor any of its subsidiaries has received written notice of any existing, threatened or imminent labor disturbance by the employees of any of its principal vendors, partners or contractors except, as would not be reasonably expected to have, individually or in the aggregate, a Material Adverse Effect;</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7"/>
          <w:szCs w:val="17"/>
          <w:color w:val="010000"/>
        </w:rPr>
        <w:t>(cc)          </w:t>
      </w:r>
      <w:r>
        <w:rPr>
          <w:rFonts w:ascii="Times New Roman" w:cs="Times New Roman" w:eastAsia="Times New Roman" w:hAnsi="Times New Roman"/>
          <w:sz w:val="17"/>
          <w:szCs w:val="17"/>
          <w:color w:val="000000"/>
        </w:rPr>
        <w:t>Each Plan (as defined below) sponsored by the Company or any of its subsidiaries has been sponsored, maintained and contributed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to in compliance with its terms and the requirements of any applicable statutes, orders, rules and regulations, including, but not limited to, the Employee Retirement Income Security Act of 1974, as amended (“ERISA”), and the Internal Revenue Code of 1986, as amended (the “Code”), except for noncompliance that would not reasonably be expected to have a Material Adverse Effect; (B) no non-exempt prohibited transaction, within the meaning of Section 406 of ERISA or Section 4975 of the Code, has occurred with respect to any Plan sponsored by the Company or any of its subsidiaries that would reasonably be expected to have a Material Adverse Event; (C) for each Plan that is subject to the funding rules of Section 412 of the Code or Section 302 of ERISA, no failure to satisfy the minimum funding standards (within the meaning of Section 412 of the Code or Section 302 of ERISA), whether or not waived, has occurred or is reasonably expected to occur that would reasonably be expected to have a Material Adverse Event; (D) no “reportable event” (within the meaning of Section 4043(c) of ERISA, other than those events as to which notice is waived) has occurred or is reasonably expected to occur that would reasonably be expected to have, individually or in the aggregate, a Material Adverse Effect; (E) neither the Company nor any member of its “Controlled Group” (defined as any organization which is a member of a controlled group of corporations within the meaning of Section 414 of the Code) has incurred, or is reasonably expected to incur, any liability under Title IV of ERISA (other than contributions to any Plan or any Multiemployer Plan (as defined below) or premiums to the Pension Benefit Guaranty Corporation (the “PBGC”), in the ordinary course and without default) in respect of a Plan or a Multiemployer Plan, except as would not reasonably be expected to have a Material Adverse Effect; and (F) there is no pending audit or investigation by the Internal Revenue Service, the Department of Labor, the PBGC or any other governmental agency or any foreign regulatory agency with respect to any Plan sponsored by the Company or any of its subsidiaries that, individually or in the aggregate, would reasonably be expected to have a Material Adverse Effect. None of the following events has occurred or is reasonably likely to occur, except as would not reasonably be expected to have a Material Adverse Effect:</w:t>
      </w:r>
    </w:p>
    <w:p>
      <w:pPr>
        <w:spacing w:after="0" w:line="6" w:lineRule="exact"/>
        <w:rPr>
          <w:sz w:val="20"/>
          <w:szCs w:val="20"/>
          <w:color w:val="auto"/>
        </w:rPr>
      </w:pPr>
    </w:p>
    <w:p>
      <w:pPr>
        <w:jc w:val="both"/>
        <w:ind w:left="4" w:hanging="4"/>
        <w:spacing w:after="0" w:line="251"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an increase in the Company and its subsidiaries’ “accumulated post-retirement benefit obligations” (within the meaning of Financial Accounting Standards Board Accounting Standards Codification Topic 715) compared to the amount of such obligations in the Company and its subsidiaries’ most recently completed fiscal year. For purposes of this paragraph, (i) the term “Plan” means an employee benefit plan, within the meaning of Section 3(3) of ERISA, subject to Title IV of ERISA, but excluding any Multiemployer Plan, sponsored, maintained or contributed to (or required to be contributed to) by the Company or any member of its Controlled Group and (ii) the term “Multiemployer Plan” means a multiemployer plan within the meaning of Section 4001(a)(3) of ERISA that is contributed to or required to be contributed to by the Company or any member of its Controlled Group;</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(dd)         </w:t>
      </w:r>
      <w:r>
        <w:rPr>
          <w:rFonts w:ascii="Times New Roman" w:cs="Times New Roman" w:eastAsia="Times New Roman" w:hAnsi="Times New Roman"/>
          <w:sz w:val="18"/>
          <w:szCs w:val="18"/>
          <w:color w:val="000000"/>
        </w:rPr>
        <w:t>Except in all cases where such violation, claim, request, notice, proceeding, investigation or capital expenditure would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individually or in the aggregate, reasonably be expected to have a Material Adverse Effect, (A) neither the Company nor any of its subsidiaries is in violation of any applicable statute, law, regulation, ordinance, code or order of or with any governmental agency or body or any court, domestic or foreign, in each case, having jurisdiction over the Company or such subsidiary, relating to the use, management, disposal or release of hazardous or toxic substances or wastes or relating to pollution or the protection of the environment or human health or relating to exposure to hazardous or toxic substances or wastes (collectively, “Environmental Laws”), (B) neither the Company nor any of its subsidiaries has received any written claim, written request for information or written notice of liability or investigation arising under, relating to or based upon any Environmental Laws, (C) neither the Company nor any of its subsidiaries is aware of any pending or threatened notice, claim, proceeding or investigation which might lead to liability under Environmental Laws, (D) the Company does not anticipate incurring capital expenditures relating to compliance with Environmental Laws (including, without limitation, any capital or operating expenditures required for clean-up, investigation or closure of properties or compliance with Environmental Laws or any permit, license, approval, any related constraints on operating activities and any potential liabilities to third parties), and (E) neither the Company nor any of its subsidiaries has been named as a “potentially responsible party” under the Comprehensive Environmental Response, Compensation, and Liability Act of 1980, as amended, or is otherwise aware of contamination that would reasonably be expected to result in a claim against the Company or any of its subsidiaries under any Environmental Laws;</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(ee)          </w:t>
      </w:r>
      <w:r>
        <w:rPr>
          <w:rFonts w:ascii="Times New Roman" w:cs="Times New Roman" w:eastAsia="Times New Roman" w:hAnsi="Times New Roman"/>
          <w:sz w:val="18"/>
          <w:szCs w:val="18"/>
          <w:color w:val="000000"/>
        </w:rPr>
        <w:t>The Company and its subsidiaries have paid all federal, state, local and foreign taxes required to be paid (except as currently being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contested in good faith) and filed all tax returns required to be filed through the date hereof, and there is no tax deficiency that has been, or would reasonably be expected to be, asserted against the Company or any of its subsidiaries or any of their respective properties or assets, except, in each case, as would not, individually or in the aggregate, reasonably be expected to have a Material Adverse Effect and the Company does not have any knowledge of any tax deficiencies which would reasonably be expected to be determined adversely to the Company and which would reasonably be expected to have a Material Adverse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(ff)           </w:t>
      </w:r>
      <w:r>
        <w:rPr>
          <w:rFonts w:ascii="Times New Roman" w:cs="Times New Roman" w:eastAsia="Times New Roman" w:hAnsi="Times New Roman"/>
          <w:sz w:val="18"/>
          <w:szCs w:val="18"/>
          <w:color w:val="000000"/>
        </w:rPr>
        <w:t>No forward-looking statement (within the meaning of Section 27A of the Act and Section 21E of the Exchange Act) included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incorporated by reference in any of the Registration Statement, the Pricing Prospectus or the Prospectus has been made or reaffirmed without a reasonable basis or has been disclosed other than in good faith;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(gg)         </w:t>
      </w:r>
      <w:r>
        <w:rPr>
          <w:rFonts w:ascii="Times New Roman" w:cs="Times New Roman" w:eastAsia="Times New Roman" w:hAnsi="Times New Roman"/>
          <w:sz w:val="18"/>
          <w:szCs w:val="18"/>
          <w:color w:val="000000"/>
        </w:rPr>
        <w:t>Nothing has come to the attention of the Company that has caused the Company to believe that the statistical and market-related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data included in each of the Registration Statement, the Pricing Prospectus and the Prospectus is not based on or derived from sources that are reliable and accurate in all material respects; and such data are consistent with the sources from which they are derived and, to the extent required, the Company has obtained the written consent to the use of such data from such sources;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(hh)         </w:t>
      </w:r>
      <w:r>
        <w:rPr>
          <w:rFonts w:ascii="Times New Roman" w:cs="Times New Roman" w:eastAsia="Times New Roman" w:hAnsi="Times New Roman"/>
          <w:sz w:val="18"/>
          <w:szCs w:val="18"/>
          <w:color w:val="000000"/>
        </w:rPr>
        <w:t>There is and has been no failure on the part of the Company or any of the Company’s directors or officers, in their capacities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Neither the Company nor any of its affiliates has taken or will take, directly or indirectly, any action designed to or that could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reasonably be expected to cause or result in the stabilization or manipulation of the price of any security of the Company or any of its subsidiaries in connection with the offering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(jj)            </w:t>
      </w:r>
      <w:r>
        <w:rPr>
          <w:rFonts w:ascii="Times New Roman" w:cs="Times New Roman" w:eastAsia="Times New Roman" w:hAnsi="Times New Roman"/>
          <w:sz w:val="18"/>
          <w:szCs w:val="18"/>
          <w:color w:val="000000"/>
        </w:rPr>
        <w:t>The Company has not engaged in any form of solicitation, advertising or other action constituting an offer or a sale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Israeli Securities Law, 5728-1968 in connection with the transactions contemplated hereby, which would require the Company to publish a prospectus in the State of Israel under the laws of the State of Israel;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(kk)          </w:t>
      </w:r>
      <w:r>
        <w:rPr>
          <w:rFonts w:ascii="Times New Roman" w:cs="Times New Roman" w:eastAsia="Times New Roman" w:hAnsi="Times New Roman"/>
          <w:sz w:val="18"/>
          <w:szCs w:val="18"/>
          <w:color w:val="000000"/>
        </w:rPr>
        <w:t>The Company and each of its subsidiaries have such permits, licenses, approvals, consents, franchises, certificates of need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have a Material Adverse Effect;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(ll)            </w:t>
      </w:r>
      <w:r>
        <w:rPr>
          <w:rFonts w:ascii="Times New Roman" w:cs="Times New Roman" w:eastAsia="Times New Roman" w:hAnsi="Times New Roman"/>
          <w:sz w:val="18"/>
          <w:szCs w:val="18"/>
          <w:color w:val="000000"/>
        </w:rPr>
        <w:t>Except as disclosed in the Registration Statement, the Pricing Prospectus and the Prospectus, the Company and its 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taken as a whole, are insured against such losses and risks and in such amounts as are prudent and customary in the businesses in which they are engaged and as required by law; and the Company and its subsidiaries reasonably believe that they will be able to renew each’s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(mm)        </w:t>
      </w:r>
      <w:r>
        <w:rPr>
          <w:rFonts w:ascii="Times New Roman" w:cs="Times New Roman" w:eastAsia="Times New Roman" w:hAnsi="Times New Roman"/>
          <w:sz w:val="18"/>
          <w:szCs w:val="18"/>
          <w:color w:val="000000"/>
        </w:rPr>
        <w:t>There is no debt of, or guaranteed by, the Company or any of its subsidiaries that is rated by a “nationally recognized statistical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rating organization,” as that term is defined by in Section 3(a)(62) of the Exchange Act;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(nn)          </w:t>
      </w:r>
      <w:r>
        <w:rPr>
          <w:rFonts w:ascii="Times New Roman" w:cs="Times New Roman" w:eastAsia="Times New Roman" w:hAnsi="Times New Roman"/>
          <w:sz w:val="18"/>
          <w:szCs w:val="18"/>
          <w:color w:val="000000"/>
        </w:rPr>
        <w:t>(i) There are no persons with registration rights or other similar rights to have any securities registered pursuant to the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 or otherwise registered by the Company under the Act, except as have been validly waived or complied with and (ii) no holder of outstanding shares of the Company’s capital stock is entitled to preemptive or other rights to subscribe for the Shares that have not been complied with or otherwise effectively waived.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 xml:space="preserve">2.             </w:t>
      </w:r>
      <w:r>
        <w:rPr>
          <w:rFonts w:ascii="Times New Roman" w:cs="Times New Roman" w:eastAsia="Times New Roman" w:hAnsi="Times New Roman"/>
          <w:sz w:val="18"/>
          <w:szCs w:val="18"/>
          <w:color w:val="000000"/>
        </w:rPr>
        <w:t>The Selling Stockholder represents and warrants to, and agrees with, each of the Underwriters and the Company that: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consents, approvals, authorizations and orders necessary for the execution and delivery by the Selling Stockholder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for the sale and delivery of the Shares to be sold by the Selling Stockholder hereunder, have been obtained; and the Selling Stockholder has full right, power and authority to enter into this Agreement and to sell, assign, transfer and deliver the Shares to be sold by the Selling Stockholder hereunder;</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sale of the Shares to be sold by the Selling Stockholder hereunder and the compliance by the Selling Stockholder with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the consummation of the sale and delivery of the Shares to be sold by the Selling Stockholder hereunder will not conflict with or result in a breach or violation of any of the terms or provisions of, or constitute a default under, any statute, indenture, mortgage, deed of trust, loan agreement, lease or other agreement or instrument to which the Selling Stockholder is a party or by which the Selling Stockholder is bound or to which any of the property or assets of the Selling Stockholder is subject, nor will such action result in any violation of the provisions of the Certificate of Incorporation or By-laws of the Selling Stockholder or any statute or any judgment, order, rule or regulation of any court or governmental agency or body having jurisdiction over the Selling Stockholder or any property or assets of the Selling Stockholder, except, in each case, for any such conflict, breach, violation or default that would not, individually or in the aggregate, affect the validity of the Shares to be sold by the Selling Stockholder hereunder or reasonably be expected to materially impair the ability of such Selling Stockholder to consummate the sale and delivery of the Shares to be sold by the Selling Stockholder hereunder; and no consent, approval, authorization, order, registration or qualification of or with any such court or governmental body or agency is required for the performance by the Selling Stockholder of its obligations under this Agreement and the consummation by the Selling Stockholder of the sale and delivery of the Shares to be sold by the Selling Stockholder hereunder, except the registration under the Act of the Shares, the approval by FINRA of the underwriting terms and arrangements, the approval for listing on NASDAQ and such consents, approvals, authorizations, orders, registrations or qualifications as may be required under state securities or Blue Sky laws in connection with the purchase and distribution of the Shares by the Underwriters; with respect to the Shares to be issued by the Company upon conversion of an equivalent number of shares of Class B Common Stock, the Selling Stockholder has, or will have prior to the Closing Date, duly completed and executed all required documentation (if any) required to effect such conversion;</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Upon issuance of the Shares upon conversion of shares of Class B Common Stock held by the Selling Stockholder,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immediately prior to each Time of Delivery, the Selling Stockholder will have, good and valid title to, or a valid “security entitlement” within the meaning of Section 8-501 of the New York Uniform Commercial Code in respect of, the Shares to be sold by the Selling Stockholder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Selling Stockholder has not taken and will not take, directly or indirectly, any action that is designed to or that has constituted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might reasonably be expected to cause or result in stabilization or manipulation of the price of any security of the Company to facilitate the sale or resale of the Shares;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To the extent that any statements or omissions made in the Registration Statement, any Preliminary Prospectus and the Prospectus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any further amendments or supplements to the Registration Statement and the Prospectus are made in reliance upon and in conformity with written information furnished to the Company by the Selling Stockholder pursuant to Item 7 of Form S–3 expressly for use therein,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it being understood and agreed that for purposes of this Agreement, the only information furnished by the Selling Stockholder consists of the name of the Selling Stockholder, the number of offered shares and the address and other information with respect to the Selling Stockholder (excluding percentages) which appear in the Registration Statement, Preliminary Prospectus or the Prospectus in the table (and corresponding footnotes) under the caption “Principal and Selling Stockholders”(the “Selling Stockholder Information”);</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In order to document the Underwriters’ compliance with the reporting and withholding provisions of the Tax Equity and Fiscal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Responsibility Act of 1982 with respect to the transactions herein contemplated, the Selling Stockholder will deliver to you prior to or at the First Time of Delivery a properly completed and executed United States Treasury Department Form W-9 (or other applicable form or statement specified by Treasury Department regulations in lieu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None of the Selling Stockholder, any of its subsidiaries or controlled affiliates, or any director or officer of the Selling Stockholder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of its subsidiaries, nor to the Selling Stockholder’s knowledge, any employee, agent, representative or other person associated with or acting on behalf of the Selling Stockholder, any of its subsidiaries or controlled affiliates, has (i) made, offered, promised or authorized any unlawful contribution, gift, entertainment or other unlawful expense (or taken, or will take, any act in furtherance thereof); (ii) made, offered, promised or authorized any direct or indirect unlawful payment (or taken, or will take, any act in furtherance thereof); or (iii) violated or is in violation of any provision of any Anti-Corruption Laws; the Selling Stockholder and each of its subsidiaries and controlled affiliates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Selling Stockholder nor any of its subsidiaries will use, directly or indirectly, the proceeds of the offering in furtherance of an offer, payment, promise to pay, or authorization of the payment or giving of money, or anything else of value, to any person in violation of Anti-Corruption Laws; it being understood and agreed that the Selling Stockholder is not making any such representation with respect to the Company under this Section 2(h);</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The operations of the Selling Stockholder and each of its subsidiaries are and have been conducted at all times in compliance in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respects with the requirements of applicable Money Laundering Laws and no action, suit or proceeding by or before any court or governmental agency, authority or body or any arbitrator involving the Selling Stockholder or any of its subsidiaries with respect to the Money Laundering Laws is pending or, to the knowledge of the Selling Stockholder, threatened; it being understood and agreed that the Selling Stockholder is not making any such representation with respect to the Company under this Section 2(i);</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(j)             </w:t>
      </w:r>
      <w:r>
        <w:rPr>
          <w:rFonts w:ascii="Times New Roman" w:cs="Times New Roman" w:eastAsia="Times New Roman" w:hAnsi="Times New Roman"/>
          <w:sz w:val="18"/>
          <w:szCs w:val="18"/>
          <w:color w:val="000000"/>
        </w:rPr>
        <w:t>None of the Selling Stockholder, any of its subsidiaries or any director or officer of the Selling Stockholder or any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nor to the Selling Stockholder’s knowledge, any employee, agent, controlled affiliate, representative or other person associated with or acting on behalf of the Selling Stockholder or any of its subsidiaries is, or is owned or controlled by one or more persons or entities that are,</w:t>
      </w:r>
    </w:p>
    <w:p>
      <w:pPr>
        <w:spacing w:after="0" w:line="1" w:lineRule="exact"/>
        <w:rPr>
          <w:sz w:val="20"/>
          <w:szCs w:val="20"/>
          <w:color w:val="auto"/>
        </w:rPr>
      </w:pPr>
    </w:p>
    <w:p>
      <w:pPr>
        <w:jc w:val="both"/>
        <w:ind w:left="660" w:hanging="4"/>
        <w:spacing w:after="0" w:line="251" w:lineRule="auto"/>
        <w:tabs>
          <w:tab w:leader="none" w:pos="9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 subject or the target of any Sanctions, or (ii) located, organized, or resident in a Sanctioned Jurisdiction, and the Selling Stockholder will not directly or indirectly use the proceeds of the offering of the Shares hereunder, or lend, contribute or otherwise make available such proceeds to any subsidiary, joint venture partner or other person or entity (A) to fund or facilitate any activities of or business with any person, or in any country or territory, that, at the time of such funding or facilitation, is the subject or the target of Sanctions or is a Sanctioned Jurisdiction, respectively or (B) in any other manner that will result in a violation by any person (including any person participating in the transaction, whether as underwriter, advisor, investor or otherwise) of Sanctions. Since April 24, 2019, the Selling Stockholder and each of its subsidiaries have not knowingly engaged in, are not now knowingly engaged in, and will not knowingly engage in, any dealings or transactions with or involving any individual or entity, or in any country or territory, that at the time of the dealing or transaction is or was the subject of Sanctions; the Selling Stockholder and its subsidiaries have instituted and maintain policies and procedures designed to promote and achieve continued compliance with Sanctions; it being understood and agreed that the Selling Stockholder is not making any such representation with respect to the Company under this Section 2(j); and</w:t>
      </w:r>
    </w:p>
    <w:p>
      <w:pPr>
        <w:spacing w:after="0" w:line="19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The Selling Stockholder is not prompted by any material information concerning the Company or any of its subsidiaries that is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disclosed in the Pricing Prospectus to sell its Shares pursuant to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3.             </w:t>
      </w:r>
      <w:r>
        <w:rPr>
          <w:rFonts w:ascii="Times New Roman" w:cs="Times New Roman" w:eastAsia="Times New Roman" w:hAnsi="Times New Roman"/>
          <w:sz w:val="18"/>
          <w:szCs w:val="18"/>
          <w:color w:val="000000"/>
        </w:rPr>
        <w:t>Subject to the terms and conditions herein set forth, (a) the Selling Stockholder agrees to sell to each of the Underwriters, and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Underwriters agrees, severally and not jointly, to purchase from the Selling Stockholder, at a purchase price per share of $16.04625, the number of Firm Shares set forth opposite the name of such Underwriter in Schedule I hereto and (b) in the event and to the extent that the Underwriters shall exercise the election to purchase Optional Shares as provided below, the Selling Stockholder agrees to sell to each of the Underwriters, and each of the Underwriters agrees, severally and not jointly, to purchase from the Selling Stockholder, at the purchase price per share set forth in clause (a) of this Section 3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Selling Stockholder hereby grants to the Underwriters the right to purchase at their election up to 7,500,000 Optional Shares, at the purchase price per share set forth in the paragraph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and the Selling Stockholder,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5(a) hereof) or, unless you and the Company and the Selling Stockholder otherwise agree in writing, earlier than one or later than ten business days after the date of such notice.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4.             </w:t>
      </w:r>
      <w:r>
        <w:rPr>
          <w:rFonts w:ascii="Times New Roman" w:cs="Times New Roman" w:eastAsia="Times New Roman" w:hAnsi="Times New Roman"/>
          <w:sz w:val="18"/>
          <w:szCs w:val="18"/>
          <w:color w:val="000000"/>
        </w:rPr>
        <w:t>Upon the authorization by the Representatives of the release of the Shares, the several Underwriters propose to offer the Shares for sale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upon the terms and conditions set forth in the Pricing Disclosure Package and the Prospectus.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5.             </w:t>
      </w:r>
      <w:r>
        <w:rPr>
          <w:rFonts w:ascii="Times New Roman" w:cs="Times New Roman" w:eastAsia="Times New Roman" w:hAnsi="Times New Roman"/>
          <w:sz w:val="18"/>
          <w:szCs w:val="18"/>
          <w:color w:val="000000"/>
        </w:rPr>
        <w:t>(a) The Shares to be purchased by each Underwriter hereunder, in definitive or book-entry form, and in such authorized denominations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registered in such names as the Representatives may request upon at least twenty-four hours’ prior notice to the Selling Stockholder shall be delivered by or on behalf of the Selling Stockholder to the Representatives, through the facilities of the Depository Trust Company (“DTC”), for the account of such Underwriter, against payment by or on behalf of such Underwriter of the purchase price therefor by wire transfer of Federal (same-day) funds to the account specified by the Selling Stockholder to the Representatives at least twenty-four hours in advance. The Company and the Selling Stockholder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July 11, 2025 or such other time and date as the Representatives, the Company and the Selling Stockholder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the Company and the Selling Stockholder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documents to be delivered at each Time of Delivery by or on behalf of the parties hereto pursuant to Section 9 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the cross-receipt for the Shares and any additional documents requested by the Underwriters pursuant to Section 9 hereof, will be delivered at the offices of Sullivan &amp; Cromwell LLP, 1870 Embarcadero Road, Palo Alto, California 94303 (the “Closing Location”), and the Shares will be delivered at the Designated Office, all at such Time of Delivery. A meeting will be held at the Closing Location at 3:30 p.m., New York City time, on the New York Business Day next preceding such Time of Delivery, at which meeting the final drafts of the documents to be delivered pursuant to the preceding sentence will be available for review by the parties hereto. For the purposes of this Section 5, “New York Business Day” shall mean each Monday, Tuesday, Wednesday, Thursday and Friday which is not a day on which banking institutions in New York City are generally authorized or obligated by law or executive order to close.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6.             </w:t>
      </w:r>
      <w:r>
        <w:rPr>
          <w:rFonts w:ascii="Times New Roman" w:cs="Times New Roman" w:eastAsia="Times New Roman" w:hAnsi="Times New Roman"/>
          <w:sz w:val="18"/>
          <w:szCs w:val="18"/>
          <w:color w:val="000000"/>
        </w:rPr>
        <w:t>The Company agrees with each of the Underwriters, and solely with respect to Section 6(g)(2) hereof, the Selling Stockholder agrees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of the Underwriters:</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prepare the Prospectus in a form approved by you and to file such Prospectus pursuant to Rule 424(b) under the Act prior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earlier of (i) the First Time of Delivery and (ii) the Commission’s close of business on the second business day following the execution and delivery of this Agreement;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other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Shares by the Underwriters (references herein to the Registration Statement shall include any such amendment or new registration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required by Rule 430B(h) under the Act, to prepare a form of prospectus in a form approved by you and to file such form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prospectus pursuant to Rule 424(b) under the Act not later than may be required by Rule 424(b) under the Act; and to make no further amendment or supplement to such form of prospectus which shall be disapproved by you promptly after reasonable notice therereof;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[Reserved];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Promptly from time to time to take such action as you may reasonably request to qualify the Shares for offering and sale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securities laws of such jurisdictions as you may reasonably request and to comply with such laws so as to permit the continuance of sales and dealings therein in such jurisdictions for as long as may be necessary to complete the distribution of the Shares;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connection therewith the Company shall not be required to qualify as a foreign corporation (where not otherwise required) or to file a general consent to service of process in any jurisdiction (where not otherwise required) or subject itself to taxation in any such jurisdiction in which it was not otherwise subject to taxation;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Prior to 10:00 a.m., New York City time, on the New York Business Day next succeeding the date of this Agreement and from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To make generally available to its securityholders as soon as practicable (which may be satisfied by filing with the Commission’s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(1) During the period beginning from the date hereof and continuing to and including the date 90 days after the date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equity incentive plans existing on, or upon the conversion or exchange of convertible or exchangeable securities outstanding as of, the date of this Agreement), or publicly disclose the intention to take any of the actions described in clause (i) or clause (ii) above, without the prior written consent of Goldman Sachs &amp; Co. LLC and BofA Securities, Inc.;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the foregoing restrictions shall not apply to (A) the issuance of the Shares to be sold hereunder upon conversion of shares of Class B Common Stock, (B) the grant of options to purchase or the issuance by the Company of common stock or any securities convertible into, exchangeable for or that represent the right to receive shares of common stock, including restricted stock units, in each case pursuant to the Company’s equity plans disclosed in the Pricing Prospectus, (C) the entry into an agreement providing for the issuance by the Company of shares of common stock or any security convertible into or exercisable for shares of common stock in connection with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(D) the entry into any agreement providing for the issuance of shares of common stock or any security convertible into or exercisable for shares of common stock in connection with joint ventures, commercial relationships, debt financings, charitable contributions or other strategic transactions, and the issuance of any such securities pursuant to any such agreement and (E) the filing of any registration statement on Form S-8 relating to securities granted or to be granted pursuant to the Company’s equity incentive plans that are described in the Pricing Prospectus or any assumed employee benefit plan contemplated by clause (C), including, for the avoidance of doubt, any Form S-8 to be filed in connection with the Amended and Restated 2022 Mobileye Global Inc. 2022 Equity Incentive Plan approved at the Company's annual general meeting on June 12, 2025;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the case of clauses (C) and (D), the aggregate number of shares of Stock that the Company may sell or issue or agree to sell or issue pursuant to clauses (C) and (D) shall not exceed 10% of the total number of shares of common stock issued and outstanding immediately following the completion of the offering contemplated by this Agreement; and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in the case of clauses (C) and (D), the Company shall (x) cause each recipient of such securities to execute and deliver to the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Representatives on or prior to the issuance of such securities, a lock-up agreement on terms substantially similar to the lock-up agreement referenced in clause (2) below for the remainder of the Lock-Up Period and (y) enter stop transfer instructions with the Company’s transfer agent and registrar on such securities, which the Company agrees it will not waive or amend without the prior written consent of Goldman Sachs &amp; Co. LLC and BofA Securities, Inc.;</w:t>
      </w: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4" w:firstLine="644"/>
        <w:spacing w:after="0" w:line="267" w:lineRule="auto"/>
        <w:tabs>
          <w:tab w:leader="none" w:pos="93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Lock-Up Period, the Selling Stockholder shall not, and shall not cause or direct any of its affiliates to, (i) offer, sell, contract to sell, pledge, grant any option, right or warrant to purchase, purchase any option or contract to sell, lend or otherwise transfer or dispose of, directly or indirectly,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“Selling Stockholder Lock-Up Securities”), including without limitation any such Selling Stockholder Lock-Up Securities currently beneficially owned (as such term is used in Rule 13d-3 of the Exchange Act) or hereafter acquired by the Selling Stockholder,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Selling Stockholder or someone other than the Selling Stockholder), or transfer of any of the economic consequences of ownership, in whole or in part, directly or indirectly, of any Selling Stockholder Lock-Up Securities, whether any such transaction or arrangement described in clause (i) or</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instrument provided for thereunder) would be settled by delivery of Common Stock or other securities, in cash or otherwise,</w:t>
      </w:r>
    </w:p>
    <w:p>
      <w:pPr>
        <w:spacing w:after="0" w:line="9"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demand for or exercise any right with respect to the registration of any Selling Stockholder Lock-Up Securities or (iv) otherwise publicly announce any intention to engage in or cause any action, activity, transaction or arrangement described in clause (i), (ii) or (iii)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Selling Stockholder may:</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transfer the Selling Stockholder Lock-Up Securities (i) as one or more bona fide gifts or charitable contributions, or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bona fide estate planning purposes, (ii) upon death by will, testamentary document or intestate succession, (iii) if the party bound by this restriction is a natural person, to any member of such party’s immediate family or to any trust for the direct or indirect benefit of the party or an immediate family member (as defined in FINRA Rule 5130(i)(5)) of the party or, if the party is a trust, to a trustor or beneficiary of the trust or the estate of a beneficiary of such trust, (iv) to a partnership, limited liability company or other entity of which the party and the immediate family of the party are the legal and beneficial owner of all of the outstanding equity securities or similar interests, (v) to a nominee or custodian of a person or entity to whom a disposition or transfer would be permissible under clauses (a)(i) through (iv) above,</w:t>
      </w:r>
    </w:p>
    <w:p>
      <w:pPr>
        <w:spacing w:after="0" w:line="3" w:lineRule="exact"/>
        <w:rPr>
          <w:sz w:val="20"/>
          <w:szCs w:val="20"/>
          <w:color w:val="auto"/>
        </w:rPr>
      </w:pPr>
    </w:p>
    <w:p>
      <w:pPr>
        <w:jc w:val="both"/>
        <w:ind w:left="180" w:firstLine="4"/>
        <w:spacing w:after="0" w:line="250" w:lineRule="auto"/>
        <w:tabs>
          <w:tab w:leader="none" w:pos="5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corporation, partnership, limited liability company or other business entity, (A) to another corporation, partnership, limited liability company or other business entity that is an affiliate (as defined in Rule 405 under the Act) of the party, or to any investment fund or other entity which fund or entity is controlled or managed by the party or affiliates of the party, or (B) as part of a distribution by the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or service provider of the Company upon death, disability or termination of employment, in each case, of such employee or service provider, (ix) in connection with a sale of the Selling Stockholder’s shares of Common Stock acquired (A) from the Underwriters in the offering contemplated by this Agreement or (B) in open market transactions after the closing date of the offering contemplated by this Agreement, (x) to the Company in connection with the vesting, settlement or exercise of restricted stock units,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securities received upon such vesting, settlement, exercise or conversion shall be subject to the terms of this Lock-Up Agreement, (xi) in connection with the Share Repurchase or the voluntarily conversion by the Selling Stockholder of 50,000,000 shares of Class B Common Stock that the Selling Stockholder holds into 50,000,000 shares of Stock, contingent on the closing of the offering contemplated by this Agreement, or (xii) with the prior written consent of Goldman Sachs &amp; Co. LLC and BofA Securities, Inc. on behalf of the Underwriters;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in the case of clauses (i), (ii), (iii), (iv), (v) and (vi) above, such transfer or distribution shall not involve a disposition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(II) in the case of clauses (i), (ii), (iii), (iv), (v), (vi) and (vii) above, it shall be a condition to the transfer or distribution that the donee, devisee, transferee or distributee, as the case may be, shall sign and deliver a lock-up agreement containing the restrictions set forth in this paragraph for the benefit of the Underwriters, (III) in the case of clauses (i), (ii), (iii), (iv), (v) and (vi) above, no filing by any party (including, without limitation, any donor, donee, devisee, transferor, transferee, distributor or distributee) under the Exchange Act, or other public filing, report or announcement reporting a reduction in beneficial ownership of Selling Stockholder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(vii) above, that the donee, devisee, transferee or distributee has agreed to be bound by a lock-up agreement to the extent provided in this Section 6(g)(2);</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enter into a written plan meeting the requirements of Rule 10b5-1 under the Exchange Act relating to the transfer, sale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disposition of the Selling Stockholder Lock-Up Securities, if then permitted by the Company,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183"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transfer the Selling Stockholder Lock-Up Securities pursuant to a bona fide third-party tender offer, merger,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consolidation or other similar transaction that is approved by the Board of Directors of the Company and made to all holders of the Company’s Common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the event that such tender offer, merger, consolidation or other similar transaction is not completed, the Selling Stockholder Lock-Up Securities shall remain subject to the restrictions set forth in this Section 6(g)(2).</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During a period of three years from the effective date of the Registration Statement, so long as the Company is subject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0" w:name="page31"/>
    <w:bookmarkEnd w:id="30"/>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During a period of three years from the effective date of the Registration Statement, so long as the Company is subject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w:t>
      </w:r>
    </w:p>
    <w:p>
      <w:pPr>
        <w:spacing w:after="0" w:line="3" w:lineRule="exact"/>
        <w:rPr>
          <w:sz w:val="20"/>
          <w:szCs w:val="20"/>
          <w:color w:val="auto"/>
        </w:rPr>
      </w:pPr>
    </w:p>
    <w:p>
      <w:pPr>
        <w:jc w:val="both"/>
        <w:ind w:left="660" w:hanging="4"/>
        <w:spacing w:after="0" w:line="252" w:lineRule="auto"/>
        <w:tabs>
          <w:tab w:leader="none" w:pos="9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report, communication or financial statement need be furnished pursuant to this subsection (g) to the extent (i) they are furnished or filed by the Company and publicly available on EDGAR, in which case they shall be deemed to have been furnished and delivered to you at the same time furnished to or filed with the Commission or (ii) the provision of which would require public disclosure by the Company under Regulation FD;</w:t>
      </w:r>
    </w:p>
    <w:p>
      <w:pPr>
        <w:spacing w:after="0" w:line="19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To pay the required Commission filing fees relating to the Shares within the time required by Rule 456(b)(1) under the Act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regard to the proviso therein and otherwise in accordance with Rules 456(b) and 457(r) under the Act;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Upon request of any Underwriter, to furnish, or cause to be furnished, to such Underwriter an electronic version of the Company’s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trademarks, servicemarks and corporate logo for use on the website, if any, operated by such Underwriter for the purpose of facilitating the on-line offering of the Shares (the “License”);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the License shall be used solely for the purpose described above, is granted without any fee and may not be assigned or transferred; and</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(l)             </w:t>
      </w:r>
      <w:r>
        <w:rPr>
          <w:rFonts w:ascii="Times New Roman" w:cs="Times New Roman" w:eastAsia="Times New Roman" w:hAnsi="Times New Roman"/>
          <w:sz w:val="18"/>
          <w:szCs w:val="18"/>
          <w:color w:val="000000"/>
        </w:rPr>
        <w:t>Upon request of any Underwriter, to furnish, or cause to be furnished, to such Underwriter a properly completed and executed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7.             </w:t>
      </w:r>
      <w:r>
        <w:rPr>
          <w:rFonts w:ascii="Times New Roman" w:cs="Times New Roman" w:eastAsia="Times New Roman" w:hAnsi="Times New Roman"/>
          <w:sz w:val="18"/>
          <w:szCs w:val="18"/>
          <w:color w:val="000000"/>
        </w:rPr>
        <w:t>(a)            The Company represents and agrees that, without the prior consent of the Representatives, it has not made and will not make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offer relating to the Shares that would constitute a “free writing prospectus” as defined in Rule 405 under the Act; the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Company has complied and will comply with the requirements of Rule 433 under the Act applicable to any Issuer Free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Writing Prospectus, including timely filing with the Commission or retention where required and legending;</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Company agrees that if at any time following issuance of an Issuer Free Writing Prospectus or Written Testing-the-Waters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Each Underwriter represents and agrees that any Testing-the-Waters Communications undertaken by it were with entities that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Underwriter reasonably believes are qualified institutional buyers as defined in Rule 144A under the Act or institutions that are accredited investors as defined in Rule 501(a)(1), (a)(2), (a)(3), (a)(7) or (a)(8) under the Act.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8.             </w:t>
      </w:r>
      <w:r>
        <w:rPr>
          <w:rFonts w:ascii="Times New Roman" w:cs="Times New Roman" w:eastAsia="Times New Roman" w:hAnsi="Times New Roman"/>
          <w:sz w:val="18"/>
          <w:szCs w:val="18"/>
          <w:color w:val="000000"/>
        </w:rPr>
        <w:t>The Company and the Selling Stockholder covenant and agree with one another and with the several Underwriters that, whether or not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contemplated in this Agreement are consummated or this Agreement is terminated (a) the Company will pay or cause to be paid all expenses incident to the performance of its obligations under this Agreement, including (i) the fees, disbursements and expenses of the Company’s counsel and accountants in connection with the registration of the Shares under the Act and all other fees or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all costs and expenses related to the transfer and delivery of the Shares to the Underwriters, including any transfer or other taxes payable thereon; (iii) the cost of printing or producing any Agreement among Underwriters, this Agreement, the Blue Sky Memorandum, closing documents (including any compilations thereof) and any other documents in connection with the offering, purchase, sale and delivery of the Shares; (iv) all</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expenses in connection with the qualification of the Shares for offering and sale under state securities laws as provided in Section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6(b) hereof, including the filing fees and the reasonable and documented fees and disbursements of counsel for the Underwriters in connection with such qualification and in connection with the Blue Sky survey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reasonable and documented fees and disbursements of counsel to the Underwriters pursuant to this clause (iv) shall not exceed $5,000); (v) all fees and expenses in connection with listing the Shares on NASDAQ; (vi) the filing fees incident to, and the reasonable and documented fees and disbursements of counsel for the Underwriters in connection with, any required review by FINRA of the terms of the sale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reasonable and documented fees and disbursements of counsel to the Underwriters pursuant to this clause (vi) shall not exceed $35,000); (vii) the cost of preparing stock certificates; if applicable; (viii) the cost and charges of any transfer agent, registrar or depositary;</w:t>
      </w:r>
    </w:p>
    <w:p>
      <w:pPr>
        <w:spacing w:after="0" w:line="6" w:lineRule="exact"/>
        <w:rPr>
          <w:sz w:val="20"/>
          <w:szCs w:val="20"/>
          <w:color w:val="auto"/>
        </w:rPr>
      </w:pPr>
    </w:p>
    <w:p>
      <w:pPr>
        <w:jc w:val="both"/>
        <w:ind w:firstLine="8"/>
        <w:spacing w:after="0" w:line="251" w:lineRule="auto"/>
        <w:tabs>
          <w:tab w:leader="none" w:pos="3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roadshow undertaken in connection with the marketing of the offering of the Shares, including, without limitation, expenses associated with the preparation or dissemination of any electronic roadshow, expenses associated with the production of roadshow slides and graphics, fees and expenses of any consultants engaged in connection with the roadshow presentations with the prior approval of the Company, travel and lodging expenses of the representatives and officers of the Company and any such consultants, and 50% of the cost of any aircraft chartered in connection with the roadshow, and (x) subject to the terms of Section 4.4 of the Master Transaction Agreement (the “Master Transaction Agreement”), dated October 25, 2022, between Intel Corporation and Mobileye Global Inc., all other costs and expenses incident to the performance of its obligations hereunder which are not otherwise specifically provided for in this Section (it being understood that any such costs and expenses not borne by the Company due to the Master Transaction Agreement will be borne by the Selling Stockholder); and (b) the Selling Stockholder will pay or cause to be paid all costs and expenses for its own internal administrative, its own legal costs and similar costs incident to the performance of the Selling Stockholder’s obligations hereunder which are not otherwise specifically provided for in this Section. It is understood, however, that, the Company shall bear, and the Selling Stockholder shall not be required to pay or to reimburse the Company for, the cost of any other matters not directly relating to the sale and purchase of the Shares pursuant to this Agreement, and except as provided in this Section, and Sections 10 and 13 hereof, the Underwriters will pay all of their own costs and expenses, including the fees of their counsel, stock transfer taxes payable on resale of any of the Shares by them, and any advertising expenses connected with any offers they may make.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9.             </w:t>
      </w:r>
      <w:r>
        <w:rPr>
          <w:rFonts w:ascii="Times New Roman" w:cs="Times New Roman" w:eastAsia="Times New Roman" w:hAnsi="Times New Roman"/>
          <w:sz w:val="18"/>
          <w:szCs w:val="18"/>
          <w:color w:val="000000"/>
        </w:rPr>
        <w:t>The obligations of the Underwriters hereunder, as to the Shares to be delivered at each Time of Delivery, shall be subject, in their discretion,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condition that all representations and warranties and other statements of the Company and the Selling Stockholder herein are, at and as of the Applicable Time and such Time of Delivery, true and correct, the condition that the Company and the Selling Stockholder shall have performed all of its and their obligations hereunder theretofore to be performed, and the following additional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Prospectus shall have been filed with the Commission pursuant to Rule 424(b) under the Act within the applicable time period</w:t>
      </w:r>
    </w:p>
    <w:p>
      <w:pPr>
        <w:spacing w:after="0" w:line="39"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 xml:space="preserve">prescribed for such filing by the rules and regulations under the Act and in accordance with 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6(a)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 been issued and no proceeding for that purpose or pursuant to Section 8A of the Act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91"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Sullivan &amp; Cromwell LLP, counsel for the Underwriters, shall have furnished to you such written opinion or opinions, dated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Skadden, Arps, Slate, Meagher &amp; Flom LLP, counsel for the Selling Stockholder, shall have furnished to you their written opinion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opinions, dated such Time of Delivery, in form and substance satisfactory to the Representatives;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Davis Polk &amp; Wardwell LLP, counsel for the Company, shall have furnished to you their written opinion or opinions, dated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Time of Delivery, in form and substance satisfactory to the Representatives;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[Reserved];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On the date of the Prospectus at a time prior to the execution of this Agreement, at 9:30 a.m., New York City time, on the effective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of any post-effective amendment to the Registration Statement filed subsequent to the date of this Agreement and also at each Time of Delivery, PricewaterhouseCoopers LLP shall have furnished to you a letter or letters, dated the respective dates of delivery thereof, in form and substance satisfactory to you;</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 Neither the Company nor any of its subsidiaries shall have sustained since the date of the latest audited financial statements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grant of stock options and restricted stock units or other equity incentives or the award of stock options, restricted stock units or other equity incentives in the ordinary course of business, in each case pursuant to the Company’s equity plans disclosed in the Registration Statement, the Pricing Prospectus and the Prospectus) or long-term debt of the Company or any of its subsidiaries or any change or effect, or any development involving a prospective change or effect, in or affecting (x) the business, properties, general affairs, management, consolidated financial position, stockholders’ equity or results of operations of the Company and its subsidiaries, taken as a whole, except as set forth or contemplated in the Pricing Prospectus, or (y) the ability of the Company to perform its obligations under this Agreement, or to consummate the transactions contemplated in the Pricing Prospectus and the Prospectus, the effect of which, in any such case described in clause (i) or (ii), is in the judgment of the Representatives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On or after the Applicable Time there shall not have occurred any of the following: (i) a suspension or material limitation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trading in securities generally on the New York Stock Exchange, NASDAQ, the NYSE American, the Chicago Board of Options Exchange, the Chicago Mercantile Exchange or the Chicago Board of Trade; (ii) a suspension or material limitation in trading in the Company’s securities on any exchange or in any over-the-counter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Shares being delivered at such Time of Delivery on the terms and in the manner contemplated in the Pricing Prospectus and the Prospectus;</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Shares to be sold at such Time of Delivery shall have been duly listed for quotation on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[Reserved];</w:t>
      </w:r>
    </w:p>
    <w:p>
      <w:pPr>
        <w:spacing w:after="0" w:line="214" w:lineRule="exact"/>
        <w:rPr>
          <w:sz w:val="20"/>
          <w:szCs w:val="20"/>
          <w:color w:val="auto"/>
        </w:rPr>
      </w:pPr>
    </w:p>
    <w:p>
      <w:pPr>
        <w:jc w:val="both"/>
        <w:ind w:left="660" w:firstLine="648"/>
        <w:spacing w:after="0" w:line="295"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The Company shall have complied with the provisions of Section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25"/>
          <w:szCs w:val="25"/>
          <w:b w:val="1"/>
          <w:bCs w:val="1"/>
          <w:i w:val="1"/>
          <w:iCs w:val="1"/>
          <w:color w:val="000000"/>
        </w:rPr>
        <w:t>‎</w:t>
      </w:r>
      <w:r>
        <w:rPr>
          <w:rFonts w:ascii="Times New Roman" w:cs="Times New Roman" w:eastAsia="Times New Roman" w:hAnsi="Times New Roman"/>
          <w:sz w:val="18"/>
          <w:szCs w:val="18"/>
          <w:color w:val="000000"/>
        </w:rPr>
        <w:t>6(c) hereof with respect to the furnishing of prospectuses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New York Business Day next succeeding the date of this Agreement;</w:t>
      </w:r>
    </w:p>
    <w:p>
      <w:pPr>
        <w:spacing w:after="0" w:line="13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(l)             </w:t>
      </w:r>
      <w:r>
        <w:rPr>
          <w:rFonts w:ascii="Times New Roman" w:cs="Times New Roman" w:eastAsia="Times New Roman" w:hAnsi="Times New Roman"/>
          <w:sz w:val="18"/>
          <w:szCs w:val="18"/>
          <w:color w:val="000000"/>
        </w:rPr>
        <w:t>The Company and the Selling Stockholder shall have furnished or caused to be furnished to you at such Time of Delivery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certificates of officers of the Company and of the Selling Stockholder, respectively, satisfactory to you as to the accuracy of the representations and warranties of the Company and of the Selling Stockholder, respectively, herein at and as of such Time of Delivery, as to the performance by the Company and of the Selling Stockholder, respectively, of all of their respective obligations hereunder to be performed at or prior to such Time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of Delivery, as to the matters set forth in subsections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 xml:space="preserve">(a) and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(g) of this Section and as to such other matters as you may reasonably request; and</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(m)           </w:t>
      </w:r>
      <w:r>
        <w:rPr>
          <w:rFonts w:ascii="Times New Roman" w:cs="Times New Roman" w:eastAsia="Times New Roman" w:hAnsi="Times New Roman"/>
          <w:sz w:val="18"/>
          <w:szCs w:val="18"/>
          <w:color w:val="000000"/>
        </w:rPr>
        <w:t>The Company shall have furnished or caused to be furnished to you on the date of this Agreement and at each Time of Delivery,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certificate of the Chief Financial Officer of the Company representing to certain financial and other matters in form and substance satisfactory to you.</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(a) The Company will indemnify and hold harmless each Underwriter against any losses, claims, damages or liabilities, joint or several,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The Selling Stockholder will indemnify and hold harmless each Underwriter against any losses, claims, damages or liabilities, joint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Selling Stockholder Information;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however</w:t>
      </w:r>
      <w:r>
        <w:rPr>
          <w:rFonts w:ascii="Times New Roman" w:cs="Times New Roman" w:eastAsia="Times New Roman" w:hAnsi="Times New Roman"/>
          <w:sz w:val="18"/>
          <w:szCs w:val="18"/>
          <w:color w:val="000000"/>
        </w:rPr>
        <w:t>, that the Selling Stockholder shall not be liable in any such case to the extent that any such loss, claim, damage or liability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in reliance upon and in conformity with the Underwriter Information.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Underwriter, severally and not jointly, will indemnify and hold harmless the Company and the Selling Stockholder against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losses, claims, damages or liabilities to which the Company or the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the Selling Stockholder for any legal or other expenses reasonably incurred by the Company or the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fifth paragraph under the caption “Underwriting,” and the information contained in the first, fifth, sixth and eighth sentences of the tenth paragraph, the first sentence of the eleventh paragraph, and the third and fourth sentences of the twelfth paragraph under the caption “Underwriting.”</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 case any proceeding (including any governmental investigation) shall be instituted involving any person in respect of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indemnity may be sought pursuant to subsection (a), (b) and (c) above (such person, the “indemnified party”), the indemnified party shall promptly notify the person against whom such indemnity may be sought (the “indemnifying party”) in writing of the commencement thereof;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the failure to notify the indemnifying party shall not relieve it from any liability that it may have under the preceding paragraphs of</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this Section 10 except to the extent that it has been materially prejudiced (through the forfeiture of substantive rights or defenses) by such failure; and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the failure to notify the indemnifying party shall not relieve it from any liability that it may have to an indemnified party otherwise than under the preceding paragraphs of this Section 10;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4" w:lineRule="exact"/>
        <w:rPr>
          <w:sz w:val="20"/>
          <w:szCs w:val="20"/>
          <w:color w:val="auto"/>
        </w:rPr>
      </w:pPr>
    </w:p>
    <w:p>
      <w:pPr>
        <w:jc w:val="both"/>
        <w:ind w:left="4" w:hanging="4"/>
        <w:spacing w:after="0" w:line="251"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subsection (a), by the Selling Stockholder, in the case of parties indemnified pursuant to subsection (b), and by the Company, in the case of parties indemnified pursuant to subsection (c).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or compromise of, or consent to the entry of any judgment with respect to, any pending or threatened action or claim in respect of which any indemnified party is or could have been a party and indemnity could have been sought hereunder (whether or not the indemnified party is an actual or potential party to such action or claim) unless such settlement, compromise or judgment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If the indemnification provided for in this Section 10 is unavailable to or insufficient to hold harmless an indemnified party under</w:t>
      </w:r>
    </w:p>
    <w:p>
      <w:pPr>
        <w:spacing w:after="0" w:line="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(a), (b), or (c) above in respect of any losses, claims, damages or liabilities (or actions in respect thereof) referred to therein, then each indemnifying party under such paragraph, in lieu of indemnifying such indemnified party thereunder,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hand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 on the one hand and of the Underwriters on the other hand in connection with the statements or omissions that resulted in such losses, claims, damages or liabilities (or actions in respect thereof), as well as any other relevant equitable considerations. The relative benefits received by the Company and the Selling Stockholder on the one hand and the Underwriters on the other hand shall be deemed to be in the same proportion as the total net proceeds from the offering (before deducting expenses) received by the Company and the Selling Stockholder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and the Selling Stockholder on the one hand or the Underwriters on the other hand in connection with the offering of the Shares and the parties’ relative intent, knowledge, access to information and opportunity to correct or prevent such statement or omission. The Company, the Selling Stockholder and the Underwriters agree that it would not be just and</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equitable if contribution pursuant to this 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(e) were determined by pro rata allocation (even if the Underwriters were treated as one entity for such purpose) or by any other method of allocation which does not take account of the equitable considerations referred to above in this</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 xml:space="preserve">(e). The amount paid or payable by an indemnified party as a result of the losses, claims, damages or liabilities (or actions in respect thereof) referred to above in this 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(e) shall be deemed to include any legal or other expenses reasonably incurred by such indemnified</w:t>
      </w: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party in connection with investigating or defending any such action or claim. Notwithstanding the provisions of this subsection </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17"/>
          <w:szCs w:val="17"/>
          <w:color w:val="auto"/>
        </w:rPr>
        <w:t>(e),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obligations in this 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(e) to contribute are several in proportion to their respective underwriting obligations and not joint.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obligations of the Company and the Selling Stockholder under this Section 10 shall be in addition to any liability which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and the Selling Stockholder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10 shall be in addition to any liability which the respective Underwriters may otherwise have and shall extend, upon the same terms and conditions, to each officer and director of the Company and to each person, if any, who controls the Company or the Selling Stockholder within the meaning of the Act.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color w:val="000000"/>
        </w:rPr>
        <w:t>(a)            If any Underwriter shall default in its obligation to purchase the Shares that it has agreed to purchase hereunder at a Time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Delivery, you 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 that you have so arranged for the purchase of such Shares, or the Company or the Selling Stockholder notifies you that it has so arranged for the purchase of such Shares, you or the Company or the Selling Stockholder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after giving effect to any arrangements for the purchase of the Shares of a defaulting Underwriter or Underwriters by you, the</w:t>
      </w:r>
    </w:p>
    <w:p>
      <w:pPr>
        <w:spacing w:after="0" w:line="2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 xml:space="preserve">Company and the Selling Stockholder as provided in 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(a) above, the aggregate number of such Shares which remains unpurchased does not exceed one-eleventh of the aggregate number of all the Shares to be purchased at such Time of Delivery, then the Selling Stockholder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after giving effect to any arrangements for the purchase of the Shares of a defaulting Underwriter or Underwriters by you, the</w:t>
      </w:r>
    </w:p>
    <w:p>
      <w:pPr>
        <w:spacing w:after="0" w:line="27"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18"/>
          <w:szCs w:val="18"/>
          <w:color w:val="auto"/>
        </w:rPr>
        <w:t xml:space="preserve">Company and the Selling Stockholder as provided in 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(a) above, the aggregate number of such Shares which remains unpurchased exceeds one-eleventh of the aggregate number of all of the Shares to be purchased at such Time of Delivery, or if the Selling Stockholder shall not</w:t>
      </w:r>
    </w:p>
    <w:p>
      <w:pPr>
        <w:spacing w:after="0" w:line="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 xml:space="preserve">exercise the right described in subsection </w:t>
      </w: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18"/>
          <w:szCs w:val="18"/>
          <w:color w:val="auto"/>
        </w:rPr>
        <w:t>(b) above to require non-defaulting Underwriters to purchase Shares of a defaulting Underwriter or Underwriters, then this Agreement (or, with respect to a Second Time of Delivery, the obligations of the Underwriters to purchase and of the Selling Stockholder to sell the Optional Shares) shall thereupon terminate, without liability on the part of any non-defaulting Underwriter, the Company or the Selling Stockholder, except for the expenses to be borne by the Company, the Selling Stockholder and the Underwriters as provided in Section 8 hereof and the indemnity and contribution agreements in Section 10 hereof; but nothing herein shall relieve a defaulting Underwriter from liability for its default.</w:t>
      </w:r>
    </w:p>
    <w:p>
      <w:pPr>
        <w:spacing w:after="0" w:line="19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010000"/>
        </w:rPr>
        <w:t>12.            </w:t>
      </w:r>
      <w:r>
        <w:rPr>
          <w:rFonts w:ascii="Times New Roman" w:cs="Times New Roman" w:eastAsia="Times New Roman" w:hAnsi="Times New Roman"/>
          <w:sz w:val="17"/>
          <w:szCs w:val="17"/>
          <w:color w:val="000000"/>
        </w:rPr>
        <w:t>The respective indemnities, rights of contribution, agreements, representations, warranties and other statements of the Company, the Selling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 or any officer or director or controlling person of the Company, or any controlling person of the Selling Stockholder, and shall survive delivery of and payment for the Shares.</w:t>
      </w:r>
    </w:p>
    <w:p>
      <w:pPr>
        <w:spacing w:after="0" w:line="1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13.            </w:t>
      </w:r>
      <w:r>
        <w:rPr>
          <w:rFonts w:ascii="Times New Roman" w:cs="Times New Roman" w:eastAsia="Times New Roman" w:hAnsi="Times New Roman"/>
          <w:sz w:val="18"/>
          <w:szCs w:val="18"/>
          <w:color w:val="000000"/>
        </w:rPr>
        <w:t>If this Agreement shall be terminated pursuant to Section 11 hereof, neither the Company nor the Selling Stockholder shall then be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liability to any Underwriter except as provided in Sections 8 and 10 hereof; but, if for any other reason, any Shares are not delivered by or on behalf of the Selling Stockholder as provided herein or the Underwriters decline to purchase the Shares for any reason permitted under this Agreement, the Company will reimburse the Underwriters through you for all documented out-of-pocket expenses approved in writing by you, including fees and disbursements of counsel, reasonably incurred by the Underwriters in making preparations for the purchase, sale and delivery of the Shares not so delivered, but the Company and the Selling Stockholder shall then be under no further liability to any Underwriter except as provided in Sections 8 and 10 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14.            </w:t>
      </w:r>
      <w:r>
        <w:rPr>
          <w:rFonts w:ascii="Times New Roman" w:cs="Times New Roman" w:eastAsia="Times New Roman" w:hAnsi="Times New Roman"/>
          <w:sz w:val="18"/>
          <w:szCs w:val="18"/>
          <w:color w:val="000000"/>
        </w:rPr>
        <w:t>In all dealings hereunder, the Representatives shall act on behalf of each of the Underwriters, and the parties hereto shall be entitled to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rely upon any statement, request, notice or agreement on behalf of any Underwriter made or given by the Representatives.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All statements, requests, notices and agreements hereunder shall be in writing, and if to the Underwriters shall be delivered or sent by mail, telex or facsimile transmission to each of the Representatives in care of (i) Goldman Sachs &amp; Co. LLC, 200 West Street, New York, New York 10282-2198, Attention: Registration Department and (ii) BofA Securities, Inc., One Bryant Park, New York, NY 10036, Email: dg.ecm_execution_services@bofa.com, Attention: Syndicate Department, with a copy to: Email: dg.ecm_legal@bofa.com, Attention: ECM Legal; if to the Selling Stockholder shall be delivered or sent by mail, telex or facsimile transmission the Selling Stockholder at its address set forth in Schedule II hereto; and if to the Company shall be delivered or sent by mail, telex or facsimile transmission to Mobileye Global Inc., Har Hotzvim, 1 Shlomo Momo HaLevi Street, Jerusalem, Israel, Attention: Liz Cohen-Yerushalmi;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notice to an Underwriter pursuant to Section 10 hereof shall be delivered or sent by mail, telex or facsimile transmission to such Underwriter at its address set forth in its Underwriters’ Questionnaire, or telex constituting such Questionnaire, which address will be supplied to the Company or the Selling Stockholder by you upon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notices under Section 6(g)‎ shall be in writing, and if to the Underwriters shall be delivered or sent by mail, telex or facsimile transmission to you as the representatives at Goldman Sachs &amp; Co. LLC, 200 West Street, New York, New York 10282-2198, Attention: Control Room and BofA Securities, Inc., One Bryant Park, New York, NY 10036, Attention: Syndicate Department. Any such statements, requests, notices or agreements shall take effect upon receipt thereof.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15.            </w:t>
      </w:r>
      <w:r>
        <w:rPr>
          <w:rFonts w:ascii="Times New Roman" w:cs="Times New Roman" w:eastAsia="Times New Roman" w:hAnsi="Times New Roman"/>
          <w:sz w:val="18"/>
          <w:szCs w:val="18"/>
          <w:color w:val="000000"/>
        </w:rPr>
        <w:t>This Agreement shall be binding upon, and inure solely to the benefit of, the Underwriters, the Company and the Selling Stockholder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extent provided in Sections 10 and 12 hereof, the officers and directors of the Company and each person who controls the Company, the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16.            </w:t>
      </w:r>
      <w:r>
        <w:rPr>
          <w:rFonts w:ascii="Times New Roman" w:cs="Times New Roman" w:eastAsia="Times New Roman" w:hAnsi="Times New Roman"/>
          <w:sz w:val="18"/>
          <w:szCs w:val="18"/>
          <w:color w:val="000000"/>
        </w:rPr>
        <w:t>Time shall be of the essence of this Agreement. As used herein, the term “business day” shall mean any day when the Commission’s office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Washington, D.C. is open for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17.            </w:t>
      </w:r>
      <w:r>
        <w:rPr>
          <w:rFonts w:ascii="Times New Roman" w:cs="Times New Roman" w:eastAsia="Times New Roman" w:hAnsi="Times New Roman"/>
          <w:sz w:val="18"/>
          <w:szCs w:val="18"/>
          <w:color w:val="000000"/>
        </w:rPr>
        <w:t>The Company and the Selling Stockholder acknowledge and agree that (i) the purchase and sale of the Shares pursuant to this Agreement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 arm’s-length commercial transaction between the Company and the Selling Stockholder, on the one hand, and the several Underwriters, on the other,</w:t>
      </w:r>
    </w:p>
    <w:p>
      <w:pPr>
        <w:jc w:val="both"/>
        <w:ind w:firstLine="8"/>
        <w:spacing w:after="0" w:line="251" w:lineRule="auto"/>
        <w:tabs>
          <w:tab w:leader="none" w:pos="2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therewith and with the process leading to such transaction each Underwriter is acting solely as a principal and not the agent or fiduciary of the Company or the Selling Stockholder, (iii) no Underwriter has assumed an advisory or fiduciary responsibility in favor of the Company or the Selling Stockholder with respect to the offering contemplated hereby or the process leading thereto (irrespective of whether such Underwriter has advised or is currently advising the Company or the Selling Stockholder on other matters) or any other obligation to the Company or the Selling Stockholder except the obligations expressly set forth in this Agreement, (iv) each of the Company and the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Each of the Company and the Selling Stockholder agrees that it will not claim that the Underwriters, or any of them, has rendered advisory services of any nature or respect, or owes a fiduciary or similar duty to the Company or the Selling Stockholder, in connection with such transaction or the process leading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18.            </w:t>
      </w:r>
      <w:r>
        <w:rPr>
          <w:rFonts w:ascii="Times New Roman" w:cs="Times New Roman" w:eastAsia="Times New Roman" w:hAnsi="Times New Roman"/>
          <w:sz w:val="18"/>
          <w:szCs w:val="18"/>
          <w:color w:val="000000"/>
        </w:rPr>
        <w:t>This Agreement supersedes all prior agreements and understandings (whether written or oral) between or among the Company, the Selling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Stockholder and the Underwriters, or any of them, with respect to the subject matter hereof.</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19.            </w:t>
      </w:r>
      <w:r>
        <w:rPr>
          <w:rFonts w:ascii="Times New Roman" w:cs="Times New Roman" w:eastAsia="Times New Roman" w:hAnsi="Times New Roman"/>
          <w:sz w:val="18"/>
          <w:szCs w:val="18"/>
          <w:b w:val="1"/>
          <w:bCs w:val="1"/>
          <w:color w:val="000000"/>
        </w:rPr>
        <w:t>This Agreement and any transaction contemplated by this Agreement and any claim, controversy or dispute arising under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related thereto shall be governed by and construed in accordance with the laws of the State of New York without regard to principles of conflict of laws that would result in the application of any other law than the laws of the State of New York. The Company and the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the Selling Stockholder agree to submit to the jurisdiction of, and to venue in, such courts.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20.            </w:t>
      </w:r>
      <w:r>
        <w:rPr>
          <w:rFonts w:ascii="Times New Roman" w:cs="Times New Roman" w:eastAsia="Times New Roman" w:hAnsi="Times New Roman"/>
          <w:sz w:val="18"/>
          <w:szCs w:val="18"/>
          <w:color w:val="000000"/>
        </w:rPr>
        <w:t>The Company, the Selling Stockholder and each of the Underwriters hereby irrevocably waives, to the fullest extent permitted by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 any and all right to trial by jury in any legal proceeding arising out of or relating to this Agreement or the transactions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21.            </w:t>
      </w:r>
      <w:r>
        <w:rPr>
          <w:rFonts w:ascii="Times New Roman" w:cs="Times New Roman" w:eastAsia="Times New Roman" w:hAnsi="Times New Roman"/>
          <w:sz w:val="18"/>
          <w:szCs w:val="18"/>
          <w:color w:val="000000"/>
        </w:rPr>
        <w:t>This Agreement may be executed by any one or more of the parties hereto in any number of counterparts, each of which shall be deemed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22.            </w:t>
      </w:r>
      <w:r>
        <w:rPr>
          <w:rFonts w:ascii="Times New Roman" w:cs="Times New Roman" w:eastAsia="Times New Roman" w:hAnsi="Times New Roman"/>
          <w:sz w:val="18"/>
          <w:szCs w:val="18"/>
          <w:color w:val="000000"/>
        </w:rPr>
        <w:t>Notwithstanding anything herein to the contrary, the Company and the Selling Stockholder are authorized to disclose to any persons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U.S. federal and state income tax treatment and tax structure of the potential transaction and all materials of any kind (including tax opinions and other tax analyses) provided to the Company and the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010000"/>
        </w:rPr>
        <w:t>23.            </w:t>
      </w:r>
      <w:r>
        <w:rPr>
          <w:rFonts w:ascii="Times New Roman" w:cs="Times New Roman" w:eastAsia="Times New Roman" w:hAnsi="Times New Roman"/>
          <w:sz w:val="18"/>
          <w:szCs w:val="18"/>
          <w:color w:val="000000"/>
        </w:rPr>
        <w:t>Recognition of the U.S. Special Resolution Regimes.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the event that any Underwriter that is a Covered Entity becomes subject to a proceeding under a U.S. Special Resolution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event that any Underwriter that is a Covered Entity or a BHC Act Affiliate of such Underwriter becomes subject to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As used in this section: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880" w:hanging="224"/>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copy hereof, and upon the acceptance hereof by you, on behalf of each of the Underwriters, this letter and such acceptance hereof shall constitute a binding agreement among each of the Underwriters, the Company and the Selling Stockholder. It is understood that your acceptance of this letter on behalf of each of the Underwriters is pursuant to the authority set forth in a form of Agreement among Underwriters, the form of which shall be submitted to the Company and the Selling Stockholder for examination upon request, but without warranty on your part as to the authority of the signers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Professor Amnon Shashua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 President and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Intel Overseas Funding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Patrick Bombach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Corporate Vice President, Head of Corporate Legal and Assistant</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William Connolly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 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Jeff Rothman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 Head of TMT Corporate 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0" w:lineRule="exact"/>
        <w:rPr>
          <w:sz w:val="20"/>
          <w:szCs w:val="20"/>
          <w:color w:val="auto"/>
        </w:rPr>
      </w:pPr>
    </w:p>
    <w:p>
      <w:pPr>
        <w:spacing w:after="0" w:line="24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904" w:right="8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5440" w:type="dxa"/>
            <w:vAlign w:val="bottom"/>
            <w:gridSpan w:val="4"/>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9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Optional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to be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if</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Firm Shares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Option</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15,102,273</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10,556,818</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1,583,523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2,942,224</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441,334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2,942,224</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441,334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2,942,224</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441,334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1,800,935</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723,776</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108,566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Commerz Markets LLC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723,776</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108,566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723,776</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108,566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184,091</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184,091</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C.L. King &amp; Associates, Inc.</w:t>
            </w:r>
          </w:p>
        </w:tc>
        <w:tc>
          <w:tcPr>
            <w:tcW w:w="5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184,091</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54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184,091</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27,614</w:t>
            </w:r>
          </w:p>
        </w:tc>
        <w:tc>
          <w:tcPr>
            <w:tcW w:w="0" w:type="dxa"/>
            <w:vAlign w:val="bottom"/>
          </w:tcPr>
          <w:p>
            <w:pPr>
              <w:spacing w:after="0"/>
              <w:rPr>
                <w:sz w:val="1"/>
                <w:szCs w:val="1"/>
                <w:color w:val="auto"/>
              </w:rPr>
            </w:pPr>
          </w:p>
        </w:tc>
      </w:tr>
      <w:tr>
        <w:trPr>
          <w:trHeight w:val="223"/>
        </w:trPr>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30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508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Optional</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to be</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Sold if</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Firm Shares</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8"/>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 be Sold</w:t>
            </w: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Exercised</w:t>
            </w: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Selling Stockholder:</w:t>
            </w:r>
          </w:p>
        </w:tc>
        <w:tc>
          <w:tcPr>
            <w:tcW w:w="30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260" w:type="dxa"/>
            <w:vAlign w:val="bottom"/>
          </w:tcPr>
          <w:p>
            <w:pPr>
              <w:ind w:left="500"/>
              <w:spacing w:after="0" w:line="256" w:lineRule="exact"/>
              <w:rPr>
                <w:sz w:val="20"/>
                <w:szCs w:val="20"/>
                <w:color w:val="auto"/>
              </w:rPr>
            </w:pPr>
            <w:r>
              <w:rPr>
                <w:rFonts w:ascii="Times New Roman" w:cs="Times New Roman" w:eastAsia="Times New Roman" w:hAnsi="Times New Roman"/>
                <w:sz w:val="18"/>
                <w:szCs w:val="18"/>
                <w:b w:val="1"/>
                <w:bCs w:val="1"/>
                <w:color w:val="auto"/>
              </w:rPr>
              <w:t>Intel Overseas Funding Corporation</w:t>
            </w:r>
            <w:r>
              <w:rPr>
                <w:rFonts w:ascii="Times New Roman" w:cs="Times New Roman" w:eastAsia="Times New Roman" w:hAnsi="Times New Roman"/>
                <w:sz w:val="29"/>
                <w:szCs w:val="29"/>
                <w:b w:val="1"/>
                <w:bCs w:val="1"/>
                <w:color w:val="auto"/>
                <w:vertAlign w:val="superscript"/>
              </w:rPr>
              <w:t>(a)</w:t>
            </w:r>
          </w:p>
        </w:tc>
        <w:tc>
          <w:tcPr>
            <w:tcW w:w="5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50,000,000</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57,500,000</w:t>
            </w:r>
          </w:p>
        </w:tc>
      </w:tr>
      <w:tr>
        <w:trPr>
          <w:trHeight w:val="209"/>
        </w:trPr>
        <w:tc>
          <w:tcPr>
            <w:tcW w:w="4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address for the Selling Stockholder is 2200 Mission College Blvd., Santa Clara, CA 95052, MA_LegalNotice@intel.com.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4992"/>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7" w:lineRule="exact"/>
        <w:rPr>
          <w:sz w:val="20"/>
          <w:szCs w:val="20"/>
          <w:color w:val="auto"/>
        </w:rPr>
      </w:pPr>
    </w:p>
    <w:p>
      <w:pPr>
        <w:ind w:left="972" w:right="3579" w:hanging="972"/>
        <w:spacing w:after="0" w:line="500" w:lineRule="auto"/>
        <w:tabs>
          <w:tab w:leader="none" w:pos="648"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Issuer Free Writing Prospectuses not included in the Pricing Disclosure Package: </w:t>
      </w:r>
      <w:r>
        <w:rPr>
          <w:rFonts w:ascii="Times New Roman" w:cs="Times New Roman" w:eastAsia="Times New Roman" w:hAnsi="Times New Roman"/>
          <w:sz w:val="18"/>
          <w:szCs w:val="18"/>
          <w:color w:val="auto"/>
        </w:rPr>
        <w:t>Electronic roadshow made available on: July 7, 2025</w:t>
      </w:r>
    </w:p>
    <w:p>
      <w:pPr>
        <w:spacing w:after="0" w:line="1"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Issuer Free Writing Prospectuses included in the Pricing Disclosure Package:</w:t>
      </w:r>
    </w:p>
    <w:p>
      <w:pPr>
        <w:spacing w:after="0" w:line="2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Press Release dated July 8, 2025 announcing the proposed offering of the Shares</w:t>
      </w:r>
    </w:p>
    <w:p>
      <w:pPr>
        <w:spacing w:after="0" w:line="223" w:lineRule="exact"/>
        <w:rPr>
          <w:sz w:val="20"/>
          <w:szCs w:val="20"/>
          <w:color w:val="auto"/>
        </w:rPr>
      </w:pPr>
    </w:p>
    <w:p>
      <w:pPr>
        <w:ind w:left="972" w:right="5839" w:hanging="972"/>
        <w:spacing w:after="0" w:line="500" w:lineRule="auto"/>
        <w:tabs>
          <w:tab w:leader="none" w:pos="648"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Additional Documents Incorporated by Reference: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2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i w:val="1"/>
          <w:iCs w:val="1"/>
          <w:color w:val="auto"/>
        </w:rPr>
        <w:t>Information other than the Pricing Prospectus that comprise the Pricing Disclosure Package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72" w:right="6239" w:hanging="972"/>
        <w:spacing w:after="0" w:line="534" w:lineRule="auto"/>
        <w:tabs>
          <w:tab w:leader="none" w:pos="648"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Written Testing-the-Waters Communications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0"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106299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2990" cy="20574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davispolk.com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Mobileye 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 Hotzvim, 1 Shlomo Momo HaLevi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977015,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Global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filed with the Securities and Exchange Commission a Registration Statement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S-3 (File No. 333-277937)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certain securities, including the 50,000,000 shares of its Class A common stock, par value $0.01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(which consist of up to 50,000,000 issued and outstanding shares of Class B common stock, par value $0.01 per share, to be exchanged for up to 50,000,000 Class A Shares stock in accordance with the Company’s amended and restated certificate of incorporation)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 to be sold pursuant to the Underwriting Agreement dated July 9, 2025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Class A Shares include 7,500,000 shares of Class A common stock of the Company that the Underwriters have the option to purchase pursuant to the Underwriting Agreement.</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Based upon the foregoing, we advise you that, in our opinion, when the Class A Shares have been issued and delivered in exchange for the Exchange Shares in accordance with the terms of the Underwriting Agreement and the Company’s amended and restated certificate of incorporation, the Class A Shares will be validly issued, fully paid and non-assessable.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25"/>
    </w:lvl>
  </w:abstractNum>
  <w:abstractNum w:abstractNumId="2">
    <w:nsid w:val="66EF438D"/>
    <w:multiLevelType w:val="hybridMultilevel"/>
    <w:lvl w:ilvl="0">
      <w:lvlJc w:val="left"/>
      <w:lvlText w:val="(%1)"/>
      <w:numFmt w:val="lowerLetter"/>
      <w:start w:val="26"/>
    </w:lvl>
  </w:abstractNum>
  <w:abstractNum w:abstractNumId="3">
    <w:nsid w:val="140E0F76"/>
    <w:multiLevelType w:val="hybridMultilevel"/>
    <w:lvl w:ilvl="0">
      <w:lvlJc w:val="left"/>
      <w:lvlText w:val="(%1)"/>
      <w:numFmt w:val="lowerRoman"/>
      <w:start w:val="2"/>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upperLetter"/>
      <w:start w:val="2"/>
    </w:lvl>
  </w:abstractNum>
  <w:abstractNum w:abstractNumId="6">
    <w:nsid w:val="DED7263"/>
    <w:multiLevelType w:val="hybridMultilevel"/>
    <w:lvl w:ilvl="0">
      <w:lvlJc w:val="left"/>
      <w:lvlText w:val="(%1)"/>
      <w:numFmt w:val="upperLetter"/>
      <w:start w:val="1"/>
    </w:lvl>
  </w:abstractNum>
  <w:abstractNum w:abstractNumId="7">
    <w:nsid w:val="7FDCC233"/>
    <w:multiLevelType w:val="hybridMultilevel"/>
    <w:lvl w:ilvl="0">
      <w:lvlJc w:val="left"/>
      <w:lvlText w:val="(%1)"/>
      <w:numFmt w:val="lowerRoman"/>
      <w:start w:val="10"/>
    </w:lvl>
  </w:abstractNum>
  <w:abstractNum w:abstractNumId="8">
    <w:nsid w:val="1BEFD79F"/>
    <w:multiLevelType w:val="hybridMultilevel"/>
    <w:lvl w:ilvl="0">
      <w:lvlJc w:val="left"/>
      <w:lvlText w:val="(%1)"/>
      <w:numFmt w:val="lowerRoman"/>
      <w:start w:val="10"/>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Roman"/>
      <w:start w:val="1"/>
    </w:lvl>
    <w:lvl w:ilvl="1">
      <w:lvlJc w:val="left"/>
      <w:lvlText w:val="(%2)"/>
      <w:numFmt w:val="decimal"/>
      <w:start w:val="2"/>
    </w:lvl>
  </w:abstractNum>
  <w:abstractNum w:abstractNumId="11">
    <w:nsid w:val="4E6AFB66"/>
    <w:multiLevelType w:val="hybridMultilevel"/>
    <w:lvl w:ilvl="0">
      <w:lvlJc w:val="left"/>
      <w:lvlText w:val="(%1)"/>
      <w:numFmt w:val="lowerRoman"/>
      <w:start w:val="2"/>
    </w:lvl>
    <w:lvl w:ilvl="1">
      <w:lvlJc w:val="left"/>
      <w:lvlText w:val="%2"/>
      <w:numFmt w:val="decimal"/>
      <w:start w:val="1"/>
    </w:lvl>
  </w:abstractNum>
  <w:abstractNum w:abstractNumId="12">
    <w:nsid w:val="25E45D32"/>
    <w:multiLevelType w:val="hybridMultilevel"/>
    <w:lvl w:ilvl="0">
      <w:lvlJc w:val="left"/>
      <w:lvlText w:val="(%1)"/>
      <w:numFmt w:val="lowerRoman"/>
      <w:start w:val="6"/>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lowerRoman"/>
      <w:start w:val="9"/>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1)"/>
      <w:numFmt w:val="lowerRoman"/>
      <w:start w:val="2"/>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2025-07-11T15:25:04Z</dcterms:created>
  <dcterms:modified xsi:type="dcterms:W3CDTF">2025-07-11T15:25:04Z</dcterms:modified>
</cp:coreProperties>
</file>