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October 24, 2022</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EDGAR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S-1 (File No. 333-267685)</w:t>
      </w:r>
    </w:p>
    <w:p>
      <w:pPr>
        <w:spacing w:after="0" w:line="200" w:lineRule="exact"/>
        <w:rPr>
          <w:sz w:val="24"/>
          <w:szCs w:val="24"/>
          <w:color w:val="auto"/>
        </w:rPr>
      </w:pPr>
    </w:p>
    <w:p>
      <w:pPr>
        <w:sectPr>
          <w:pgSz w:w="11900" w:h="16838" w:orient="portrait"/>
          <w:cols w:equalWidth="0" w:num="2">
            <w:col w:w="260" w:space="400"/>
            <w:col w:w="10580"/>
          </w:cols>
          <w:pgMar w:left="320" w:top="472" w:right="3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Rebekah Lindsey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Kathleen Collins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Lauren Pierce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w:t>
      </w:r>
    </w:p>
    <w:p>
      <w:pPr>
        <w:spacing w:after="0" w:line="200" w:lineRule="exact"/>
        <w:rPr>
          <w:sz w:val="24"/>
          <w:szCs w:val="24"/>
          <w:color w:val="auto"/>
        </w:rPr>
      </w:pPr>
    </w:p>
    <w:p>
      <w:pPr>
        <w:sectPr>
          <w:pgSz w:w="11900" w:h="16838" w:orient="portrait"/>
          <w:cols w:equalWidth="0" w:num="2">
            <w:col w:w="380" w:space="280"/>
            <w:col w:w="10580"/>
          </w:cols>
          <w:pgMar w:left="320" w:top="47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above-captioned Registration Statement, pursuant to Rule 460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we wish to advise that between October 18, 2022, and the date hereof, approximately 6,042 copies of the Preliminary Prospectus, dated October 18, 2022, were distributed to prospective underwriters, institutional investors, prospective dealers, individuals and others.</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informed by the participating underwriters that they have complied and will continue to comply, with the requirements of Rule 15c2-8 under the Securities Exchange Act of 1934, as amended.</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461 under the Act, we hereby join in the request of the Registrant that the effectiveness of the above-captioned Registration Statement, as amended, be accelerated to 4:00 p.m., Eastern Time, on October 25, 2022, or as soon thereafter as practicable, or at such other time as the Registrant or its counsel may request by telephone call to the Staff of the Division of Corporation Finance of the Securities and Exchange Commission.</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Prospective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D. Connolly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William D. Connolly III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Rizvan Dhalla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Rizvan Dhalla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i w:val="1"/>
          <w:iCs w:val="1"/>
          <w:color w:val="auto"/>
        </w:rPr>
        <w:t>[Signature Page to Underwriters’ Acceleration Request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2022-11-23T23:08:01Z</dcterms:created>
  <dcterms:modified xsi:type="dcterms:W3CDTF">2022-11-23T23:08:01Z</dcterms:modified>
</cp:coreProperties>
</file>