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975d2_8k.htm"/>
      <w:bookmarkStart w:id="1" w:name="kstm2624975d2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2_edei--DocumentType_c20260903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10, 2026 (</w:t>
      </w:r>
      <w:bookmarkStart w:id="3" w:name="xdx_90F_edei--DocumentPeriodEndDate_c202"/>
      <w:bookmarkEnd w:id="3"/>
      <w:r>
        <w:rPr>
          <w:rFonts w:ascii="Times New Roman;Times;Serif" w:hAnsi="Times New Roman;Times;Serif"/>
          <w:b/>
          <w:i w:val="false"/>
          <w:caps w:val="false"/>
          <w:smallCaps w:val="false"/>
          <w:sz w:val="20"/>
        </w:rPr>
        <w:t>September 3,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2930"/>
        <w:gridCol w:w="60"/>
        <w:gridCol w:w="2615"/>
        <w:gridCol w:w="60"/>
        <w:gridCol w:w="2840"/>
      </w:tblGrid>
      <w:tr>
        <w:trPr/>
        <w:tc>
          <w:tcPr>
            <w:tcW w:w="2930" w:type="dxa"/>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b/>
              </w:rPr>
            </w:pPr>
            <w:bookmarkStart w:id="6" w:name="xdx_90F_edei--EntityFileNumber_c20260903"/>
            <w:bookmarkEnd w:id="6"/>
            <w:r>
              <w:rPr>
                <w:b/>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rPr>
            </w:pPr>
            <w:bookmarkStart w:id="7" w:name="xdx_901_edei--EntityTaxIdentificationNum"/>
            <w:bookmarkEnd w:id="7"/>
            <w:r>
              <w:rPr>
                <w:b/>
              </w:rPr>
              <w:t>88-0666433</w:t>
            </w:r>
          </w:p>
        </w:tc>
      </w:tr>
      <w:tr>
        <w:trPr/>
        <w:tc>
          <w:tcPr>
            <w:tcW w:w="2930" w:type="dxa"/>
            <w:tcBorders/>
            <w:vAlign w:val="center"/>
          </w:tcPr>
          <w:p>
            <w:pPr>
              <w:pStyle w:val="TableContents"/>
              <w:bidi w:val="0"/>
              <w:spacing w:before="0" w:after="283"/>
              <w:jc w:val="center"/>
              <w:rPr/>
            </w:pPr>
            <w:r>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AddressLine2_"/>
      <w:bookmarkEnd w:id="9"/>
      <w:r>
        <w:rPr>
          <w:rFonts w:ascii="Times New Roman;Times;Serif" w:hAnsi="Times New Roman;Times;Serif"/>
          <w:b/>
          <w:i w:val="false"/>
          <w:caps w:val="false"/>
          <w:smallCaps w:val="false"/>
          <w:sz w:val="20"/>
        </w:rPr>
        <w:t>Har Hotzvim, 1 Shlomo Momo HaLevi Street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Jerusalem </w:t>
      </w:r>
      <w:bookmarkStart w:id="11" w:name="xdx_90C_edei--EntityAddressPostalZipCode"/>
      <w:bookmarkEnd w:id="11"/>
      <w:r>
        <w:rPr>
          <w:rFonts w:ascii="Times New Roman;Times;Serif" w:hAnsi="Times New Roman;Times;Serif"/>
          <w:b/>
          <w:i w:val="false"/>
          <w:caps w:val="false"/>
          <w:smallCaps w:val="false"/>
          <w:sz w:val="20"/>
        </w:rPr>
        <w:t xml:space="preserve">9777015, </w:t>
      </w:r>
      <w:bookmarkStart w:id="12" w:name="xdx_900_edei--EntityAddressCountry_c2026"/>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E_edei--CityAreaCode_c20260903__20"/>
      <w:bookmarkEnd w:id="13"/>
      <w:r>
        <w:rPr>
          <w:rFonts w:ascii="Times New Roman;Times;Serif" w:hAnsi="Times New Roman;Times;Serif"/>
          <w:b/>
          <w:i w:val="false"/>
          <w:caps w:val="false"/>
          <w:smallCaps w:val="false"/>
          <w:sz w:val="20"/>
          <w:shd w:fill="FFFFFF" w:val="clear"/>
        </w:rPr>
        <w:t>972-</w:t>
      </w:r>
      <w:bookmarkStart w:id="14" w:name="xdx_90B_edei--LocalPhoneNumber_c20260903"/>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10" w:type="dxa"/>
        <w:tblLayout w:type="fixed"/>
        <w:tblCellMar>
          <w:top w:w="30" w:type="dxa"/>
          <w:left w:w="40" w:type="dxa"/>
          <w:bottom w:w="0" w:type="dxa"/>
          <w:right w:w="0" w:type="dxa"/>
        </w:tblCellMar>
      </w:tblPr>
      <w:tblGrid>
        <w:gridCol w:w="3395"/>
        <w:gridCol w:w="1685"/>
        <w:gridCol w:w="3410"/>
      </w:tblGrid>
      <w:tr>
        <w:trPr/>
        <w:tc>
          <w:tcPr>
            <w:tcW w:w="3395" w:type="dxa"/>
            <w:tcBorders>
              <w:top w:val="single" w:sz="8" w:space="0" w:color="000000"/>
              <w:left w:val="single" w:sz="8" w:space="0" w:color="000000"/>
            </w:tcBorders>
            <w:vAlign w:val="center"/>
          </w:tcPr>
          <w:p>
            <w:pPr>
              <w:pStyle w:val="TableContents"/>
              <w:bidi w:val="0"/>
              <w:spacing w:before="0" w:after="283"/>
              <w:jc w:val="center"/>
              <w:rPr>
                <w:b/>
              </w:rPr>
            </w:pPr>
            <w:r>
              <w:rPr>
                <w:b/>
              </w:rPr>
              <w:t>Title of each class</w:t>
            </w:r>
          </w:p>
        </w:tc>
        <w:tc>
          <w:tcPr>
            <w:tcW w:w="1685" w:type="dxa"/>
            <w:tcBorders>
              <w:top w:val="single" w:sz="8" w:space="0" w:color="000000"/>
              <w:left w:val="single" w:sz="8" w:space="0" w:color="000000"/>
            </w:tcBorders>
            <w:vAlign w:val="center"/>
          </w:tcPr>
          <w:p>
            <w:pPr>
              <w:pStyle w:val="TableContents"/>
              <w:bidi w:val="0"/>
              <w:spacing w:before="0" w:after="283"/>
              <w:jc w:val="center"/>
              <w:rPr>
                <w:b/>
              </w:rPr>
            </w:pPr>
            <w:r>
              <w:rPr>
                <w:b/>
              </w:rPr>
              <w:t>Trading Symbol</w:t>
            </w:r>
          </w:p>
        </w:tc>
        <w:tc>
          <w:tcPr>
            <w:tcW w:w="3410" w:type="dxa"/>
            <w:tcBorders>
              <w:top w:val="single" w:sz="8" w:space="0" w:color="000000"/>
              <w:left w:val="single" w:sz="8" w:space="0" w:color="000000"/>
              <w:right w:val="single" w:sz="8" w:space="0" w:color="000000"/>
            </w:tcBorders>
            <w:tcMar>
              <w:right w:w="40" w:type="dxa"/>
            </w:tcMar>
            <w:vAlign w:val="center"/>
          </w:tcPr>
          <w:p>
            <w:pPr>
              <w:pStyle w:val="TableContents"/>
              <w:bidi w:val="0"/>
              <w:spacing w:before="0" w:after="283"/>
              <w:jc w:val="center"/>
              <w:rPr>
                <w:b/>
              </w:rPr>
            </w:pPr>
            <w:r>
              <w:rPr>
                <w:b/>
              </w:rPr>
              <w:t>Name of each exchange on which</w:t>
              <w:br/>
              <w:t>registered</w:t>
            </w:r>
          </w:p>
        </w:tc>
      </w:tr>
      <w:tr>
        <w:trPr/>
        <w:tc>
          <w:tcPr>
            <w:tcW w:w="339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pPr>
            <w:bookmarkStart w:id="19" w:name="xdx_909_edei--Security12bTitle_c20260903"/>
            <w:bookmarkEnd w:id="19"/>
            <w:r>
              <w:rPr/>
              <w:t>Common Stock ($0.001 Par Value)</w:t>
            </w:r>
          </w:p>
        </w:tc>
        <w:tc>
          <w:tcPr>
            <w:tcW w:w="168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pPr>
            <w:bookmarkStart w:id="20" w:name="xdx_908_edei--TradingSymbol_c20260903__2"/>
            <w:bookmarkEnd w:id="20"/>
            <w:r>
              <w:rPr/>
              <w:t>MBLY</w:t>
            </w:r>
          </w:p>
        </w:tc>
        <w:tc>
          <w:tcPr>
            <w:tcW w:w="3410" w:type="dxa"/>
            <w:tcBorders>
              <w:top w:val="single" w:sz="8" w:space="0" w:color="000000"/>
              <w:left w:val="single" w:sz="8" w:space="0" w:color="000000"/>
              <w:bottom w:val="single" w:sz="8" w:space="0" w:color="000000"/>
              <w:right w:val="single" w:sz="8" w:space="0" w:color="000000"/>
            </w:tcBorders>
            <w:tcMar>
              <w:bottom w:w="30" w:type="dxa"/>
              <w:right w:w="40" w:type="dxa"/>
            </w:tcMar>
            <w:vAlign w:val="center"/>
          </w:tcPr>
          <w:p>
            <w:pPr>
              <w:pStyle w:val="TableContents"/>
              <w:bidi w:val="0"/>
              <w:spacing w:before="0" w:after="283"/>
              <w:jc w:val="center"/>
              <w:rPr/>
            </w:pPr>
            <w:bookmarkStart w:id="21" w:name="xdx_90C_edei--SecurityExchangeName_c2026"/>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Board of Directors (the “Board”) of Mobileye Global Inc. (the “Company”) determined that, in light of the scope of his existing responsibilities, Yaacov “Kobi” Ohayon, the Company’s Chief Operating Officer, shall be designated as the Company’s principal operating officer. The Board also designated Mr. Ohayon as an executive officer of the Company for purposes of Section 16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Ohayon, age 51, has served as Chief Operating Officer of the Mobileye organization since 2020. Mr. Ohayon has been employed in various roles by the Company and its subsidiaries since 2017, and his responsibilities as Chief Operating Officer have expanded over time. The Board’s determination recognizes the scope of Mr. Ohayon’s existing responsibilities and does not reflect a change in his duties or responsibilities or employment status with the Company or any of its subsidiaries.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Mr. Ohayon’s existing compensation arrangements were not modified in connection with the Board’s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Ohayon has entered into the Company’s standard form of officers’ indemnification, pursuant to which the Company agrees to indemnify its officers to the fullest extent permitted by applicable law and subject to certain conditions to advance expenses in connection with proceedings as described in the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Ohayon and any director or executive officer of the Company that are required to be disclosed pursuant to Item 401(d) of Regulation S-K. Mr. Ohayon is not a party to any transaction with the Company that would require disclosure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2510"/>
        <w:gridCol w:w="365"/>
        <w:gridCol w:w="3875"/>
      </w:tblGrid>
      <w:tr>
        <w:trPr/>
        <w:tc>
          <w:tcPr>
            <w:tcW w:w="251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Mobileye Global Inc.</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10, 2026</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Prof. Amnon Shashua</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Prof. Amnon Shashua</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639</Words>
  <Characters>3568</Characters>
  <CharactersWithSpaces>4207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