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Nehushtan Nimrod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Mobileye Global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MBLY</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MOBILEYE B.V.</w:t>
      </w:r>
    </w:p>
    <w:p>
      <w:pPr>
        <w:spacing w:after="0" w:line="70" w:lineRule="exact"/>
        <w:rPr>
          <w:sz w:val="24"/>
          <w:szCs w:val="24"/>
          <w:color w:val="auto"/>
        </w:rPr>
      </w:pPr>
    </w:p>
    <w:p>
      <w:pPr>
        <w:ind w:left="140" w:right="1617"/>
        <w:spacing w:after="0" w:line="269" w:lineRule="auto"/>
        <w:rPr>
          <w:sz w:val="20"/>
          <w:szCs w:val="20"/>
          <w:color w:val="auto"/>
        </w:rPr>
      </w:pPr>
      <w:r>
        <w:rPr>
          <w:rFonts w:ascii="Arial" w:cs="Arial" w:eastAsia="Arial" w:hAnsi="Arial"/>
          <w:sz w:val="20"/>
          <w:szCs w:val="20"/>
          <w:color w:val="0000FF"/>
        </w:rPr>
        <w:t>HAR HOTZVIM, 13 HARTOM STREET</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JERUSALEM L3</w:t>
            </w:r>
          </w:p>
        </w:tc>
        <w:tc>
          <w:tcPr>
            <w:tcW w:w="1020" w:type="dxa"/>
            <w:vAlign w:val="bottom"/>
          </w:tcPr>
          <w:p>
            <w:pPr>
              <w:jc w:val="right"/>
              <w:spacing w:after="0"/>
              <w:rPr>
                <w:sz w:val="20"/>
                <w:szCs w:val="20"/>
                <w:color w:val="auto"/>
              </w:rPr>
            </w:pPr>
            <w:r>
              <w:rPr>
                <w:rFonts w:ascii="Arial" w:cs="Arial" w:eastAsia="Arial" w:hAnsi="Arial"/>
                <w:sz w:val="20"/>
                <w:szCs w:val="20"/>
                <w:color w:val="0000FF"/>
              </w:rPr>
              <w:t>9777513</w:t>
            </w:r>
          </w:p>
        </w:tc>
      </w:tr>
    </w:tbl>
    <w:p>
      <w:pPr>
        <w:spacing w:after="0" w:line="20" w:lineRule="exact"/>
        <w:rPr>
          <w:sz w:val="24"/>
          <w:szCs w:val="24"/>
          <w:color w:val="auto"/>
        </w:rPr>
      </w:pPr>
      <w:r>
        <w:rPr>
          <w:sz w:val="24"/>
          <w:szCs w:val="24"/>
          <w:color w:val="auto"/>
        </w:rPr>
        <w:br w:type="column"/>
      </w:r>
    </w:p>
    <w:p>
      <w:pPr>
        <w:ind w:left="3" w:right="32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3"/>
        <w:spacing w:after="0"/>
        <w:rPr>
          <w:sz w:val="20"/>
          <w:szCs w:val="20"/>
          <w:color w:val="auto"/>
        </w:rPr>
      </w:pPr>
      <w:r>
        <w:rPr>
          <w:rFonts w:ascii="Arial" w:cs="Arial" w:eastAsia="Arial" w:hAnsi="Arial"/>
          <w:sz w:val="18"/>
          <w:szCs w:val="18"/>
          <w:color w:val="0000FF"/>
        </w:rPr>
        <w:t>SVP Bus Dev &amp; Str &amp; Co-Mgr REM</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23" w:space="24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(2)</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93,570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(RSU) represents the right to receive, following vesting, one share of Class A common stock of Mobileye Global Inc.</w:t>
      </w:r>
    </w:p>
    <w:p>
      <w:pPr>
        <w:spacing w:after="0" w:line="52" w:lineRule="exact"/>
        <w:rPr>
          <w:rFonts w:ascii="Arial" w:cs="Arial" w:eastAsia="Arial" w:hAnsi="Arial"/>
          <w:sz w:val="15"/>
          <w:szCs w:val="15"/>
          <w:color w:val="008000"/>
        </w:rPr>
      </w:pPr>
    </w:p>
    <w:p>
      <w:pPr>
        <w:jc w:val="both"/>
        <w:ind w:left="40" w:right="180" w:firstLine="5"/>
        <w:spacing w:after="0" w:line="291"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Unless earlier forfeited under the terms of the RSU, the RSU will vest as follows: (a) 33% of the RSUs vest and convert into common stock on the six-month anniversary of the grant date (which grant date is October 26, 2022), (b) 33% of the RSUs vest and convert into common stock on the twenty-month anniversary of the grant date and (c) 34% of the RSUs vest and convert into common stock on the thirty-two month anniversary of the grant date. If a vesting date falls on a non-business date, the next business date shall apply.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ind w:left="6580"/>
        <w:spacing w:after="0" w:line="181" w:lineRule="auto"/>
        <w:rPr>
          <w:sz w:val="20"/>
          <w:szCs w:val="20"/>
          <w:color w:val="auto"/>
        </w:rPr>
      </w:pPr>
      <w:r>
        <w:rPr>
          <w:rFonts w:ascii="Arial" w:cs="Arial" w:eastAsia="Arial" w:hAnsi="Arial"/>
          <w:sz w:val="20"/>
          <w:szCs w:val="20"/>
          <w:color w:val="0000FF"/>
        </w:rPr>
        <w:t xml:space="preserve">/s/ Liz Cohen-Yerushalmi,  </w:t>
      </w:r>
      <w:r>
        <w:rPr>
          <w:rFonts w:ascii="Arial" w:cs="Arial" w:eastAsia="Arial" w:hAnsi="Arial"/>
          <w:sz w:val="39"/>
          <w:szCs w:val="39"/>
          <w:color w:val="0000FF"/>
          <w:vertAlign w:val="subscript"/>
        </w:rPr>
        <w:t>03/21/2022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049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8324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3248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16</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50" w:lineRule="exact"/>
        <w:rPr>
          <w:sz w:val="20"/>
          <w:szCs w:val="20"/>
          <w:color w:val="auto"/>
        </w:rPr>
      </w:pPr>
    </w:p>
    <w:p>
      <w:pPr>
        <w:ind w:right="80"/>
        <w:spacing w:after="0" w:line="302" w:lineRule="auto"/>
        <w:rPr>
          <w:sz w:val="20"/>
          <w:szCs w:val="20"/>
          <w:color w:val="auto"/>
        </w:rPr>
      </w:pPr>
      <w:r>
        <w:rPr>
          <w:rFonts w:ascii="Arial" w:cs="Arial" w:eastAsia="Arial" w:hAnsi="Arial"/>
          <w:sz w:val="17"/>
          <w:szCs w:val="17"/>
          <w:color w:val="auto"/>
        </w:rPr>
        <w:t>I, Nimrod Nehushtan, do hereby constitute and appoint Liz-Cohen Yerushalmi, Jesse Infeld, Sandra Manor Richter, Saul Brownstein, Aaron Shaw, Tali Har Oz and Rinat Kriheli, my true and lawful attorneys-in-fact, either of whom acting singly is hereby authorized, for me and in my name and on my behalf as a director, officer and/or shareholder of Mobileye Global Inc. to (i) prepare, execute in my name and on my behalf, and submit to the U.S. Securities and Exchange Commission (the SEC) a Form ID, including any necessary amendments thereto, and any other documents necessary or appropriate to obtain codes and passwords enabling me to make electronic filings with the SEC of reports required by Section 16(a) of the Securities Exchange Act of 1934 or any rule or regulation of the SEC in respect thereof; and (ii) prepare, execute and file any and all forms, instruments or documents, including any necessary amendments thereto, as such attorneys or attorney deems necessary or advisable to enable me to comply with Section 16 of the Securities Exchange Act of 1934 or any rule or regulation of the SEC in respect thereof (collectively, Section 16). I do hereby ratify and confirm all acts my said attorney shall do or cause to be done by virtue hereof. I acknowledge that the foregoing attorneys-in-fact, serving in such capacity at my request, are not assuming, nor is Mobileye Global Inc. assuming, any of my responsibilities to comply with Section 16.</w:t>
      </w:r>
    </w:p>
    <w:p>
      <w:pPr>
        <w:spacing w:after="0" w:line="176" w:lineRule="exact"/>
        <w:rPr>
          <w:sz w:val="20"/>
          <w:szCs w:val="20"/>
          <w:color w:val="auto"/>
        </w:rPr>
      </w:pPr>
    </w:p>
    <w:p>
      <w:pPr>
        <w:ind w:right="260"/>
        <w:spacing w:after="0" w:line="305" w:lineRule="auto"/>
        <w:rPr>
          <w:sz w:val="20"/>
          <w:szCs w:val="20"/>
          <w:color w:val="auto"/>
        </w:rPr>
      </w:pPr>
      <w:r>
        <w:rPr>
          <w:rFonts w:ascii="Arial" w:cs="Arial" w:eastAsia="Arial" w:hAnsi="Arial"/>
          <w:sz w:val="19"/>
          <w:szCs w:val="19"/>
          <w:color w:val="auto"/>
        </w:rPr>
        <w:t>This power of attorney shall remain in full force and effect until it is revoked by the undersigned in a signed writing delivered to each such attorney-in-fact or the undersigned is no longer required to comply with Section 16, whichever occurs first.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WITNESS the execution hereof this 9th day of March,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69372"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2023-03-21T15:52:35Z</dcterms:created>
  <dcterms:modified xsi:type="dcterms:W3CDTF">2023-03-21T15:52:35Z</dcterms:modified>
</cp:coreProperties>
</file>