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8244-1_s3asr.htm"/>
        <w:bookmarkStart w:id="1" w:name="kstm248244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March 14, 2024.</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40" w:after="283"/>
        <w:ind w:left="940" w:right="0" w:hanging="0"/>
        <w:jc w:val="right"/>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w:t>
      </w:r>
      <w:r>
        <w:rPr>
          <w:rFonts w:ascii="Times New Roman;Times;serif" w:hAnsi="Times New Roman;Times;serif"/>
          <w:b w:val="false"/>
          <w:i w:val="false"/>
          <w:caps w:val="false"/>
          <w:smallCaps w:val="false"/>
          <w:color w:val="000000"/>
          <w:spacing w:val="4"/>
          <w:sz w:val="19"/>
        </w:rPr>
        <w:t>      </w:t>
      </w:r>
      <w:r>
        <w:rPr>
          <w:rFonts w:ascii="Times New Roman;Times;serif" w:hAnsi="Times New Roman;Times;serif"/>
          <w:b w:val="false"/>
          <w:i w:val="false"/>
          <w:caps w:val="false"/>
          <w:smallCaps w:val="false"/>
          <w:color w:val="000000"/>
          <w:sz w:val="19"/>
        </w:rPr>
        <w:t>​</w:t>
      </w:r>
    </w:p>
    <w:p>
      <w:pPr>
        <w:pStyle w:val="TextBody"/>
        <w:bidi w:val="0"/>
        <w:spacing w:before="19"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8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10" w:before="2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4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UNDER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26" w:after="283"/>
        <w:jc w:val="center"/>
        <w:rPr>
          <w:rFonts w:ascii="Times New Roman;Times;serif" w:hAnsi="Times New Roman;Times;serif"/>
          <w:b w:val="false"/>
          <w:i w:val="false"/>
          <w:caps w:val="false"/>
          <w:smallCaps w:val="false"/>
          <w:color w:val="000000"/>
          <w:sz w:val="32"/>
        </w:rPr>
      </w:pPr>
      <w:r>
        <w:rPr>
          <w:rFonts w:ascii="Times New Roman;Times;serif" w:hAnsi="Times New Roman;Times;serif"/>
          <w:b/>
          <w:i w:val="false"/>
          <w:caps w:val="false"/>
          <w:smallCaps w:val="false"/>
          <w:color w:val="000000"/>
          <w:spacing w:val="-6"/>
          <w:sz w:val="32"/>
        </w:rPr>
        <w:t>Mobileye Global Inc.</w:t>
      </w:r>
      <w:r>
        <w:rPr>
          <w:rFonts w:ascii="Times New Roman;Times;serif" w:hAnsi="Times New Roman;Times;serif"/>
          <w:b w:val="false"/>
          <w:i w:val="false"/>
          <w:caps w:val="false"/>
          <w:smallCaps w:val="false"/>
          <w:color w:val="000000"/>
          <w:spacing w:val="6"/>
          <w:sz w:val="32"/>
        </w:rPr>
        <w:t xml:space="preserve"> </w:t>
      </w:r>
      <w:r>
        <w:rPr>
          <w:rFonts w:ascii="Times New Roman;Times;serif" w:hAnsi="Times New Roman;Times;serif"/>
          <w:b w:val="false"/>
          <w:i w:val="false"/>
          <w:caps w:val="false"/>
          <w:smallCaps w:val="false"/>
          <w:color w:val="000000"/>
          <w:sz w:val="32"/>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32"/>
        </w:rPr>
        <w:t xml:space="preserve"> </w:t>
      </w:r>
    </w:p>
    <w:tbl>
      <w:tblPr>
        <w:tblW w:w="6009" w:type="dxa"/>
        <w:jc w:val="left"/>
        <w:tblInd w:w="540" w:type="dxa"/>
        <w:tblLayout w:type="fixed"/>
        <w:tblCellMar>
          <w:top w:w="0" w:type="dxa"/>
          <w:left w:w="0" w:type="dxa"/>
          <w:bottom w:w="0" w:type="dxa"/>
          <w:right w:w="0" w:type="dxa"/>
        </w:tblCellMar>
      </w:tblPr>
      <w:tblGrid>
        <w:gridCol w:w="124"/>
        <w:gridCol w:w="3133"/>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0" w:after="0"/>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9"/>
              </w:rPr>
            </w:pPr>
            <w:r>
              <w:rPr>
                <w:b/>
                <w:spacing w:val="-4"/>
                <w:sz w:val="19"/>
              </w:rPr>
              <w:t>88-0666433</w:t>
            </w:r>
            <w:r>
              <w:rPr>
                <w:b/>
                <w:sz w:val="19"/>
              </w:rPr>
              <w:t xml:space="preserve"> </w:t>
            </w:r>
          </w:p>
          <w:p>
            <w:pPr>
              <w:pStyle w:val="TableContents"/>
              <w:bidi w:val="0"/>
              <w:spacing w:lineRule="atLeast" w:line="180" w:before="0" w:after="0"/>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6"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c/o Mobileye B.V.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Har Hotzvim, Shlomo Momo HaLevi Street 1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Jerusalem 9777015, Israel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+972-2-541-7333 </w:t>
      </w:r>
    </w:p>
    <w:p>
      <w:pPr>
        <w:pStyle w:val="TextBody"/>
        <w:bidi w:val="0"/>
        <w:spacing w:lineRule="atLeast" w:line="180" w:before="1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6"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Liz Cohen-Yerushalmi</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xml:space="preserve">Chief Legal Officer and General Counsel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c/o Mobileye B.V.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Har Hotzvim, Shlomo Momo HaLevi Street 1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Jerusalem 9777015, Israel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+972-2-541-7333</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1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06"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Copy to:</w:t>
      </w:r>
      <w:r>
        <w:rPr>
          <w:rFonts w:ascii="Times New Roman;Times;serif" w:hAnsi="Times New Roman;Times;serif"/>
          <w:b/>
          <w:i/>
          <w:caps w:val="false"/>
          <w:smallCaps w:val="false"/>
          <w:color w:val="000000"/>
          <w:spacing w:val="4"/>
          <w:sz w:val="19"/>
        </w:rPr>
        <w:t xml:space="preserve"> </w:t>
      </w:r>
    </w:p>
    <w:p>
      <w:pPr>
        <w:pStyle w:val="TextBody"/>
        <w:bidi w:val="0"/>
        <w:spacing w:lineRule="atLeast" w:line="200" w:before="16"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Michael Kaplan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Davis Polk &amp; Wardwell LLP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450 Lexington Avenue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New York, New York 10017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(212) 450-4000</w:t>
      </w:r>
      <w:r>
        <w:rPr>
          <w:rFonts w:ascii="Times New Roman;Times;serif" w:hAnsi="Times New Roman;Times;serif"/>
          <w:b/>
          <w:i w:val="false"/>
          <w:caps w:val="false"/>
          <w:smallCaps w:val="false"/>
          <w:color w:val="000000"/>
          <w:spacing w:val="4"/>
          <w:sz w:val="19"/>
        </w:rPr>
        <w:t xml:space="preserve">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6"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val="false"/>
          <w:i w:val="false"/>
          <w:caps w:val="false"/>
          <w:smallCaps w:val="false"/>
          <w:color w:val="000000"/>
          <w:spacing w:val="4"/>
          <w:sz w:val="19"/>
        </w:rPr>
        <w:t xml:space="preserve">: From time to time after this Registration Statement becomes effective.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9665" w:type="dxa"/>
        <w:jc w:val="left"/>
        <w:tblInd w:w="540" w:type="dxa"/>
        <w:tblLayout w:type="fixed"/>
        <w:tblCellMar>
          <w:top w:w="0" w:type="dxa"/>
          <w:left w:w="0" w:type="dxa"/>
          <w:bottom w:w="0" w:type="dxa"/>
          <w:right w:w="0" w:type="dxa"/>
        </w:tblCellMar>
      </w:tblPr>
      <w:tblGrid>
        <w:gridCol w:w="124"/>
        <w:gridCol w:w="2160"/>
        <w:gridCol w:w="109"/>
        <w:gridCol w:w="109"/>
        <w:gridCol w:w="3820"/>
        <w:gridCol w:w="109"/>
        <w:gridCol w:w="109"/>
        <w:gridCol w:w="2393"/>
        <w:gridCol w:w="109"/>
        <w:gridCol w:w="109"/>
        <w:gridCol w:w="359"/>
        <w:gridCol w:w="155"/>
      </w:tblGrid>
      <w:tr>
        <w:trPr/>
        <w:tc>
          <w:tcPr>
            <w:tcW w:w="124"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9" w:type="dxa"/>
            <w:tcBorders/>
            <w:vAlign w:val="center"/>
          </w:tcPr>
          <w:p>
            <w:pPr>
              <w:pStyle w:val="TableContents"/>
              <w:bidi w:val="0"/>
              <w:spacing w:before="0" w:after="283"/>
              <w:jc w:val="left"/>
              <w:rPr>
                <w:spacing w:val="4"/>
              </w:rPr>
            </w:pPr>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0" w:type="dxa"/>
            <w:tcBorders/>
            <w:vAlign w:val="center"/>
          </w:tcPr>
          <w:p>
            <w:pPr>
              <w:pStyle w:val="TableContents"/>
              <w:bidi w:val="0"/>
              <w:spacing w:before="0" w:after="283"/>
              <w:jc w:val="left"/>
              <w:rPr/>
            </w:pPr>
            <w:r>
              <w:rPr>
                <w:spacing w:val="4"/>
              </w:rPr>
              <w:t xml:space="preserve">☐ </w:t>
            </w:r>
            <w:r>
              <w:rPr>
                <w:spacing w:val="4"/>
              </w:rPr>
              <w:t>(Do not check if a smaller reporting company)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9" w:type="dxa"/>
            <w:tcBorders/>
            <w:vAlign w:val="center"/>
          </w:tcPr>
          <w:p>
            <w:pPr>
              <w:pStyle w:val="TableContents"/>
              <w:bidi w:val="0"/>
              <w:spacing w:before="0" w:after="283"/>
              <w:jc w:val="left"/>
              <w:rPr>
                <w:spacing w:val="4"/>
              </w:rPr>
            </w:pPr>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9" w:type="dxa"/>
            <w:tcBorders/>
            <w:vAlign w:val="center"/>
          </w:tcPr>
          <w:p>
            <w:pPr>
              <w:pStyle w:val="TableContents"/>
              <w:bidi w:val="0"/>
              <w:spacing w:before="0" w:after="283"/>
              <w:jc w:val="left"/>
              <w:rPr/>
            </w:pPr>
            <w:r>
              <w:rPr>
                <w:spacing w:val="4"/>
              </w:rPr>
              <w: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218"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Times New Roman;Times;serif" w:hAnsi="Times New Roman;Times;serif"/>
          <w:b w:val="false"/>
          <w:i w:val="false"/>
          <w:caps w:val="false"/>
          <w:smallCaps w:val="false"/>
          <w:color w:val="000000"/>
          <w:sz w:val="19"/>
        </w:rPr>
        <w:t xml:space="preserve"> </w:t>
      </w:r>
    </w:p>
    <w:p>
      <w:pPr>
        <w:pStyle w:val="TextBody"/>
        <w:bidi w:val="0"/>
        <w:spacing w:before="9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0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MOBILEYE GLOBAL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CLASS A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from time to time, offer to sell debt securities, Class A common stock, preferred stock, warrants, depositary shares, purchase contracts or units. Each time we or a selling securityholder sells securities pursuant to this prospectus, where required,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Nasdaq Global Select Market</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under the symbol “MBLY.”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a high degree of risk. See “Risk Factors” section of our filings with the Securities and Exchange Commission (the “SEC”) and the applicable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is dated March 14,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w:t>
            </w:r>
            <w:r>
              <w:rPr>
                <w:caps/>
                <w:spacing w:val="-3"/>
                <w:sz w:val="12"/>
              </w:rPr>
              <w:t>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THCO">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AUT">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AUT">
              <w:r>
                <w:rPr>
                  <w:rStyle w:val="InternetLink"/>
                  <w:spacing w:val="4"/>
                </w:rPr>
                <w:t>3</w:t>
              </w:r>
            </w:hyperlink>
            <w:hyperlink w:anchor="tCAU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DS">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OS">
              <w:r>
                <w:rPr>
                  <w:rStyle w:val="InternetLink"/>
                  <w:spacing w:val="4"/>
                </w:rPr>
                <w:t xml:space="preserve">DESCRIPTION OF OTHER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OS">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IOCD">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using a “shelf” registration process. We may sell any combination of the securities described in this prospectus,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types of securities that we or selling securityholders may offer and sell, from time to time, pursuant to this prospectus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A common stock;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and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consisting of any of the securities listed above.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or a selling securityholder sell securities pursuant to this prospectus, we will, if required, describe, in a prospectus supplement, which we will deliver with this prospectus, specific information about the offering and the terms of the particular securities offered. In each prospectus supplement we will include the following information, if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securities that we or a selling securityholder proposes to sell;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offering price of the securities;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through or to which we or a selling securityholder will sell the securities;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compensation of those underwriters or agents; and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any securities exchanges or automated quotation systems on which the securities will be listed or traded.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prospectus supplement may also add, update or change the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HCO"/>
      <w:bookmarkEnd w:id="4"/>
      <w:r>
        <w:rPr>
          <w:rFonts w:ascii="calibri;arial;sans-serif" w:hAnsi="calibri;arial;sans-serif"/>
          <w:b w:val="false"/>
          <w:i w:val="false"/>
          <w:caps w:val="false"/>
          <w:smallCaps w:val="false"/>
          <w:color w:val="000000"/>
          <w:sz w:val="16"/>
        </w:rPr>
        <w:t>​</w:t>
      </w:r>
      <w:bookmarkStart w:id="5" w:name="tUOP"/>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Mobileye was founded in Israel in 1999. Our co-founder, Professor Amnon Shashua, is our President and Chief Executive Officer. Our principal executive offices are located at Har Hotzvim, Shlomo Momo HaLevi Street 1, Jerusalem 9777015, Israel, and our phone number is +972-2-541-7333. Our website address is www.mobileye.com. The information contained in, or that can be accessed through, our website is not incorporated by reference in, and is not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Mobileye name, our logo, and other trademarks appearing or incorporated by reference in this prospectus, including, among others, EyeQ™, EyeQ Ultra™, EyeQ Kit™, Road Experience Management™, REM™, True Redundancy™, Mobileye Chauffeur™, Mobileye Drive™, Mobileye SuperVision™, and Moovit, are the property of Mobileye. Trade names, trademarks, and service marks of other companies appearing or incorporated by reference in this prospectus are the property of their respective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 the terms “the Company,” “Mobileye,” “issuer,” “we,” “our,” and “us” refer to Mobileye Global Inc. and its consolidated subsidiaries, unless otherwise specified.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we receive from the sale of securities by us as set forth in the applicable prospectus supplement. Unless otherwise specified in the applicable prospectus supplement, we will not receive any proceeds from the sale of securities by selling securityholders.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AU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contained in this prospectus or the documents incorporated by reference herein may include, but are not limited to, statements about: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business, social and environmental performance, goals and measures; </w:t>
      </w:r>
      <w:r>
        <mc:AlternateContent>
          <mc:Choice Requires="wps">
            <w:drawing>
              <wp:anchor behindDoc="0" distT="8001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growth prospects and trends in markets and industries relevant to our business; </w:t>
      </w:r>
      <w:r>
        <mc:AlternateContent>
          <mc:Choice Requires="wps">
            <w:drawing>
              <wp:anchor behindDoc="0" distT="8001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investment plans; </w:t>
      </w:r>
      <w:r>
        <mc:AlternateContent>
          <mc:Choice Requires="wps">
            <w:drawing>
              <wp:anchor behindDoc="0" distT="8001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about our ability to maintain or enhance our leadership position in the markets in which we participate; </w:t>
      </w:r>
      <w:r>
        <mc:AlternateContent>
          <mc:Choice Requires="wps">
            <w:drawing>
              <wp:anchor behindDoc="0" distT="8001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consumer demand and behavior, including expectations about excess inventory utilization by customers;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products and technology, and the expected availability and benefits of such products and technology;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of regulatory frameworks for current and future technology;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projected cost and pricing trends;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production capacity and product supply;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future benefits and competitive advantages associated with our technologies and architecture and the data we have accumulated;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future purchase, use and availability of products, components and services supplied by third parties, including third-party IP and manufacturing services;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 events or assumptions, including statements relating to our estimated vehicle production and market opportunity, potential production volumes associated with design wins and other characterizations of future events or circumstances;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of the COVID-19 pandemic and responses to future pandemics;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uses, sufficiency and cost of capital and capital resources, including expected returns to stockholders such as dividends, and the expected timing of future dividends;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and accounting-related expectations;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conditions in Israel, including in connection with Israeli military operations in response to the October 7, 2023 terrorist attacks, which may affect our operations and may limit our ability to produce and sell our solutions;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 in our operations by the obligations of our personnel to perform military service as a result of current or future military actions involving Israel; 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statements described herein under the section entitled “Risk Factors” and in our most recent Annual Report on Form 10-K and subsequent Quarterly Reports on Form 10-Q and Current Reports on Form 8-K.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factors in our most recent Annual Report on Form 10-K incorporated by reference herein, and any updates to those risk factors in subsequent Quarterly Reports on Form 10-Q and Current Reports on Form 8-K,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 Before making a decision to invest in our securities, you should carefully consider the risks described under “Risk Factors” in the applicable prospectus supplement and in our most recent Annual Report on Form 10-K, and any updates to those risk factors in our subsequent Quarterly Reports on Form 10-Q and Current Reports on Form 8-K, together with all of the other information appearing or incorporated by reference herein,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D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under a prospectus supplement may differ from the terms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under an indenture to be entered into between us and the trustee identified in the applicable prospectus supplement (the “senior debt indenture”). We will issue subordinated debt securities under an indenture to be entered into between us and the trustee identified in the applicable prospectus supplement (the “subordinated debt indenture” and, together with the senior debt indenture, the “indentures” and each individually, an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be subject to and governed by the Trust Indenture Act of 1939, as amended (the “Trust Indenture Act”). The senior indenture and the subordinated indenture are substantially identical, except for the provisions relating to subordination and covenants. See “— Subordinated Debt.”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up to an aggregate principal amount as we may authorize from time to time. The prospectus supplement will describe the terms of any debt securities being offered,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classification as senior or subordinated debt securities;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ranking of the specific series of debt securities relative to other outstanding indebtedness, including subsidiaries’ debt; </w:t>
      </w:r>
      <w:r>
        <mc:AlternateContent>
          <mc:Choice Requires="wps">
            <w:drawing>
              <wp:anchor behindDoc="0" distT="8255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are subordinated, the aggregate amount of outstanding indebtedness, as of a recent date, that is senior to the subordinated securities, and any limitation on the issuance of additional senior indebtedness; </w:t>
      </w:r>
      <w:r>
        <mc:AlternateContent>
          <mc:Choice Requires="wps">
            <w:drawing>
              <wp:anchor behindDoc="0" distT="8255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and authorized denominations; </w:t>
      </w:r>
      <w:r>
        <mc:AlternateContent>
          <mc:Choice Requires="wps">
            <w:drawing>
              <wp:anchor behindDoc="0" distT="8255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w:t>
      </w:r>
      <w:r>
        <mc:AlternateContent>
          <mc:Choice Requires="wps">
            <w:drawing>
              <wp:anchor behindDoc="0" distT="8255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if any, and the method for calculating the interest rate; </w:t>
      </w:r>
      <w:r>
        <mc:AlternateContent>
          <mc:Choice Requires="wps">
            <w:drawing>
              <wp:anchor behindDoc="0" distT="825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payment dates and the record dates for the interest payments; </w:t>
      </w:r>
      <w:r>
        <mc:AlternateContent>
          <mc:Choice Requires="wps">
            <w:drawing>
              <wp:anchor behindDoc="0" distT="8255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mandatory or optional redemption terms or prepayment, conversion, sinking fund or exchangeability or convertability provisions; </w:t>
      </w:r>
      <w:r>
        <mc:AlternateContent>
          <mc:Choice Requires="wps">
            <w:drawing>
              <wp:anchor behindDoc="0" distT="8255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where we will pay principal and interest; </w:t>
      </w:r>
      <w:r>
        <mc:AlternateContent>
          <mc:Choice Requires="wps">
            <w:drawing>
              <wp:anchor behindDoc="0" distT="8255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or higher integral multiples of $1,000, the denominations the debt securities will be issued in; </w:t>
      </w:r>
      <w:r>
        <mc:AlternateContent>
          <mc:Choice Requires="wps">
            <w:drawing>
              <wp:anchor behindDoc="0" distT="8255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global securities or certificates; </w:t>
      </w:r>
      <w:r>
        <mc:AlternateContent>
          <mc:Choice Requires="wps">
            <w:drawing>
              <wp:anchor behindDoc="0" distT="8255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provisions, if any, relating to the defeasance of the debt securities; </w:t>
      </w:r>
      <w:r>
        <mc:AlternateContent>
          <mc:Choice Requires="wps">
            <w:drawing>
              <wp:anchor behindDoc="0" distT="8255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if other than the currency of the United States, in which principal and interest will be paid; </w:t>
      </w:r>
      <w:r>
        <mc:AlternateContent>
          <mc:Choice Requires="wps">
            <w:drawing>
              <wp:anchor behindDoc="0" distT="8255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United States federal income tax consequences; </w:t>
      </w:r>
      <w:r>
        <mc:AlternateContent>
          <mc:Choice Requires="wps">
            <w:drawing>
              <wp:anchor behindDoc="0" distT="8255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premium, if any, will be paid; </w:t>
      </w:r>
      <w:r>
        <mc:AlternateContent>
          <mc:Choice Requires="wps">
            <w:drawing>
              <wp:anchor behindDoc="0" distT="8255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interest and the maximum length of this deferral period; </w:t>
      </w:r>
      <w:r>
        <mc:AlternateContent>
          <mc:Choice Requires="wps">
            <w:drawing>
              <wp:anchor behindDoc="0" distT="8255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on a securities exchange; </w:t>
      </w:r>
      <w:r>
        <mc:AlternateContent>
          <mc:Choice Requires="wps">
            <w:drawing>
              <wp:anchor behindDoc="0" distT="8255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offering price; and </w:t>
      </w:r>
      <w:r>
        <mc:AlternateContent>
          <mc:Choice Requires="wps">
            <w:drawing>
              <wp:anchor behindDoc="0" distT="8255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specific terms, including any additional events of default or covenants. </w:t>
      </w:r>
      <w:r>
        <mc:AlternateContent>
          <mc:Choice Requires="wps">
            <w:drawing>
              <wp:anchor behindDoc="0" distT="8255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Senior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under the senior debt indenture the debt securities that will constitute part of our senior debt. These senior debt securities will rank equally and pari passu with all of our other unsecured and unsubordinated debt.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Subordinated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under the subordinated debt indenture the debt securities that will constitute part of our subordinated debt. These subordinated debt securities will be subordinate and junior in right of payment, to the extent and in the manner set forth in the subordinated debt indenture, to all of our “senior indebtedness”. The specific subordination terms will be set forth in a supplemental indenture to the subordinated indenture and described in the prospectus supplement for the relevant series of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description sets forth some of the general terms and provisions of our capital stock. Because this is a summary description, it does not contain all of the information that may be important to you. For a more detailed description of our capital stock, you should refer to the provisions of our amended and restated certificate of incorporation and our amended and restated bylaws, as amended and restated, each of which is an exhibit to the Annual Report on Form 10-K which is incorporated by reference into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5,530,000,000 shares of capital stock, par value $0.01 per share, of which: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4,000,000,000 shares are designated as Class A common stock; </w:t>
      </w:r>
      <w:r>
        <mc:AlternateContent>
          <mc:Choice Requires="wps">
            <w:drawing>
              <wp:anchor behindDoc="0" distT="673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1,500,000,000 shares are designated as Class B common stock; and </w:t>
      </w:r>
      <w:r>
        <mc:AlternateContent>
          <mc:Choice Requires="wps">
            <w:drawing>
              <wp:anchor behindDoc="0" distT="673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30,000,000 shares are designated as preferred stock. </w:t>
      </w:r>
      <w:r>
        <mc:AlternateContent>
          <mc:Choice Requires="wps">
            <w:drawing>
              <wp:anchor behindDoc="0" distT="673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amended and restated certificate of incorporation, we are authorized to issue up to 5,500,000,000 shares of common stock, including 4,000,000,000 shares of our Class A common stock and 1,500,000,000 shares of our Class B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two classes of authorized common stock: Class A common stock and Class B common stock. The rights of the holders of our Class A common stock and Class B common stock are identical, except with respect to voting, transfer, and conversion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Class A common stock are entitled to one vote for each share held of record on all matters submitted to a vote of stockholders. Holders of our Class B common stock are entitled to ten votes for each share held of record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to seek to amend our amended and restated certificate of incorporation to increase or decrease the par value of a class of our capital stock, then that class would be required to vote separately to approve the proposed amendment; and </w:t>
      </w:r>
      <w:r>
        <mc:AlternateContent>
          <mc:Choice Requires="wps">
            <w:drawing>
              <wp:anchor behindDoc="0" distT="673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 </w:t>
      </w:r>
      <w:r>
        <mc:AlternateContent>
          <mc:Choice Requires="wps">
            <w:drawing>
              <wp:anchor behindDoc="0" distT="673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stockholders are not entitled to cumulative voting for the election of directors. As a result, the holders of a majority of our voting shares can elect all of the directors then standing for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one-third of the voting power of our capital stock issued and outstanding, present in person or represented by proxy, will constitute a quorum at all meetings of the stockholders for the transaction of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our Class B common stock is convertible into one share of Class A common stock at the option of the holder, provided that if our Class B common stock is distributed to security holders of Intel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(together with its subsidiaries,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are entitled to one vote per share and, subject to applicable law, will vote together as a single class and neither class of common stock is entitled to a separate class vote. All conversions will be effected on a share-for-share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Dissolution and Winding 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and Preferences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outstanding common stock are fully paid and non-assessable. The rights, preferences, and privileges of the holders of our common stock are subject to, and may be adversely affected by, the rights of the holders of shares of any series of preferred stock that we may issue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Approval Rights of Holders of Class B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or implement any stockholder rights plan or similar takeover defense measure; </w:t>
      </w:r>
      <w:r>
        <mc:AlternateContent>
          <mc:Choice Requires="wps">
            <w:drawing>
              <wp:anchor behindDoc="0" distT="698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or merge with or into any other entity; </w:t>
      </w:r>
      <w:r>
        <mc:AlternateContent>
          <mc:Choice Requires="wps">
            <w:drawing>
              <wp:anchor behindDoc="0" distT="6985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any of our subsidiaries to consolidate or merge with or into any other entity, with certain exceptions; </w:t>
      </w:r>
      <w:r>
        <mc:AlternateContent>
          <mc:Choice Requires="wps">
            <w:drawing>
              <wp:anchor behindDoc="0" distT="6985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the stock or assets of another entity for consideration in excess of $250,000,000 other than transactions in which we and one or more of our wholly owned subsidiaries are the only parties; </w:t>
      </w:r>
      <w:r>
        <mc:AlternateContent>
          <mc:Choice Requires="wps">
            <w:drawing>
              <wp:anchor behindDoc="0" distT="6985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any stock or other equity securities except to our subsidiaries or pursuant to our employee benefit plans limited to a share reserve of 5% of the outstanding number of shares of our common stock on the immediately preceding December 31; </w:t>
      </w:r>
      <w:r>
        <mc:AlternateContent>
          <mc:Choice Requires="wps">
            <w:drawing>
              <wp:anchor behindDoc="0" distT="7112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individual or series of related capital or other expenditures in excess of $250,000,000;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incur, assume or permit to exist any indebtedness or guarantee any indebtedness in excess of $250,000,000; </w:t>
      </w:r>
      <w:r>
        <mc:AlternateContent>
          <mc:Choice Requires="wps">
            <w:drawing>
              <wp:anchor behindDoc="0" distT="698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 to or purchase any debt securities of any person in excess of $250,000,000; </w:t>
      </w:r>
      <w:r>
        <mc:AlternateContent>
          <mc:Choice Requires="wps">
            <w:drawing>
              <wp:anchor behindDoc="0" distT="6858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purchase or otherwise acquire or retire for value any equity securities of the company except repurchases from employees, officers, directors or other service providers upon termination of employment or through the exercise of any right of first refusal; </w:t>
      </w:r>
      <w:r>
        <mc:AlternateContent>
          <mc:Choice Requires="wps">
            <w:drawing>
              <wp:anchor behindDoc="0" distT="6858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actions to dissolve, liquidate, or wind-up our company; </w:t>
      </w:r>
      <w:r>
        <mc:AlternateContent>
          <mc:Choice Requires="wps">
            <w:drawing>
              <wp:anchor behindDoc="0" distT="6858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dividends on our stock; and </w:t>
      </w:r>
      <w:r>
        <mc:AlternateContent>
          <mc:Choice Requires="wps">
            <w:drawing>
              <wp:anchor behindDoc="0" distT="6858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terminate or adopt any provision inconsistent with our amended and restated certificate of incorporation or amended and restated bylaws. </w:t>
      </w:r>
      <w:r>
        <mc:AlternateContent>
          <mc:Choice Requires="wps">
            <w:drawing>
              <wp:anchor behindDoc="0" distT="6858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Section 203 of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of the DGCL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6858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6858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 “business combination” to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transfer, pledge, or other disposition of 10% or more of the assets of the corporation involving the interested stockholder; </w:t>
      </w:r>
      <w:r>
        <mc:AlternateContent>
          <mc:Choice Requires="wps">
            <w:drawing>
              <wp:anchor behindDoc="0" distT="6858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6858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6858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loans, advances, guarantees, pledges, or other financial benefits by or through the corporation. </w:t>
      </w:r>
      <w:r>
        <mc:AlternateContent>
          <mc:Choice Requires="wps">
            <w:drawing>
              <wp:anchor behindDoc="0" distT="6858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amended and restated certificate of incorporation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amended and restated bylaws resulting from a stockholders’ amendment approved by at least a majority of the outstanding voting shares. Under our amended and restated certificate of incorporation, we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Certificate of Incorporation and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are provisions included in our amended and restated certificate of incorporation and our amended and restated bylaws that could deter hostile takeovers or delay or prevent changes in control of our management team.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Dual class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for a dual class common stock structure, which provides Intel with the ability to control the outcome of matters submitted to our stockholders for approval, including the election of our directors and the approval of significant corporate transactions.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 of director vacancies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 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Classified board of directors and removal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also provides that, beginning at the first annual meeting of stockholders following any such time that Intel’s holdings in our stock no longer represent at least 20% of the aggregate number of shares of our outstanding common stock, directors will only be able to be removed from office for cause.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action and special meetings of the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further provides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 the ability of our stockholders to force consideration of a proposal or for stockholders to take any action, including the removal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Advance notice requirements for stockholder proposals and director nominations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provides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of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our amended and restated bylaws may be altered, amended, or repealed by (i) our board of directors (without the need for consent by our stockholders) and (ii) our stockholders (without the need for consent by our board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Choice of forum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to the fullest extent permitted by law, provides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of 1933, as amended (the “Securities Act), or Securities Exchange Act of 1934, as amended (the “Exchange Act”), or rules and regulations thereunder. Our amended and restated certificate of incorporation provides that the federal district courts of the U.S. will, to the fullest extent permitted by law, be the sole and exclusive forum for resolving any complaint asserting a cause of action arising under the Securities Act. Our amended and restated certificate of incorporation provides that neither the exclusive forum provision nor our federal forum provision applies to suits brought to enforce any duty or liability created by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any person or entity purchasing or otherwise acquiring any interest in shares of our capital stock is deemed to have notice of and to have consented to the foregoing provision; provided, however, that stockholders will not be deemed to have waived our compliance with the federal securities laws and the rules and regulations thereunder.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Limitations on Liability and Indemnification of Directors and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to corporations and their stockholders for monetary damages for breaches of directors’ fiduciary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Our amended and restated certificate of incorporation contains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provides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our directors and executive officers pursuant to which we agreed to indemnify them to the fullest extent permitted by Delaware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 </w:t>
      </w:r>
    </w:p>
    <w:p>
      <w:pPr>
        <w:pStyle w:val="TextBody"/>
        <w:bidi w:val="0"/>
        <w:spacing w:lineRule="atLeast" w:line="23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Provisions of Our Amended and Restated Certificate of Incorporation Relating to Related Person Transactions and Corporate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deemed to have fully satisfied and fulfilled any duties to us and our stockholders with respect to such contract, agreement, arrangement, or transaction;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liable to us or our stockholders for any breach of fiduciary duty by reason of the entering into, performance or consummation of any such contract, agreement, arrangement, or transaction;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deemed to have acted in good faith and in a manner it reasonably believed to be in and not opposed to the best interests of our company; and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deemed not to have breached any duties of loyalty to us or our stockholders and not to have received an improper personal gain from such contract, agreement, arrangement, or transaction.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further provides that, until the later of (i) first date on which Intel ceases to beneficially own 20% or more of the outstanding shares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 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Nasdaq under the symbol “MBLY”.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N.A.. The transfer agent and registrar’s address is 150 Royall Street, Canton, MA 02021.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amended and restated certificate of incorporation, we are authorized to issue up to 30,000,000 shares of preferred stock. The preferred stock may be issued in one or more series, and our board of directors is expressly authorized to (1) fix the descriptions, powers, preferences, rights, qualifications,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amended and restated certificate of incorporation.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each series of preferred stock will be described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O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OTHER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a description of any warrants, depositary shares, purchase contracts or units that may be offered pursuant 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ESE"/>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being offered by this prospectus may be sold by us or by a selling securityholder: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635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broker-dealers (acting as agent or principal); </w:t>
      </w:r>
      <w:r>
        <mc:AlternateContent>
          <mc:Choice Requires="wps">
            <w:drawing>
              <wp:anchor behindDoc="0" distT="635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us or a selling securityholder to purchasers, through a specific bidding or auction process or otherwise; </w:t>
      </w:r>
      <w:r>
        <mc:AlternateContent>
          <mc:Choice Requires="wps">
            <w:drawing>
              <wp:anchor behindDoc="0" distT="635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or </w:t>
      </w:r>
      <w:r>
        <mc:AlternateContent>
          <mc:Choice Requires="wps">
            <w:drawing>
              <wp:anchor behindDoc="0" distT="635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methods described in a prospectus supplement. </w:t>
      </w:r>
      <w:r>
        <mc:AlternateContent>
          <mc:Choice Requires="wps">
            <w:drawing>
              <wp:anchor behindDoc="0" distT="635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securities may be effected, from time to time, in one or more transactions, including block transactions and transactions on The Nasdaq Global Select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and dealers may be entitled under agreements which may be entered into with us to indemnification by us against specified liabilities, including liabilities incurred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contribution by us to payments they may be required to make in respect of such liabilities. If required, the applicable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securities offered by this prospectus may be sold in those states only through registered or licensed brokers or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securities will be a new issue of securities and will have no established trading market other than the shares of Class A common stock,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the shares of Class A common stock, may or may not be listed on a national securities exchange.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particular offerings of the securities in the future, and if stated in the applicable prospectus supplements, the validity of those securities will be passed upon for us by Davis Polk &amp; Wardwell LLP, and for any underwriters or agents, by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30, 2023 have been so incorporated in reliance on the report of Kesselman &amp; Kesselman, Certified Public Accountants (Isr.), a member firm of PricewaterhouseCoopers International Limited,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30, 2023.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YCF"/>
      <w:bookmarkEnd w:id="15"/>
      <w:r>
        <w:rPr>
          <w:rFonts w:ascii="calibri;arial;sans-serif" w:hAnsi="calibri;arial;sans-serif"/>
          <w:b w:val="false"/>
          <w:i w:val="false"/>
          <w:caps w:val="false"/>
          <w:smallCaps w:val="false"/>
          <w:color w:val="000000"/>
          <w:sz w:val="16"/>
        </w:rPr>
        <w:t>​</w:t>
      </w:r>
      <w:bookmarkStart w:id="16" w:name="tIOC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payment, data storage of employee data, as well as manually and/or electronically distributing pay stubs to employees of Intel Corporation.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July 2020 through December 2021, a PwC member firm provided services pursuant to a contingent fee arrangement.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30, 2023 and December 31, 2022 and for the years ended December 30, 2023, December 31, 2022 and December 25, 2021 and (2) no reasonable investor would conclude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reports on Form 10-K, quarterly reports on Form 10-Q, current reports on Form 8-K, proxy statements and information statements and amendments to reports filed or furnished pursuant to the Exchange Act, with the SEC. Our SEC filings, including the complete registration statement of which this prospectus is a part, are available to the public from commercial document retrieval services and also available at the Internet website maintained by the SEC at http://www.sec.gov.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THAT IS DIFFERENT FROM OR IN ADDITION TO THE INFORMATION CONTAINED OR INCORPORATED BY REFERENCE IN THIS PROSPECTUS, ANY PROSPECTUS SUPPLEMENT OR ANY FREE WRITING PROSPECTUS PREPARED BY OR ON BEHALF OF US OR TO WHICH WE HAVE REFERRED YOU. WE TAKE NO RESPONSIBILITY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 You should not assume that the information provided in this prospectus or the documents incorporated by reference is accurate as of any date other than their respective dates. Our business, financial condition, results of operations and prospects may have changed since those 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4997"/>
        <w:gridCol w:w="109"/>
        <w:gridCol w:w="109"/>
        <w:gridCol w:w="331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997" w:type="dxa"/>
            <w:tcBorders>
              <w:bottom w:val="single" w:sz="2" w:space="0" w:color="000000"/>
            </w:tcBorders>
            <w:tcMar>
              <w:bottom w:w="37" w:type="dxa"/>
            </w:tcMar>
            <w:vAlign w:val="center"/>
          </w:tcPr>
          <w:p>
            <w:pPr>
              <w:pStyle w:val="TableContents"/>
              <w:bidi w:val="0"/>
              <w:spacing w:lineRule="atLeast" w:line="180" w:before="0" w:after="0"/>
              <w:jc w:val="center"/>
              <w:rPr/>
            </w:pPr>
            <w:r>
              <w:rPr>
                <w:spacing w:val="-3"/>
              </w:rPr>
              <w:t>Mobileye SEC Filings (File No. 000-41541)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8" w:type="dxa"/>
            <w:tcBorders>
              <w:bottom w:val="single" w:sz="2" w:space="0" w:color="000000"/>
            </w:tcBorders>
            <w:tcMar>
              <w:bottom w:w="37" w:type="dxa"/>
            </w:tcMar>
            <w:vAlign w:val="center"/>
          </w:tcPr>
          <w:p>
            <w:pPr>
              <w:pStyle w:val="TableContents"/>
              <w:bidi w:val="0"/>
              <w:spacing w:lineRule="atLeast" w:line="180" w:before="0" w:after="0"/>
              <w:jc w:val="center"/>
              <w:rPr/>
            </w:pPr>
            <w:r>
              <w:rPr>
                <w:spacing w:val="-3"/>
              </w:rPr>
              <w:t>Period</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97" w:type="dxa"/>
            <w:tcBorders/>
            <w:tcMar>
              <w:bottom w:w="0" w:type="dxa"/>
            </w:tcMar>
            <w:vAlign w:val="center"/>
          </w:tcPr>
          <w:p>
            <w:pPr>
              <w:pStyle w:val="TableContents"/>
              <w:bidi w:val="0"/>
              <w:spacing w:before="0" w:after="0"/>
              <w:jc w:val="center"/>
              <w:rPr/>
            </w:pPr>
            <w:r>
              <w:rPr>
                <w:spacing w:val="4"/>
              </w:rPr>
              <w:t>Annual Report on Form 10-K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8" w:type="dxa"/>
            <w:tcBorders/>
            <w:tcMar>
              <w:bottom w:w="0" w:type="dxa"/>
            </w:tcMar>
            <w:vAlign w:val="center"/>
          </w:tcPr>
          <w:p>
            <w:pPr>
              <w:pStyle w:val="TableContents"/>
              <w:bidi w:val="0"/>
              <w:spacing w:before="0" w:after="0"/>
              <w:jc w:val="center"/>
              <w:rPr/>
            </w:pPr>
            <w:r>
              <w:rPr>
                <w:spacing w:val="4"/>
              </w:rPr>
              <w:t>Year ended December 30, 2023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97" w:type="dxa"/>
            <w:tcBorders/>
            <w:tcMar>
              <w:bottom w:w="0" w:type="dxa"/>
            </w:tcMar>
            <w:vAlign w:val="center"/>
          </w:tcPr>
          <w:p>
            <w:pPr>
              <w:pStyle w:val="TableContents"/>
              <w:bidi w:val="0"/>
              <w:spacing w:before="0" w:after="0"/>
              <w:jc w:val="center"/>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8" w:type="dxa"/>
            <w:tcBorders/>
            <w:tcMar>
              <w:bottom w:w="0" w:type="dxa"/>
            </w:tcMar>
            <w:vAlign w:val="center"/>
          </w:tcPr>
          <w:p>
            <w:pPr>
              <w:pStyle w:val="TableContents"/>
              <w:bidi w:val="0"/>
              <w:spacing w:before="0" w:after="0"/>
              <w:jc w:val="center"/>
              <w:rPr/>
            </w:pPr>
            <w:r>
              <w:rPr>
                <w:spacing w:val="4"/>
              </w:rPr>
              <w:t>Filed on March 7, 2024 (only with respect to information filed under Item 5.02 of Form 8-K)</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997" w:type="dxa"/>
            <w:tcBorders/>
            <w:tcMar>
              <w:bottom w:w="0" w:type="dxa"/>
            </w:tcMar>
            <w:vAlign w:val="center"/>
          </w:tcPr>
          <w:p>
            <w:pPr>
              <w:pStyle w:val="TableContents"/>
              <w:bidi w:val="0"/>
              <w:spacing w:before="0" w:after="0"/>
              <w:jc w:val="center"/>
              <w:rPr/>
            </w:pPr>
            <w:r>
              <w:rPr>
                <w:spacing w:val="4"/>
              </w:rPr>
              <w:t>The description of securities filed as Exhibit 4.1 to our Annual Report on Form 10-K for the year ended December 30, 2023, including any amendments or reports filed for the purposes of updating such description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8" w:type="dxa"/>
            <w:tcBorders/>
            <w:tcMar>
              <w:bottom w:w="0" w:type="dxa"/>
            </w:tcMar>
            <w:vAlign w:val="center"/>
          </w:tcPr>
          <w:p>
            <w:pPr>
              <w:pStyle w:val="TableContents"/>
              <w:bidi w:val="0"/>
              <w:spacing w:before="0" w:after="0"/>
              <w:jc w:val="center"/>
              <w:rPr/>
            </w:pPr>
            <w:r>
              <w:rPr>
                <w:spacing w:val="4"/>
              </w:rPr>
              <w:t>Filed on February 23, 2024 as Exhibit 4.1 to our Annual Report on Form 10-K for the year ended December 30, 2023</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additional documents that we may file with the SEC under Section 13(a), 13(c), 14 or 15(d) of the Exchange Act from the date of this prospectus to the end of the offering of the applicable securities under this prospectus. These documents may include annual reports on Form 10-K, quarterly reports on Form 10-Q and current reports on Form 8-K, as well as proxy statements. We will only incorporate certain portions of our annual proxy statement for our 2024 annual meeting of stockholders as specified in our Annual Report on Form 10-K and are not incorporating by reference (i) any information furnished under items 2.02 or 7.01 (or corresponding information furnished under item 9.01 or included as an exhibit) in any past or future current report on Form 8-K or (ii) any Form S-D, that, in either case, we may file with the SEC, unless otherwise specified in such current report or in such form or in a particular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any of these filings through Mobileye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Mobileye Global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 Mobileye B.V.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Har Hotzvim, Shlomo Momo HaLevi Street 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Jerusalem 9777015, Israel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+972-2-541-7333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www.Mobileye.com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CONTAINED ON OR ACCESSIBLE THROUGH OUR WEBSITE IS NOT INCORPORATED BY REFERENCE HEREIN AND DOES NOT CONSTITUTE A PART OF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227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Expenses of Issuance and Distribution.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2">
                <wp:simplePos x="0" y="0"/>
                <wp:positionH relativeFrom="column">
                  <wp:align>left</wp:align>
                </wp:positionH>
                <wp:positionV relativeFrom="line">
                  <wp:align>top</wp:align>
                </wp:positionV>
                <wp:extent cx="5588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558800" cy="350520"/>
                        </a:xfrm>
                        <a:prstGeom prst="rect"/>
                        <a:solidFill>
                          <a:srgbClr val="FFFFFF"/>
                        </a:solidFill>
                      </wps:spPr>
                      <wps:txbx>
                        <w:txbxContent>
                          <w:p>
                            <w:pPr>
                              <w:pStyle w:val="TextBody"/>
                              <w:bidi w:val="0"/>
                              <w:spacing w:lineRule="atLeast" w:line="240" w:before="0" w:after="283"/>
                              <w:jc w:val="left"/>
                              <w:rPr>
                                <w:b/>
                              </w:rPr>
                            </w:pPr>
                            <w:r>
                              <w:rPr>
                                <w:b/>
                                <w:spacing w:val="-4"/>
                              </w:rPr>
                              <w:t>Item 14.</w:t>
                            </w:r>
                            <w:r>
                              <w:rPr>
                                <w:b/>
                              </w:rPr>
                              <w:t xml:space="preserve"> </w:t>
                              <w:br/>
                            </w:r>
                          </w:p>
                        </w:txbxContent>
                      </wps:txbx>
                      <wps:bodyPr anchor="t" lIns="0" tIns="0" rIns="0" bIns="0">
                        <a:noAutofit/>
                      </wps:bodyPr>
                    </wps:wsp>
                  </a:graphicData>
                </a:graphic>
              </wp:anchor>
            </w:drawing>
          </mc:Choice>
          <mc:Fallback>
            <w:pict>
              <v:rect style="position:absolute;rotation:-0;width:44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statement of the estimated expenses to be incurred in connection with the issuance and distribution of the securities being registered, other than underwriting discounts, commissions and transfer taxes, to be paid by the Registrant. The following statement of estimated expenses has been used to demonstrate the expense of an offering and does not represent an estimate of the aggregate amount of securities that may be registered or distributed pursuant to this registration statement because such amount is unknown at this time. </w:t>
      </w:r>
    </w:p>
    <w:tbl>
      <w:tblPr>
        <w:tblW w:w="8812" w:type="dxa"/>
        <w:jc w:val="left"/>
        <w:tblInd w:w="1393" w:type="dxa"/>
        <w:tblLayout w:type="fixed"/>
        <w:tblCellMar>
          <w:top w:w="0" w:type="dxa"/>
          <w:left w:w="0" w:type="dxa"/>
          <w:bottom w:w="0" w:type="dxa"/>
          <w:right w:w="0" w:type="dxa"/>
        </w:tblCellMar>
      </w:tblPr>
      <w:tblGrid>
        <w:gridCol w:w="124"/>
        <w:gridCol w:w="6986"/>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986"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6"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8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86" w:type="dxa"/>
            <w:tcBorders/>
            <w:shd w:fill="CCEEFF" w:val="clear"/>
            <w:vAlign w:val="center"/>
          </w:tcPr>
          <w:p>
            <w:pPr>
              <w:pStyle w:val="TableContents"/>
              <w:bidi w:val="0"/>
              <w:spacing w:before="0" w:after="0"/>
              <w:jc w:val="left"/>
              <w:rPr>
                <w:spacing w:val="4"/>
              </w:rPr>
            </w:pPr>
            <w:r>
              <w:rPr>
                <w:spacing w:val="4"/>
              </w:rPr>
              <w:t xml:space="preserve">Fees and expenses of qualification under state securities laws (including legal fees)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88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6"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8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86" w:type="dxa"/>
            <w:tcBorders/>
            <w:shd w:fill="CCEEFF" w:val="clear"/>
            <w:vAlign w:val="center"/>
          </w:tcPr>
          <w:p>
            <w:pPr>
              <w:pStyle w:val="TableContents"/>
              <w:bidi w:val="0"/>
              <w:spacing w:before="0" w:after="0"/>
              <w:jc w:val="left"/>
              <w:rPr>
                <w:spacing w:val="4"/>
              </w:rPr>
            </w:pPr>
            <w:r>
              <w:rPr>
                <w:spacing w:val="4"/>
              </w:rPr>
              <w:t xml:space="preserve">FINRA filing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225,000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6" w:type="dxa"/>
            <w:tcBorders/>
            <w:vAlign w:val="center"/>
          </w:tcPr>
          <w:p>
            <w:pPr>
              <w:pStyle w:val="TableContents"/>
              <w:bidi w:val="0"/>
              <w:spacing w:before="0" w:after="0"/>
              <w:jc w:val="left"/>
              <w:rPr>
                <w:spacing w:val="4"/>
              </w:rPr>
            </w:pPr>
            <w:r>
              <w:rPr>
                <w:spacing w:val="4"/>
              </w:rPr>
              <w:t xml:space="preserve">Printing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8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86" w:type="dxa"/>
            <w:tcBorders/>
            <w:shd w:fill="CCEEFF" w:val="clear"/>
            <w:vAlign w:val="center"/>
          </w:tcPr>
          <w:p>
            <w:pPr>
              <w:pStyle w:val="TableContents"/>
              <w:bidi w:val="0"/>
              <w:spacing w:before="0" w:after="0"/>
              <w:jc w:val="left"/>
              <w:rPr>
                <w:spacing w:val="4"/>
              </w:rPr>
            </w:pPr>
            <w:r>
              <w:rPr>
                <w:spacing w:val="4"/>
              </w:rPr>
              <w:t xml:space="preserve">Rating agency fees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88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6" w:type="dxa"/>
            <w:tcBorders/>
            <w:vAlign w:val="center"/>
          </w:tcPr>
          <w:p>
            <w:pPr>
              <w:pStyle w:val="TableContents"/>
              <w:bidi w:val="0"/>
              <w:spacing w:before="0" w:after="0"/>
              <w:jc w:val="left"/>
              <w:rPr>
                <w:spacing w:val="4"/>
              </w:rPr>
            </w:pPr>
            <w:r>
              <w:rPr>
                <w:spacing w:val="4"/>
              </w:rPr>
              <w:t xml:space="preserve">Trustee’s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8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8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0"/>
              <w:jc w:val="right"/>
              <w:rPr/>
            </w:pPr>
            <w:r>
              <w:rPr/>
              <w:t>​</w:t>
            </w:r>
            <w:r>
              <w:rPr>
                <w:sz w:val="13"/>
              </w:rPr>
              <w:t>(1)</w:t>
            </w:r>
            <w:r>
              <w:rPr>
                <w:sz w:val="15"/>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86"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47" w:type="dxa"/>
            </w:tcMar>
            <w:vAlign w:val="center"/>
          </w:tcPr>
          <w:p>
            <w:pPr>
              <w:pStyle w:val="TableContents"/>
              <w:bidi w:val="0"/>
              <w:spacing w:before="0" w:after="0"/>
              <w:jc w:val="right"/>
              <w:rPr/>
            </w:pPr>
            <w:r>
              <w:rPr/>
              <w:t>​</w:t>
            </w:r>
          </w:p>
        </w:tc>
        <w:tc>
          <w:tcPr>
            <w:tcW w:w="886" w:type="dxa"/>
            <w:tcBorders>
              <w:bottom w:val="double" w:sz="8" w:space="0" w:color="000000"/>
            </w:tcBorders>
            <w:tcMar>
              <w:bottom w:w="47" w:type="dxa"/>
            </w:tcMar>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456(b) and 457(r), the registrant is deferring payment of the registration fee for the securities offered by this prospectus. </w:t>
      </w:r>
      <w:r>
        <mc:AlternateContent>
          <mc:Choice Requires="wps">
            <w:drawing>
              <wp:anchor behindDoc="0" distT="1143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0" w:after="0"/>
        <w:ind w:left="227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95">
                <wp:simplePos x="0" y="0"/>
                <wp:positionH relativeFrom="column">
                  <wp:align>left</wp:align>
                </wp:positionH>
                <wp:positionV relativeFrom="line">
                  <wp:align>top</wp:align>
                </wp:positionV>
                <wp:extent cx="5588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558800" cy="350520"/>
                        </a:xfrm>
                        <a:prstGeom prst="rect"/>
                        <a:solidFill>
                          <a:srgbClr val="FFFFFF"/>
                        </a:solidFill>
                      </wps:spPr>
                      <wps:txbx>
                        <w:txbxContent>
                          <w:p>
                            <w:pPr>
                              <w:pStyle w:val="TextBody"/>
                              <w:bidi w:val="0"/>
                              <w:spacing w:lineRule="atLeast" w:line="240" w:before="0" w:after="283"/>
                              <w:jc w:val="left"/>
                              <w:rPr>
                                <w:b/>
                              </w:rPr>
                            </w:pPr>
                            <w:r>
                              <w:rPr>
                                <w:b/>
                                <w:spacing w:val="-4"/>
                              </w:rPr>
                              <w:t>Item 15.</w:t>
                            </w:r>
                            <w:r>
                              <w:rPr>
                                <w:b/>
                              </w:rPr>
                              <w:t xml:space="preserve"> </w:t>
                              <w:br/>
                            </w:r>
                          </w:p>
                        </w:txbxContent>
                      </wps:txbx>
                      <wps:bodyPr anchor="t" lIns="0" tIns="0" rIns="0" bIns="0">
                        <a:noAutofit/>
                      </wps:bodyPr>
                    </wps:wsp>
                  </a:graphicData>
                </a:graphic>
              </wp:anchor>
            </w:drawing>
          </mc:Choice>
          <mc:Fallback>
            <w:pict>
              <v:rect style="position:absolute;rotation:-0;width:44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 Registrant to advance any expenses incurred by its directors and officers as a result of any proceeding against them as to which they could be indemnified and to obtain and maintain directors’ and officers’ insurance.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p>
      <w:pPr>
        <w:pStyle w:val="TextBody"/>
        <w:bidi w:val="0"/>
        <w:spacing w:lineRule="atLeast" w:line="240" w:before="240" w:after="0"/>
        <w:ind w:left="227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6">
                <wp:simplePos x="0" y="0"/>
                <wp:positionH relativeFrom="column">
                  <wp:align>left</wp:align>
                </wp:positionH>
                <wp:positionV relativeFrom="line">
                  <wp:align>top</wp:align>
                </wp:positionV>
                <wp:extent cx="5588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558800" cy="350520"/>
                        </a:xfrm>
                        <a:prstGeom prst="rect"/>
                        <a:solidFill>
                          <a:srgbClr val="FFFFFF"/>
                        </a:solidFill>
                      </wps:spPr>
                      <wps:txbx>
                        <w:txbxContent>
                          <w:p>
                            <w:pPr>
                              <w:pStyle w:val="TextBody"/>
                              <w:bidi w:val="0"/>
                              <w:spacing w:lineRule="atLeast" w:line="240" w:before="0" w:after="283"/>
                              <w:jc w:val="left"/>
                              <w:rPr>
                                <w:b/>
                              </w:rPr>
                            </w:pPr>
                            <w:r>
                              <w:rPr>
                                <w:b/>
                                <w:spacing w:val="-4"/>
                              </w:rPr>
                              <w:t>Item 16.</w:t>
                            </w:r>
                            <w:r>
                              <w:rPr>
                                <w:b/>
                              </w:rPr>
                              <w:t xml:space="preserve"> </w:t>
                              <w:br/>
                            </w:r>
                          </w:p>
                        </w:txbxContent>
                      </wps:txbx>
                      <wps:bodyPr anchor="t" lIns="0" tIns="0" rIns="0" bIns="0">
                        <a:noAutofit/>
                      </wps:bodyPr>
                    </wps:wsp>
                  </a:graphicData>
                </a:graphic>
              </wp:anchor>
            </w:drawing>
          </mc:Choice>
          <mc:Fallback>
            <w:pict>
              <v:rect style="position:absolute;rotation:-0;width:44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exhibits are filed as part of this registration statement. </w:t>
      </w:r>
    </w:p>
    <w:tbl>
      <w:tblPr>
        <w:tblW w:w="8812" w:type="dxa"/>
        <w:jc w:val="left"/>
        <w:tblInd w:w="1393" w:type="dxa"/>
        <w:tblLayout w:type="fixed"/>
        <w:tblCellMar>
          <w:top w:w="0" w:type="dxa"/>
          <w:left w:w="0" w:type="dxa"/>
          <w:bottom w:w="28" w:type="dxa"/>
          <w:right w:w="0" w:type="dxa"/>
        </w:tblCellMar>
      </w:tblPr>
      <w:tblGrid>
        <w:gridCol w:w="124"/>
        <w:gridCol w:w="899"/>
        <w:gridCol w:w="109"/>
        <w:gridCol w:w="109"/>
        <w:gridCol w:w="741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9"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1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r:id="rId2">
              <w:r>
                <w:rPr>
                  <w:rStyle w:val="InternetLink"/>
                  <w:spacing w:val="4"/>
                </w:rPr>
                <w:t>Amended and Restated Certificate of Incorporation of the Registrant (incorporated by reference to Exhibit 3.1 to the Company’s Form 8-K filed on October 28,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r:id="rId3">
              <w:r>
                <w:rPr>
                  <w:rStyle w:val="InternetLink"/>
                  <w:spacing w:val="4"/>
                </w:rPr>
                <w:t>Amended and Restated Bylaws of the Registrant (incorporated by reference to Exhibit 3.2 to the Company’s Form 8-K filed on October 28,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4-1.htm">
              <w:r>
                <w:rPr>
                  <w:rStyle w:val="InternetLink"/>
                  <w:spacing w:val="4"/>
                </w:rPr>
                <w:t>Form of Senior Notes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4-2.htm">
              <w:r>
                <w:rPr>
                  <w:rStyle w:val="InternetLink"/>
                  <w:spacing w:val="4"/>
                </w:rPr>
                <w:t>Form of Subordinated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pPr>
            <w:r>
              <w:rPr>
                <w:spacing w:val="4"/>
              </w:rPr>
              <w:t>4.3*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4-1.htm">
              <w:r>
                <w:rPr>
                  <w:rStyle w:val="InternetLink"/>
                  <w:spacing w:val="4"/>
                </w:rPr>
                <w:t>Form of Senior Note (included in Exhibit 4.1)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pPr>
            <w:r>
              <w:rPr>
                <w:spacing w:val="4"/>
              </w:rPr>
              <w:t>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4-1.htm">
              <w:r>
                <w:rPr>
                  <w:rStyle w:val="InternetLink"/>
                  <w:spacing w:val="4"/>
                </w:rPr>
                <w:t>Form of Subordinated Note (included in Exhibit 4.2)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283"/>
              <w:jc w:val="left"/>
              <w:rPr/>
            </w:pPr>
            <w:hyperlink r:id="rId4">
              <w:r>
                <w:rPr>
                  <w:rStyle w:val="InternetLink"/>
                </w:rPr>
                <w:t>Master Transaction Agreement between the Registrant and Intel Corporation, dated as of October 25, 2022 (incorporated by reference to Exhibit 10.2 to the Company’s Form 10-K filed on March 9,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5-1.htm">
              <w:r>
                <w:rPr>
                  <w:rStyle w:val="InternetLink"/>
                  <w:spacing w:val="4"/>
                </w:rPr>
                <w:t>Legal opinion of Davis Polk &amp; Wardwell LLP regarding the legality of the securities being registered under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5-1.htm">
              <w:r>
                <w:rPr>
                  <w:rStyle w:val="InternetLink"/>
                  <w:spacing w:val="4"/>
                </w:rPr>
                <w:t>Consent of Davis Polk &amp; Wardwell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23-2.htm">
              <w:r>
                <w:rPr>
                  <w:rStyle w:val="InternetLink"/>
                  <w:spacing w:val="4"/>
                </w:rPr>
                <w:t>Consent of Kesselman &amp; Kesselman, Certified Public Accountants (Isr.), a member firm of PricewaterhouseCoopers International Limited,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283"/>
              <w:jc w:val="left"/>
              <w:rPr>
                <w:spacing w:val="4"/>
              </w:rPr>
            </w:pPr>
            <w:r>
              <w:rPr>
                <w:spacing w:val="4"/>
              </w:rPr>
              <w:t xml:space="preserve">Statement of Eligibility under the Trust Indenture Act of 1939, as amended, of the Trustee for senior debt securities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283"/>
              <w:jc w:val="left"/>
              <w:rPr>
                <w:spacing w:val="4"/>
              </w:rPr>
            </w:pPr>
            <w:r>
              <w:rPr>
                <w:spacing w:val="4"/>
              </w:rPr>
              <w:t xml:space="preserve">Statement of Eligibility under the Trust Indenture Act of 1939, as amended, of the Trustee for subordinated debt securities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283"/>
              <w:jc w:val="left"/>
              <w:rPr/>
            </w:pPr>
            <w:hyperlink w:anchor="tPOA">
              <w:r>
                <w:rPr>
                  <w:rStyle w:val="InternetLink"/>
                </w:rPr>
                <w:t>Powers of Attorney (Included on Page</w:t>
              </w:r>
            </w:hyperlink>
            <w:r>
              <w:rPr/>
              <w:t xml:space="preserve"> </w:t>
            </w:r>
            <w:hyperlink w:anchor="tPOA">
              <w:r>
                <w:rPr>
                  <w:rStyle w:val="InternetLink"/>
                </w:rPr>
                <w:t>II-6 as part of the signature pages hereto)</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 w:type="dxa"/>
            <w:tcBorders/>
            <w:tcMar>
              <w:bottom w:w="0" w:type="dxa"/>
            </w:tcMar>
            <w:vAlign w:val="center"/>
          </w:tcPr>
          <w:p>
            <w:pPr>
              <w:pStyle w:val="TableContents"/>
              <w:bidi w:val="0"/>
              <w:spacing w:before="0" w:after="0"/>
              <w:jc w:val="center"/>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6" w:type="dxa"/>
            <w:tcBorders/>
            <w:tcMar>
              <w:bottom w:w="0" w:type="dxa"/>
            </w:tcMar>
            <w:vAlign w:val="center"/>
          </w:tcPr>
          <w:p>
            <w:pPr>
              <w:pStyle w:val="TableContents"/>
              <w:bidi w:val="0"/>
              <w:spacing w:before="0" w:after="0"/>
              <w:jc w:val="left"/>
              <w:rPr/>
            </w:pPr>
            <w:hyperlink w:anchor="tm248244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by a report filed under the Securities Exchange Act of 1934, as amended, and incorporated herein by reference, if applicable. </w:t>
      </w:r>
      <w:r>
        <mc:AlternateContent>
          <mc:Choice Requires="wps">
            <w:drawing>
              <wp:anchor behindDoc="0" distT="508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on a Form T-1 and incorporated herein by reference, if applicable. </w:t>
      </w:r>
      <w:r>
        <mc:AlternateContent>
          <mc:Choice Requires="wps">
            <w:drawing>
              <wp:anchor behindDoc="0" distT="50800" distB="0" distL="0" distR="0" simplePos="0" locked="0" layoutInCell="1" allowOverlap="1" relativeHeight="99">
                <wp:simplePos x="0" y="0"/>
                <wp:positionH relativeFrom="column">
                  <wp:align>left</wp:align>
                </wp:positionH>
                <wp:positionV relativeFrom="line">
                  <wp:align>top</wp:align>
                </wp:positionV>
                <wp:extent cx="254000" cy="525780"/>
                <wp:effectExtent l="0" t="0" r="0" b="0"/>
                <wp:wrapSquare wrapText="right"/>
                <wp:docPr id="94"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27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Undertakings.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5588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558800" cy="350520"/>
                        </a:xfrm>
                        <a:prstGeom prst="rect"/>
                        <a:solidFill>
                          <a:srgbClr val="FFFFFF"/>
                        </a:solidFill>
                      </wps:spPr>
                      <wps:txbx>
                        <w:txbxContent>
                          <w:p>
                            <w:pPr>
                              <w:pStyle w:val="TextBody"/>
                              <w:bidi w:val="0"/>
                              <w:spacing w:lineRule="atLeast" w:line="240" w:before="0" w:after="283"/>
                              <w:jc w:val="left"/>
                              <w:rPr>
                                <w:b/>
                              </w:rPr>
                            </w:pPr>
                            <w:r>
                              <w:rPr>
                                <w:b/>
                                <w:spacing w:val="-4"/>
                              </w:rPr>
                              <w:t>Item 17.</w:t>
                            </w:r>
                            <w:r>
                              <w:rPr>
                                <w:b/>
                              </w:rPr>
                              <w:t xml:space="preserve"> </w:t>
                              <w:br/>
                            </w:r>
                          </w:p>
                        </w:txbxContent>
                      </wps:txbx>
                      <wps:bodyPr anchor="t" lIns="0" tIns="0" rIns="0" bIns="0">
                        <a:noAutofit/>
                      </wps:bodyPr>
                    </wps:wsp>
                  </a:graphicData>
                </a:graphic>
              </wp:anchor>
            </w:drawing>
          </mc:Choice>
          <mc:Fallback>
            <w:pict>
              <v:rect style="position:absolute;rotation:-0;width: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2870" distB="0" distL="508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2870" distB="0" distL="762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table in the effective registration statement; </w:t>
      </w:r>
      <w:r>
        <mc:AlternateContent>
          <mc:Choice Requires="wps">
            <w:drawing>
              <wp:anchor behindDoc="0" distT="102870" distB="0" distL="762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762000" distR="0" simplePos="0" locked="0" layoutInCell="1" allowOverlap="1" relativeHeight="105">
                <wp:simplePos x="0" y="0"/>
                <wp:positionH relativeFrom="column">
                  <wp:align>left</wp:align>
                </wp:positionH>
                <wp:positionV relativeFrom="line">
                  <wp:align>top</wp:align>
                </wp:positionV>
                <wp:extent cx="254000" cy="525780"/>
                <wp:effectExtent l="0" t="0" r="0" b="0"/>
                <wp:wrapSquare wrapText="right"/>
                <wp:docPr id="100" name="Frame10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508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508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1600" distB="0" distL="508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762000" distR="0" simplePos="0" locked="0" layoutInCell="1" allowOverlap="1" relativeHeight="109">
                <wp:simplePos x="0" y="0"/>
                <wp:positionH relativeFrom="column">
                  <wp:align>left</wp:align>
                </wp:positionH>
                <wp:positionV relativeFrom="line">
                  <wp:align>top</wp:align>
                </wp:positionV>
                <wp:extent cx="254000" cy="525780"/>
                <wp:effectExtent l="0" t="0" r="0" b="0"/>
                <wp:wrapSquare wrapText="right"/>
                <wp:docPr id="104" name="Frame1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w:t>
      </w:r>
      <w:r>
        <mc:AlternateContent>
          <mc:Choice Requires="wps">
            <w:drawing>
              <wp:anchor behindDoc="0" distT="101600" distB="0" distL="762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508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762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09"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110"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r>
        <mc:AlternateContent>
          <mc:Choice Requires="wps">
            <w:drawing>
              <wp:anchor behindDoc="0" distT="10160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Jerusalem, Israel, on this 14th day of March, 2024.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MOBILEYE GLOBAL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Professor Amnon Shashua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4"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Professor Amnon Shashua </w:t>
      </w:r>
      <w:r>
        <mc:AlternateContent>
          <mc:Choice Requires="wps">
            <w:drawing>
              <wp:anchor behindDoc="0" distT="38100" distB="0" distL="3048000" distR="0" simplePos="0" locked="0" layoutInCell="1" allowOverlap="1" relativeHeight="120">
                <wp:simplePos x="0" y="0"/>
                <wp:positionH relativeFrom="column">
                  <wp:align>left</wp:align>
                </wp:positionH>
                <wp:positionV relativeFrom="line">
                  <wp:align>top</wp:align>
                </wp:positionV>
                <wp:extent cx="4572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3pt;mso-wrap-distance-bottom:0pt;margin-top:3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Chief Executive Officer, President and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Director (Principal Executive Officer) </w:t>
      </w:r>
      <w:r>
        <mc:AlternateContent>
          <mc:Choice Requires="wps">
            <w:drawing>
              <wp:anchor behindDoc="0" distT="0" distB="0" distL="3048000" distR="0" simplePos="0" locked="0" layoutInCell="1" allowOverlap="1" relativeHeight="121">
                <wp:simplePos x="0" y="0"/>
                <wp:positionH relativeFrom="column">
                  <wp:align>left</wp:align>
                </wp:positionH>
                <wp:positionV relativeFrom="line">
                  <wp:posOffset>635</wp:posOffset>
                </wp:positionV>
                <wp:extent cx="4572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O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POWERS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KNOWN ALL PERSONS BY THESE PRESENTS, that the individuals whose signature appears below hereby constitute and appoint Professor Amnon Shashua, Liz Cohen-Yerushalmi and Moran Shemesh Rojansky,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below by the following persons in the capacities and on the dates indicated. </w:t>
      </w:r>
    </w:p>
    <w:tbl>
      <w:tblPr>
        <w:tblW w:w="8812" w:type="dxa"/>
        <w:jc w:val="left"/>
        <w:tblInd w:w="1393" w:type="dxa"/>
        <w:tblLayout w:type="fixed"/>
        <w:tblCellMar>
          <w:top w:w="0" w:type="dxa"/>
          <w:left w:w="0" w:type="dxa"/>
          <w:bottom w:w="0" w:type="dxa"/>
          <w:right w:w="0" w:type="dxa"/>
        </w:tblCellMar>
      </w:tblPr>
      <w:tblGrid>
        <w:gridCol w:w="124"/>
        <w:gridCol w:w="3691"/>
        <w:gridCol w:w="109"/>
        <w:gridCol w:w="109"/>
        <w:gridCol w:w="4624"/>
        <w:gridCol w:w="155"/>
      </w:tblGrid>
      <w:tr>
        <w:trPr/>
        <w:tc>
          <w:tcPr>
            <w:tcW w:w="124"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0"/>
              <w:jc w:val="left"/>
              <w:rPr/>
            </w:pPr>
            <w:r>
              <w:rPr>
                <w:spacing w:val="4"/>
              </w:rPr>
              <w:t>/s/ Professor Amnon Shashua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Professor Amnon Shashua</w:t>
            </w:r>
            <w:r>
              <w:rPr/>
              <w:t xml:space="preserve"> </w:t>
              <w:br/>
            </w:r>
            <w:r>
              <w:rPr>
                <w:spacing w:val="4"/>
              </w:rPr>
              <w:t>Chief Executive Officer, President and Director (Principal Executive Officer)</w:t>
            </w:r>
            <w:r>
              <w:rPr/>
              <w:t xml:space="preserve"> </w:t>
              <w:br/>
            </w:r>
            <w:r>
              <w:rPr>
                <w:spacing w:val="4"/>
              </w:rPr>
              <w:t xml:space="preserve">Date: March 14,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4" w:type="dxa"/>
            <w:tcBorders/>
            <w:vAlign w:val="center"/>
          </w:tcPr>
          <w:p>
            <w:pPr>
              <w:pStyle w:val="TableContents"/>
              <w:bidi w:val="0"/>
              <w:spacing w:before="0" w:after="0"/>
              <w:jc w:val="left"/>
              <w:rPr/>
            </w:pPr>
            <w:r>
              <w:rPr>
                <w:spacing w:val="4"/>
              </w:rPr>
              <w:t>/s/ Moran Shemesh Rojansky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Moran Shemesh Rojansky</w:t>
            </w:r>
            <w:r>
              <w:rPr/>
              <w:t xml:space="preserve"> </w:t>
              <w:br/>
            </w:r>
            <w:r>
              <w:rPr>
                <w:spacing w:val="4"/>
              </w:rPr>
              <w:t>Chief Financial Officer (Principal Financial Officer and Principal Accounting Officer)</w:t>
            </w:r>
            <w:r>
              <w:rPr/>
              <w:t xml:space="preserve"> </w:t>
              <w:br/>
            </w:r>
            <w:r>
              <w:rPr>
                <w:spacing w:val="4"/>
              </w:rPr>
              <w:t xml:space="preserve">Date: March 14,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0"/>
              <w:jc w:val="left"/>
              <w:rPr/>
            </w:pPr>
            <w:r>
              <w:rPr>
                <w:spacing w:val="4"/>
              </w:rPr>
              <w:t>/s/ Patrick P. Gelsinger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Patrick P. Gelsinger</w:t>
            </w:r>
            <w:r>
              <w:rPr/>
              <w:t xml:space="preserve"> </w:t>
              <w:br/>
            </w:r>
            <w:r>
              <w:rPr>
                <w:spacing w:val="4"/>
              </w:rPr>
              <w:t>Chair of the Board of Directors</w:t>
            </w:r>
            <w:r>
              <w:rPr/>
              <w:t xml:space="preserve"> </w:t>
              <w:br/>
            </w:r>
            <w:r>
              <w:rPr>
                <w:spacing w:val="4"/>
              </w:rPr>
              <w:t xml:space="preserve">Date: March 14,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4"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0"/>
              <w:jc w:val="left"/>
              <w:rPr/>
            </w:pPr>
            <w:r>
              <w:rPr>
                <w:spacing w:val="4"/>
              </w:rPr>
              <w:t>/s/ Eyal Desheh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Eyal Desheh </w:t>
            </w:r>
            <w:r>
              <w:rPr/>
              <w:br/>
            </w:r>
            <w:r>
              <w:rPr>
                <w:spacing w:val="4"/>
              </w:rPr>
              <w:t>Director</w:t>
            </w:r>
            <w:r>
              <w:rPr/>
              <w:t xml:space="preserve"> </w:t>
              <w:br/>
            </w:r>
            <w:r>
              <w:rPr>
                <w:spacing w:val="4"/>
              </w:rPr>
              <w:t xml:space="preserve">Date: March 14,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4" w:type="dxa"/>
            <w:tcBorders/>
            <w:vAlign w:val="center"/>
          </w:tcPr>
          <w:p>
            <w:pPr>
              <w:pStyle w:val="TableContents"/>
              <w:bidi w:val="0"/>
              <w:spacing w:before="0" w:after="0"/>
              <w:jc w:val="left"/>
              <w:rPr/>
            </w:pPr>
            <w:r>
              <w:rPr>
                <w:spacing w:val="4"/>
              </w:rPr>
              <w:t>/s/ Jon M. Huntsman,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Jon M. Huntsman, Jr.</w:t>
            </w:r>
            <w:r>
              <w:rPr/>
              <w:t xml:space="preserve"> </w:t>
              <w:br/>
            </w:r>
            <w:r>
              <w:rPr>
                <w:spacing w:val="4"/>
              </w:rPr>
              <w:t>Director</w:t>
            </w:r>
            <w:r>
              <w:rPr/>
              <w:t xml:space="preserve"> </w:t>
              <w:br/>
            </w:r>
            <w:r>
              <w:rPr>
                <w:spacing w:val="4"/>
              </w:rPr>
              <w:t xml:space="preserve">Date: March 14,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0"/>
              <w:jc w:val="left"/>
              <w:rPr/>
            </w:pPr>
            <w:r>
              <w:rPr>
                <w:spacing w:val="4"/>
              </w:rPr>
              <w:t>/s/ Claire C. McCaskill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Claire C. McCaskill</w:t>
            </w:r>
            <w:r>
              <w:rPr/>
              <w:t xml:space="preserve"> </w:t>
              <w:br/>
            </w:r>
            <w:r>
              <w:rPr>
                <w:spacing w:val="4"/>
              </w:rPr>
              <w:t>Director</w:t>
            </w:r>
            <w:r>
              <w:rPr/>
              <w:t xml:space="preserve"> </w:t>
              <w:br/>
            </w:r>
            <w:r>
              <w:rPr>
                <w:spacing w:val="4"/>
              </w:rPr>
              <w:t xml:space="preserve">Date: March 14,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4" w:type="dxa"/>
            <w:tcBorders/>
            <w:vAlign w:val="center"/>
          </w:tcPr>
          <w:p>
            <w:pPr>
              <w:pStyle w:val="TableContents"/>
              <w:bidi w:val="0"/>
              <w:spacing w:before="0" w:after="0"/>
              <w:jc w:val="left"/>
              <w:rPr/>
            </w:pPr>
            <w:r>
              <w:rPr>
                <w:spacing w:val="4"/>
              </w:rPr>
              <w:t>/s/ Christine Pambianchi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Christine Pambianchi</w:t>
            </w:r>
            <w:r>
              <w:rPr/>
              <w:t xml:space="preserve"> </w:t>
              <w:br/>
            </w:r>
            <w:r>
              <w:rPr>
                <w:spacing w:val="4"/>
              </w:rPr>
              <w:t>Director</w:t>
            </w:r>
            <w:r>
              <w:rPr/>
              <w:t xml:space="preserve"> </w:t>
              <w:br/>
            </w:r>
            <w:r>
              <w:rPr>
                <w:spacing w:val="4"/>
              </w:rPr>
              <w:t xml:space="preserve">Date: March 14,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91" w:type="dxa"/>
            <w:tcBorders/>
            <w:vAlign w:val="center"/>
          </w:tcPr>
          <w:p>
            <w:pPr>
              <w:pStyle w:val="TableContents"/>
              <w:bidi w:val="0"/>
              <w:spacing w:before="0" w:after="0"/>
              <w:jc w:val="left"/>
              <w:rPr/>
            </w:pPr>
            <w:r>
              <w:rPr>
                <w:spacing w:val="4"/>
              </w:rPr>
              <w:t>/s/ Frank D. Yeary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Frank D. Yeary </w:t>
            </w:r>
            <w:r>
              <w:rPr/>
              <w:br/>
            </w:r>
            <w:r>
              <w:rPr>
                <w:spacing w:val="4"/>
              </w:rPr>
              <w:t>Director</w:t>
            </w:r>
            <w:r>
              <w:rPr/>
              <w:t xml:space="preserve"> </w:t>
              <w:br/>
            </w:r>
            <w:r>
              <w:rPr>
                <w:spacing w:val="4"/>
              </w:rPr>
              <w:t xml:space="preserve">Date: March 14,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4" w:type="dxa"/>
            <w:tcBorders/>
            <w:vAlign w:val="center"/>
          </w:tcPr>
          <w:p>
            <w:pPr>
              <w:pStyle w:val="TableContents"/>
              <w:bidi w:val="0"/>
              <w:spacing w:before="0" w:after="0"/>
              <w:jc w:val="left"/>
              <w:rPr/>
            </w:pPr>
            <w:r>
              <w:rPr>
                <w:spacing w:val="4"/>
              </w:rPr>
              <w:t>/s/ Saf Yeboah-Amankwah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Saf Yeboah-Amankwah</w:t>
            </w:r>
            <w:r>
              <w:rPr/>
              <w:t xml:space="preserve"> </w:t>
              <w:br/>
            </w:r>
            <w:r>
              <w:rPr>
                <w:spacing w:val="4"/>
              </w:rPr>
              <w:t>Director</w:t>
            </w:r>
            <w:r>
              <w:rPr/>
              <w:t xml:space="preserve"> </w:t>
              <w:br/>
            </w:r>
            <w:r>
              <w:rPr>
                <w:spacing w:val="4"/>
              </w:rPr>
              <w:t>Date: March 14, 2024</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caps w:val="false"/>
          <w:smallCaps w:val="false"/>
        </w:rPr>
      </w:pPr>
      <w:bookmarkStart w:id="18" w:name="tm248244d2_ex4-1.htm"/>
      <w:bookmarkStart w:id="19" w:name="kstm248244d2_ex41"/>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b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____________ 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1100"/>
        <w:gridCol w:w="6275"/>
        <w:gridCol w:w="560"/>
      </w:tblGrid>
      <w:tr>
        <w:trPr/>
        <w:tc>
          <w:tcPr>
            <w:tcW w:w="1100" w:type="dxa"/>
            <w:tcBorders/>
            <w:vAlign w:val="center"/>
          </w:tcPr>
          <w:p>
            <w:pPr>
              <w:pStyle w:val="TableContents"/>
              <w:bidi w:val="0"/>
              <w:spacing w:before="0" w:after="283"/>
              <w:jc w:val="center"/>
              <w:rPr/>
            </w:pPr>
            <w:r>
              <w:rPr/>
              <w:t> </w:t>
            </w:r>
          </w:p>
        </w:tc>
        <w:tc>
          <w:tcPr>
            <w:tcW w:w="6275"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smallCaps/>
                <w:u w:val="single"/>
              </w:rPr>
            </w:pPr>
            <w:r>
              <w:rPr>
                <w:smallCaps/>
                <w:u w:val="single"/>
              </w:rPr>
              <w:t>Page</w:t>
            </w:r>
          </w:p>
        </w:tc>
      </w:tr>
      <w:tr>
        <w:trPr/>
        <w:tc>
          <w:tcPr>
            <w:tcW w:w="1100" w:type="dxa"/>
            <w:tcBorders/>
            <w:vAlign w:val="center"/>
          </w:tcPr>
          <w:p>
            <w:pPr>
              <w:pStyle w:val="TableContents"/>
              <w:bidi w:val="0"/>
              <w:spacing w:before="0" w:after="283"/>
              <w:jc w:val="center"/>
              <w:rPr/>
            </w:pPr>
            <w:r>
              <w:rPr/>
              <w:t> </w:t>
            </w:r>
          </w:p>
        </w:tc>
        <w:tc>
          <w:tcPr>
            <w:tcW w:w="6275"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r>
      <w:tr>
        <w:trPr/>
        <w:tc>
          <w:tcPr>
            <w:tcW w:w="793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w:t>
            </w:r>
          </w:p>
        </w:tc>
      </w:tr>
      <w:tr>
        <w:trPr/>
        <w:tc>
          <w:tcPr>
            <w:tcW w:w="7935"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Definitions and Incorporation by Reference</w:t>
            </w:r>
          </w:p>
        </w:tc>
      </w:tr>
      <w:tr>
        <w:trPr/>
        <w:tc>
          <w:tcPr>
            <w:tcW w:w="7935"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Definitions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Definitions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Incorporation by Reference of Trust Indenture Act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of Construction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793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2</w:t>
            </w:r>
          </w:p>
        </w:tc>
      </w:tr>
      <w:tr>
        <w:trPr/>
        <w:tc>
          <w:tcPr>
            <w:tcW w:w="7935"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The Securities</w:t>
            </w:r>
          </w:p>
        </w:tc>
      </w:tr>
      <w:tr>
        <w:trPr/>
        <w:tc>
          <w:tcPr>
            <w:tcW w:w="7935"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 and Dating</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Execution And Authentication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Amount Unlimited; Issuable in Series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Denomination and Date of Securities; Payments of Interest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Registrar and Paying Agent; Agents Generally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Paying Agent to Hold Money in Trust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Transfer and Exchange</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Securities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Outstanding Securities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Temporary Securities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Cancellation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CUSIP Numbers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Defaulted Interest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Series May Include Tranches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793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3</w:t>
            </w:r>
          </w:p>
        </w:tc>
      </w:tr>
      <w:tr>
        <w:trPr/>
        <w:tc>
          <w:tcPr>
            <w:tcW w:w="7935"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Redemption</w:t>
            </w:r>
          </w:p>
        </w:tc>
      </w:tr>
      <w:tr>
        <w:trPr/>
        <w:tc>
          <w:tcPr>
            <w:tcW w:w="7935"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Applicability of Article</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Redemption; Partial Redemptions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of Securities Called for Redemption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Exclusion of Certain Securities from Eligibility for Selection for Redemption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Mandatory and Optional Sinking Funds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793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4</w:t>
            </w:r>
          </w:p>
        </w:tc>
      </w:tr>
      <w:tr>
        <w:trPr/>
        <w:tc>
          <w:tcPr>
            <w:tcW w:w="7935"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Covenants</w:t>
            </w:r>
          </w:p>
        </w:tc>
      </w:tr>
      <w:tr>
        <w:trPr/>
        <w:tc>
          <w:tcPr>
            <w:tcW w:w="7935"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of Securities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Maintenance of Office or Agency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Securityholders’ Lists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Certificate to Trustee</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Reports by the Company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960" w:type="dxa"/>
        <w:jc w:val="left"/>
        <w:tblInd w:w="0" w:type="dxa"/>
        <w:tblLayout w:type="fixed"/>
        <w:tblCellMar>
          <w:top w:w="0" w:type="dxa"/>
          <w:left w:w="0" w:type="dxa"/>
          <w:bottom w:w="0" w:type="dxa"/>
          <w:right w:w="0" w:type="dxa"/>
        </w:tblCellMar>
      </w:tblPr>
      <w:tblGrid>
        <w:gridCol w:w="1100"/>
        <w:gridCol w:w="5615"/>
        <w:gridCol w:w="245"/>
      </w:tblGrid>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5</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Successor Corporation</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When Company May Merge,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6</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Default and Remedies</w:t>
            </w:r>
          </w:p>
        </w:tc>
      </w:tr>
      <w:tr>
        <w:trPr/>
        <w:tc>
          <w:tcPr>
            <w:tcW w:w="6960"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of Holders to Receive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Application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7</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Trustee</w:t>
            </w:r>
          </w:p>
        </w:tc>
      </w:tr>
      <w:tr>
        <w:trPr/>
        <w:tc>
          <w:tcPr>
            <w:tcW w:w="6960"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Individual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Reports by Trustee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Trustee By Merger,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8</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Satisfaction and Discharge of Indenture; Unclaimed Moneys</w:t>
            </w:r>
          </w:p>
        </w:tc>
      </w:tr>
      <w:tr>
        <w:trPr/>
        <w:tc>
          <w:tcPr>
            <w:tcW w:w="6960"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Application by Trustee of Funds Deposited for Payment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Repayment of Moneys Held by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420" w:type="dxa"/>
        <w:jc w:val="left"/>
        <w:tblInd w:w="0" w:type="dxa"/>
        <w:tblLayout w:type="fixed"/>
        <w:tblCellMar>
          <w:top w:w="0" w:type="dxa"/>
          <w:left w:w="0" w:type="dxa"/>
          <w:bottom w:w="0" w:type="dxa"/>
          <w:right w:w="0" w:type="dxa"/>
        </w:tblCellMar>
      </w:tblPr>
      <w:tblGrid>
        <w:gridCol w:w="1205"/>
        <w:gridCol w:w="7970"/>
        <w:gridCol w:w="245"/>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Return of Moneys Held by Trustee and Paying Agent Unclaimed for Two Years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Defeasance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Defeasance of Certain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Reinstatement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Excess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Qualifying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9</w:t>
            </w:r>
          </w:p>
        </w:tc>
      </w:tr>
      <w:tr>
        <w:trPr/>
        <w:tc>
          <w:tcPr>
            <w:tcW w:w="94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Amendments, Supplements and Waivers</w:t>
            </w:r>
          </w:p>
        </w:tc>
      </w:tr>
      <w:tr>
        <w:trPr/>
        <w:tc>
          <w:tcPr>
            <w:tcW w:w="9420" w:type="dxa"/>
            <w:gridSpan w:val="3"/>
            <w:tcBorders/>
            <w:vAlign w:val="center"/>
          </w:tcPr>
          <w:p>
            <w:pPr>
              <w:pStyle w:val="TableContents"/>
              <w:bidi w:val="0"/>
              <w:spacing w:before="0" w:after="283"/>
              <w:jc w:val="center"/>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Revocation and Effect of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Notation on or Exchange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 to Sign Amendments,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10</w:t>
            </w:r>
          </w:p>
        </w:tc>
      </w:tr>
      <w:tr>
        <w:trPr/>
        <w:tc>
          <w:tcPr>
            <w:tcW w:w="94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Miscellaneous</w:t>
            </w:r>
          </w:p>
        </w:tc>
      </w:tr>
      <w:tr>
        <w:trPr/>
        <w:tc>
          <w:tcPr>
            <w:tcW w:w="9420" w:type="dxa"/>
            <w:gridSpan w:val="3"/>
            <w:tcBorders/>
            <w:vAlign w:val="center"/>
          </w:tcPr>
          <w:p>
            <w:pPr>
              <w:pStyle w:val="TableContents"/>
              <w:bidi w:val="0"/>
              <w:spacing w:before="0" w:after="283"/>
              <w:jc w:val="center"/>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 Indenture Act of 1939</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Certificate and Opinion as to Conditions Precedent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Statements Required in Certificate or Opinion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Evidence of Ownership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by Trustee, Paying Agent or Registrar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Date Other Than a Business Day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Duplicate Originals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Separability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Incorporators, Stockholders, Officers and Directors of Company Exempt from Individual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Judgment Currency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INDENTURE, dated as of ______ __, 20__, between Mobileye Global Inc., a Delaware corporation, as the Company, and [__],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senior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and of the coupons, if any, appertaining thereto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(which, in the case of The City of New York, will, if practicable, be The Wall Street Journal (Eastern Edition) and in the case of London, will, if practicable, be the Financial Times (London Edition) and published in an official language of the country of publication customarily published at least once a day for at least five days in each calendar week and of general circulation in The City of New York or London, as applicable.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 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means, with respect to any Person, any lease of any property which, in conformity with GAAP, is required to be capitalized on the balance sheet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with respect to any Person, any foreign exchange contract, currency swap agreement or other similar agreement or arrangement designed to protect such Person or any of its Subsidiaries against fluctuations in currency values to or under which such Person or any of its Subsidiaries is a party or a beneficiary on the date hereof or becomes a party or a beneficiary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means, with respect to any Person at any date of determination (without duplication), (i) all indebtedness of such Person for borrowed money, (ii) all obligations of such Person evidenced by bonds, debentures, notes or other similar instruments, (iii) all obligations of such Person in respect of letters of credit or bankers’ acceptance or other similar instruments (or reimbursement obligations with respect thereto), (iv) all obligations of such Person to pay the deferred purchase price of property or services, except Trade Payables, (v) all obligations of such Person as lessee under Capital Leases, (vi) all Debt of others secured by a Lien on any asset of such Person, whether or not such Debt is assumed by such Person; provided that, for purposes of determining the amount of any Debt of the type described in this clause, if recourse with respect to such Debt is limited to such asset, the amount of such Debt shall be limited to the lesser of the fair market value of such asset or the amount of such Debt, (vii) all Debt of others Guaranteed by such Person to the extent such Debt is Guaranteed by such Person, (viii) all redeemable stock valued at the greater of its voluntary or involuntary liquidation preference plus accrued and unpaid dividends and (ix) to the extent not otherwise included in this definition, all obligations of such Person under Currency Agreements and Interest Rate Agreements.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U.S. as in effect as of the date hereof applied on a basis consistent with the principles, methods, procedures and practices employed in the preparation of the Company’s audited financial statements,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is approved by a significant segment of the accounting profession.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Debt or other obligation of any other Person and, without limiting the generality of the foregoing, any obligation, direct or indirect, contingent or otherwise, of such Person (i) to purchase or pay (or advance or supply funds for the purchase or payment of) such Debt or other obligation of such other Person (whether arising by virtue of partnership arrangements, or by agreement to keepwell, to purchase assets, goods, securities or services, to take-or-pay, or to maintain financial statement conditions or otherwise) or (ii) entered into for purposes of assuring in any other manner the obligee of such Debt or other obligation of the payment thereof or to protect such obligee against loss in respect thereof (in whole or in part); provided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 with respect to Registered Securities and the bearer of any Unregistered Security or any coupon appertaining thereto, as the case may be.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Rate Agreement</w:t>
      </w:r>
      <w:r>
        <w:rPr>
          <w:rFonts w:ascii="Times New Roman;Times;Serif" w:hAnsi="Times New Roman;Times;Serif"/>
          <w:b w:val="false"/>
          <w:i w:val="false"/>
          <w:caps w:val="false"/>
          <w:smallCaps w:val="false"/>
          <w:sz w:val="20"/>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designed to protect such Person or any of its Subsidiaries against fluctuations in interest rates to or under which such Person or any of its Subsidiaries is a party or a beneficiary on the date hereof or becomes a party or a beneficiary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any mortgage, lien, pledge, charge, security interest or encumbrance of any kind in respect of such property. For purposes of this Indenture, the Company shall be deemed to own subject to a Lien any property which it has acquired or holds subject to the interest of a vendor or lessor under any conditional sale agreement, capital lease or other title retention agreement relating to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vice president, the chief financial officer, the treasurer or any assistant treasurer,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2.02, and bearing the legend prescribed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Security Register (as defined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 and, unless the context indicates otherwise, shall include any coupon appertaining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Trade Payables</w:t>
      </w:r>
      <w:r>
        <w:rPr>
          <w:rFonts w:ascii="Times New Roman;Times;Serif" w:hAnsi="Times New Roman;Times;Serif"/>
          <w:b w:val="false"/>
          <w:i w:val="false"/>
          <w:caps w:val="false"/>
          <w:smallCaps w:val="false"/>
          <w:sz w:val="20"/>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Unregistered Security</w:t>
      </w:r>
      <w:r>
        <w:rPr>
          <w:rFonts w:ascii="Times New Roman;Times;Serif" w:hAnsi="Times New Roman;Times;Serif"/>
          <w:b w:val="false"/>
          <w:i w:val="false"/>
          <w:caps w:val="false"/>
          <w:smallCaps w:val="false"/>
          <w:sz w:val="20"/>
        </w:rPr>
        <w:t>” means any Security other than a Registered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rPr>
        <w:t xml:space="preserve">Other Definitions.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3625" w:type="dxa"/>
        <w:jc w:val="center"/>
        <w:tblInd w:w="0" w:type="dxa"/>
        <w:tblLayout w:type="fixed"/>
        <w:tblCellMar>
          <w:top w:w="0" w:type="dxa"/>
          <w:left w:w="0" w:type="dxa"/>
          <w:bottom w:w="28" w:type="dxa"/>
          <w:right w:w="0" w:type="dxa"/>
        </w:tblCellMar>
      </w:tblPr>
      <w:tblGrid>
        <w:gridCol w:w="2735"/>
        <w:gridCol w:w="60"/>
        <w:gridCol w:w="60"/>
        <w:gridCol w:w="695"/>
        <w:gridCol w:w="75"/>
      </w:tblGrid>
      <w:tr>
        <w:trPr/>
        <w:tc>
          <w:tcPr>
            <w:tcW w:w="273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pBdr>
                <w:bottom w:val="single" w:sz="6"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Authenticating Agent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Transaction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7.03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6.01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10.15(a)</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sinking fund payment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sinking fund payment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10.15(a)</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Register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self-liquidating paper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7.03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payment date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caps w:val="false"/>
          <w:smallCaps w:val="false"/>
          <w:sz w:val="20"/>
        </w:rPr>
        <w:t xml:space="preserve">Incorporation by Reference of Trust Indenture Act. </w:t>
      </w:r>
      <w:r>
        <w:rPr>
          <w:rFonts w:ascii="Times New Roman;Times;Serif" w:hAnsi="Times New Roman;Times;Serif"/>
          <w:b w:val="false"/>
          <w:i w:val="false"/>
          <w:caps w:val="false"/>
          <w:smallCaps w:val="false"/>
          <w:sz w:val="20"/>
        </w:rPr>
        <w:t>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caps w:val="false"/>
          <w:smallCaps w:val="false"/>
          <w:sz w:val="20"/>
        </w:rPr>
        <w:t xml:space="preserve">Rules of Construction. </w:t>
      </w: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in the singular include the plural, and words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“herein,” “hereof”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Sections or Articles refer to Sections or Articles of this Indenture unless otherwise indicated;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of masculine, feminine or neuter pronouns should not be deemed a limitation, and the use of any such pronouns should be construed to include, where appropriate, the other pronouns.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 xml:space="preserve">Form and Dating. </w:t>
      </w:r>
      <w:r>
        <w:rPr>
          <w:rFonts w:ascii="Times New Roman;Times;Serif" w:hAnsi="Times New Roman;Times;Serif"/>
          <w:b w:val="false"/>
          <w:i w:val="false"/>
          <w:caps w:val="false"/>
          <w:smallCaps w:val="false"/>
          <w:sz w:val="20"/>
        </w:rPr>
        <w:t>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 Unless otherwise so established, Unregistered Securities shall have coupons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 xml:space="preserve">Execution And Authentication. </w:t>
      </w:r>
      <w:r>
        <w:rPr>
          <w:rFonts w:ascii="Times New Roman;Times;Serif" w:hAnsi="Times New Roman;Times;Serif"/>
          <w:b w:val="false"/>
          <w:i w:val="false"/>
          <w:caps w:val="false"/>
          <w:smallCaps w:val="false"/>
          <w:sz w:val="20"/>
        </w:rPr>
        <w:t>Two Officers shall execute the Securities and one Officer shall execute the coupons appertaining thereto for the Company by facsimile or manual signature in the name and on behalf of the Company. The seal of the Company, if any, shall be reproduced on the Securities. If an Officer whose signature is on a Security or coupon appertaining thereto no longer holds that office at the time the Security is authenticated, the Security and such coupon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and the coupons appertaining thereto shall not be valid until the Trustee or Authenticating Agent manually signs the certificate of authentication on the Security or on the Security to which such coupon appertains by an authorized officer. The signature shall be conclusive evidence that the Security or the Security to which the coupon appertains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having attached thereto appropriate coupons, if any,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Board Resolution and/or executed supplemental indenture referred to in Sections ‎2.01 and ‎2.03 by or pursuant to which the forms and terms of the Securities of that series were established;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 xml:space="preserve">Amount Unlimited; 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shall distinguish the Securities of the series from the Securities of all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(which date or dates may be fixed or extendible);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at which the Securities of the series shall bear interest, if any, the date or dates from which such interest shall accrue, on which such interest shall be payable and (in the case of Registered Securities) on which a record shall be taken for the determination of Holders to whom interest is payable and/or the method by which such rate or rates or date or dates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as provided in ‎Section 4.02, the place or places where the principal of and any interest on Securities of the series shall be payable, any Registered Securities of the series may be surrendered for exchange, notices, demands to or upon the Company in respect of the Securities of the series and this Indenture may be served and notice to Holders may be published;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denominations of $1,000 and any integral multiple thereof, the denominations in which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the Securities of the series or any portion thereof will be issuable as Registered Securities (and if so, whether such Securities will be issuable as Registered Global Securities) or Unregistered Securities (with or without coupons) (and if so, whether such Securities will be issued in temporary or permanent global form), or any combination of the foregoing, any restrictions applicable to the offer, sale or delivery of Unregistered Securities or the payment of interest thereon and, if other than as provided herein, the terms upon which Unregistered Securities of any series may be exchanged for Registered Securities of such series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trustees, depositaries, authenticating or paying agents, transfer agents or the registrar or any other agents with respect to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the Securities of the series are issuable in whole or in part as one or more Registered Global Securities or Unregistered Securities in global form, the identity of the Depositary or common Depositary for such Registered Global Security or Securities or Unregistered Securities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other Events of Default or covenants with respect to the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terms of the Securities of the series (which terms shall not be inconsistent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and coupons, if any, appertaining thereto shall be substantially identical, except in the case of Registered Securities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 xml:space="preserve">Denomination and Date of Securities; Payments of Interest. </w:t>
      </w:r>
      <w:r>
        <w:rPr>
          <w:rFonts w:ascii="Times New Roman;Times;Serif" w:hAnsi="Times New Roman;Times;Serif"/>
          <w:b w:val="false"/>
          <w:i w:val="false"/>
          <w:caps w:val="false"/>
          <w:smallCaps w:val="false"/>
          <w:sz w:val="20"/>
        </w:rPr>
        <w:t>The Securities of each series shall be issuable as Registered Securities or Unregistered Securities in denominations established as contemplated by Section 2.03 or, if not so established with respect to Securities of any series, in denominations of $1,000 and any integral multiple thereof.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Registered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Registered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 xml:space="preserve">Registrar and Paying Agent; Agents Generally. </w:t>
      </w:r>
      <w:r>
        <w:rPr>
          <w:rFonts w:ascii="Times New Roman;Times;Serif" w:hAnsi="Times New Roman;Times;Serif"/>
          <w:b w:val="false"/>
          <w:i w:val="false"/>
          <w:caps w:val="false"/>
          <w:smallCaps w:val="false"/>
          <w:sz w:val="20"/>
        </w:rPr>
        <w:t>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 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 The Company shall cause the Registrar to keep a register of the Registered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 xml:space="preserve">Paying Agent to Hold Money in Trust. </w:t>
      </w:r>
      <w:r>
        <w:rPr>
          <w:rFonts w:ascii="Times New Roman;Times;Serif" w:hAnsi="Times New Roman;Times;Serif"/>
          <w:b w:val="false"/>
          <w:i w:val="false"/>
          <w:caps w:val="false"/>
          <w:smallCaps w:val="false"/>
          <w:sz w:val="20"/>
        </w:rPr>
        <w:t>Not later than 10:00 a.m. New York City time on each due date or, in the case of Unregistered Securities, 10:00 a.m. New York City time on the Business Day prior to the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 xml:space="preserve">Transfer and Exchange. </w:t>
      </w:r>
      <w:r>
        <w:rPr>
          <w:rFonts w:ascii="Times New Roman;Times;Serif" w:hAnsi="Times New Roman;Times;Serif"/>
          <w:b w:val="false"/>
          <w:i w:val="false"/>
          <w:caps w:val="false"/>
          <w:smallCaps w:val="false"/>
          <w:sz w:val="20"/>
        </w:rPr>
        <w:t>Unregistered Securities (except for any temporary global Unregistered Securities) and coupons (except for coupons attached to any temporary global Unregistered Securities) shall be transferable by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Company that shall be maintained for such purpose in accordance with ‎Section 2.05 and upon payment, if the Company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Company that shall be maintained for such purpose in accordance with ‎Section 4.02, with, in the case of Unregistered Securities that have coupons attached, all unmatured coupons and all matured coupons in default thereto appertaining, and upon payment, if the Company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Company that shall be maintained for such purpose in accordance with ‎Section 4.02, with, in the case of Unregistered Securities that have coupons attached, all unmatured coupons and all matured coupons in default thereto appertaining, and upon payment, if the Company shall so require, of the charges hereinafter provided. Registered Securities of any series may not be exchanged for Unregistered Securities of such series.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Registered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Registered Securities of the same series, of any authorized denominations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Registered Securities of such series and tenor, will authenticate and deliver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Registered Securities of such series and tenor, will authenticate and deliver,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Company agrees to supply the Trustee with a reasonable supply of certificated Registered Securities without the legend required by ‎Section 2.02 and the Trustee agrees to hold such Registered Securities in safekeeping until authenticated and delivered pursuant to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Company, the Trustee or any agent of the Company or the Trustee shall be required to exchange any Unregistered Security for a Registered Security if such exchange would result in adverse Federal income tax consequences to the Company (such as, for example, the inability of the Company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 xml:space="preserve">Replacement Securities. </w:t>
      </w:r>
      <w:r>
        <w:rPr>
          <w:rFonts w:ascii="Times New Roman;Times;Serif" w:hAnsi="Times New Roman;Times;Serif"/>
          <w:b w:val="false"/>
          <w:i w:val="false"/>
          <w:caps w:val="false"/>
          <w:smallCaps w:val="false"/>
          <w:sz w:val="20"/>
        </w:rPr>
        <w:t>If any mutilated Security or a Security with a mutilated coupon appertaining to it is surrendered to the Trustee, the Company shall execute and the Trustee shall authenticate and deliver, in exchange for such mutilated Security or in exchange for the Security to which a mutilated coupon appertains, a new Security of the same series and of like tenor and principal amount and bearing a number not contemporaneously outstanding, with coupons corresponding to the coupons, if any, appertaining to such mutilated Security or to the Security to which such mutilated coupon appertains.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or coupon and (ii) such security or indemnity as may be required by them to save each of them and any agent of any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any such mutilated, destroyed, lost or stolen Security or coupon has become or is about to become due and payable, the Company in its discretion may, instead of issuing a new Security, pay such Security or coupon (without surrender thereof except in the case of a mutilated Security or coupon)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Principal of and any interest on Unregistered Securities shall, except as otherwise provided in ‎Section 4.02, be payable only at an office or agency located outside the United States.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with its coupons, if any, issued pursuant to this Section in lieu of any destroyed, lost or stolen Security or in exchange for any mutilated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 or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 xml:space="preserve">Outstanding Securities. </w:t>
      </w:r>
      <w:r>
        <w:rPr>
          <w:rFonts w:ascii="Times New Roman;Times;Serif" w:hAnsi="Times New Roman;Times;Serif"/>
          <w:b w:val="false"/>
          <w:i w:val="false"/>
          <w:caps w:val="false"/>
          <w:smallCaps w:val="false"/>
          <w:sz w:val="20"/>
        </w:rPr>
        <w:t>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 xml:space="preserve">Temporary Securities. </w:t>
      </w:r>
      <w:r>
        <w:rPr>
          <w:rFonts w:ascii="Times New Roman;Times;Serif" w:hAnsi="Times New Roman;Times;Serif"/>
          <w:b w:val="false"/>
          <w:i w:val="false"/>
          <w:caps w:val="false"/>
          <w:smallCaps w:val="false"/>
          <w:sz w:val="20"/>
        </w:rPr>
        <w:t>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 xml:space="preserve">Cancellation. </w:t>
      </w:r>
      <w:r>
        <w:rPr>
          <w:rFonts w:ascii="Times New Roman;Times;Serif" w:hAnsi="Times New Roman;Times;Serif"/>
          <w:b w:val="false"/>
          <w:i w:val="false"/>
          <w:caps w:val="false"/>
          <w:smallCaps w:val="false"/>
          <w:sz w:val="20"/>
        </w:rPr>
        <w:t>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Company in issuing the Securities may use “CUSIP” and “CINS” numbers (if then generally in use), and the Trustee shall use CUSIP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rPr>
        <w:t xml:space="preserve">Defaulted Interest. </w:t>
      </w:r>
      <w:r>
        <w:rPr>
          <w:rFonts w:ascii="Times New Roman;Times;Serif" w:hAnsi="Times New Roman;Times;Serif"/>
          <w:b w:val="false"/>
          <w:i w:val="false"/>
          <w:caps w:val="false"/>
          <w:smallCaps w:val="false"/>
          <w:sz w:val="20"/>
        </w:rPr>
        <w:t>If the Company defaults in a payment of interest on the Registered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Registered Securities and to the Trustee a notice that states the special record date, the payment date and the amount of defaulted interest to be paid.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caps w:val="false"/>
          <w:smallCaps w:val="false"/>
          <w:sz w:val="20"/>
        </w:rPr>
        <w:t xml:space="preserve">Series May Include Tranches. </w:t>
      </w:r>
      <w:r>
        <w:rPr>
          <w:rFonts w:ascii="Times New Roman;Times;Serif" w:hAnsi="Times New Roman;Times;Serif"/>
          <w:b w:val="false"/>
          <w:i w:val="false"/>
          <w:caps w:val="false"/>
          <w:smallCaps w:val="false"/>
          <w:sz w:val="20"/>
        </w:rPr>
        <w:t>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with respect to Sections ‎2.02 (other than the fourth, sixth and seventh paragraphs thereof) through ‎2.04, ‎2.07, ‎2.08, ‎2.10, ‎3.01 through ‎3.05, ‎4.02, ‎6.01 through ‎6.14, ‎8.01 through ‎8.07, ‎9.02 and ‎Section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 xml:space="preserve">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 xml:space="preserve">Notice of Redemption; Partial Redemptions. </w:t>
      </w:r>
      <w:r>
        <w:rPr>
          <w:rFonts w:ascii="Times New Roman;Times;Serif" w:hAnsi="Times New Roman;Times;Serif"/>
          <w:b w:val="false"/>
          <w:i w:val="false"/>
          <w:caps w:val="false"/>
          <w:smallCaps w:val="false"/>
          <w:sz w:val="20"/>
        </w:rPr>
        <w:t>Notice of redemption to the Holders of Registered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Registered Securities of such series at their last addresses as they shall appear upon the registry books. Notice of redemption to the Holders of Unregistered Securities of any series to be redeemed as a whole or in part who have filed their names and addresses with the Trustee pursuant to Section 313(c)(2) of the Trust Indenture Act, shall be given by mailing notice of such redemption, by first class mail, postage prepaid, at least 30 days and not more than 60 days prior to the date fixed for redemption, to such Holders at such addresses as were so furnished to the Trustee (and, in the case of any such notice given by the Company, the Trustee shall make such information available to the Company for such purpose). Notice of redemption to all other Holders of Unregistered Securities of any series to be redeemed as a whole or in part shall be published in an Authorized Newspaper in The City of New York or with respect to any Security the interest on which is based on the offered quotations in the interbank Eurodollar market for dollar deposits in an Authorized Newspaper in London, in each case, once in each of three successive calendar weeks, the first publication to be not less than 30 days nor more than 60 days prior to the date fixed for redemption.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and, in the case of Securities with coupons attached thereto, of all coupons appertaining thereto maturing after the date fixed for redemption,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or, in the case of Unregistered Securities, on or before 10:00 a.m.  New York City time on the Business Day prior to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 xml:space="preserve">Payment of Securities Called for Redemption. </w:t>
      </w:r>
      <w:r>
        <w:rPr>
          <w:rFonts w:ascii="Times New Roman;Times;Serif" w:hAnsi="Times New Roman;Times;Serif"/>
          <w:b w:val="false"/>
          <w:i w:val="false"/>
          <w:caps w:val="false"/>
          <w:smallCaps w:val="false"/>
          <w:sz w:val="20"/>
        </w:rPr>
        <w:t>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the unmatured coupons, if any, appertaining thereto shall be void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together with all coupons, if any, appertaining thereto maturing after the date fixed for redemption,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in the case of Securities with coupons attached thereto, to the Holders of the coupons for such interest upon surrender thereof, and in the case of Registered Securities, to the Holders of such Registered Securities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with coupons attached thereto is surrendered for redemption and is not accompanied by all appurtenant coupons maturing after the date fixed for redemption, the surrender of such missing coupon or coupons may be waived by the Company and the Trustee, if there be furnished to each of them such security or indemnity as they may require to save each of them harmless.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(with any unmatured coupons attached),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 xml:space="preserve">Exclusion of Certain Securities from Eligibility for Selection for Redemption. </w:t>
      </w:r>
      <w:r>
        <w:rPr>
          <w:rFonts w:ascii="Times New Roman;Times;Serif" w:hAnsi="Times New Roman;Times;Serif"/>
          <w:b w:val="false"/>
          <w:i w:val="false"/>
          <w:caps w:val="false"/>
          <w:smallCaps w:val="false"/>
          <w:sz w:val="20"/>
        </w:rPr>
        <w:t>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 xml:space="preserve">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or, in the case of Unregistered Securities, 10:00 a.m. New York City time on the Business Day prior to the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apply to each series unless otherwise provided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 xml:space="preserve">Payment of Securities. </w:t>
      </w:r>
      <w:r>
        <w:rPr>
          <w:rFonts w:ascii="Times New Roman;Times;Serif" w:hAnsi="Times New Roman;Times;Serif"/>
          <w:b w:val="false"/>
          <w:i w:val="false"/>
          <w:caps w:val="false"/>
          <w:smallCaps w:val="false"/>
          <w:sz w:val="20"/>
        </w:rPr>
        <w:t>The Company shall pay the Principal of and interest on the Securities on the dates and in the manner provided in the Securities and this Indenture. The interest on Securities with coupons attached (together with any additional amounts payable pursuant to the terms of such Securities) shall be payable only upon presentation and surrender of the several coupons for such interest installments as are evidenced thereby as they severally mature. The interest on any temporary Unregistered Securities (together with any additional amounts payable pursuant to the terms of such Securities) shall be paid, as to the installments of interest evidenced by coupons attached thereto, if any, only upon presentation and surrender thereof, and, as to the other installments of interest, if any, only upon presentation of such Unregistered Securities for notation thereon of the payment of such interest. The interest on Registered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Registered Security so agree,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 xml:space="preserve">Maintenance of Office or Agency. </w:t>
      </w:r>
      <w:r>
        <w:rPr>
          <w:rFonts w:ascii="Times New Roman;Times;Serif" w:hAnsi="Times New Roman;Times;Serif"/>
          <w:b w:val="false"/>
          <w:i w:val="false"/>
          <w:caps w:val="false"/>
          <w:smallCaps w:val="false"/>
          <w:sz w:val="20"/>
        </w:rPr>
        <w:t>The Company will maintain in the United States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Corporate Trust Office of the Trustee, located in [__],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agencies in a city or cities located outside the United States (including any city in which such an agency is required to be maintained under the rules of any stock exchange on which the Securities of any series are listed) where the Unregistered Securities, if any, of each series and coupons, if any, appertaining thereto may be presented for payment. No payment on any Unregistered Security or coupon will be made upon presentation of such Unregistered Security or coupon at an agency of the Company within the United States nor will any payment be made by transfer to an account in, or by mail to an address in, the United States unless, pursuant to applicable United States laws and regulations then in effect, such payment can be made without adverse tax consequences to the Company. Notwithstanding the foregoing, if full payment in United States Dollars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at each agency maintained by the Company outside the United States for payment on such Unregistered Securities or coupons appertaining thereto is illegal or effectively precluded by exchange controls or other similar restrictions, payments in Dollars of Unregistered Securities of any series and coupons appertaining thereto which are payable in Dollars may be made at an agency of the Company maintained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 xml:space="preserve">Securityholders’ Lists. </w:t>
      </w:r>
      <w:r>
        <w:rPr>
          <w:rFonts w:ascii="Times New Roman;Times;Serif" w:hAnsi="Times New Roman;Times;Serif"/>
          <w:b w:val="false"/>
          <w:i w:val="false"/>
          <w:caps w:val="false"/>
          <w:smallCaps w:val="false"/>
          <w:sz w:val="20"/>
        </w:rPr>
        <w:t>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 xml:space="preserve">Certificate to Trustee. </w:t>
      </w:r>
      <w:r>
        <w:rPr>
          <w:rFonts w:ascii="Times New Roman;Times;Serif" w:hAnsi="Times New Roman;Times;Serif"/>
          <w:b w:val="false"/>
          <w:i w:val="false"/>
          <w:caps w:val="false"/>
          <w:smallCaps w:val="false"/>
          <w:sz w:val="20"/>
        </w:rPr>
        <w:t>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caps w:val="false"/>
          <w:smallCaps w:val="false"/>
          <w:sz w:val="20"/>
        </w:rPr>
        <w:t xml:space="preserve">Reports by the Company. </w:t>
      </w:r>
      <w:r>
        <w:rPr>
          <w:rFonts w:ascii="Times New Roman;Times;Serif" w:hAnsi="Times New Roman;Times;Serif"/>
          <w:b w:val="false"/>
          <w:i w:val="false"/>
          <w:caps w:val="false"/>
          <w:smallCaps w:val="false"/>
          <w:sz w:val="20"/>
        </w:rPr>
        <w:t>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caps w:val="false"/>
          <w:smallCaps w:val="false"/>
          <w:sz w:val="20"/>
        </w:rPr>
        <w:t xml:space="preserve">Additional Amounts. </w:t>
      </w:r>
      <w:r>
        <w:rPr>
          <w:rFonts w:ascii="Times New Roman;Times;Serif" w:hAnsi="Times New Roman;Times;Serif"/>
          <w:b w:val="false"/>
          <w:i w:val="false"/>
          <w:caps w:val="false"/>
          <w:smallCaps w:val="false"/>
          <w:sz w:val="20"/>
        </w:rPr>
        <w:t>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Section 2.03 with respect to a series, the following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 xml:space="preserve">When Company May Merge, Etc. </w:t>
      </w:r>
      <w:r>
        <w:rPr>
          <w:rFonts w:ascii="Times New Roman;Times;Serif" w:hAnsi="Times New Roman;Times;Serif"/>
          <w:b w:val="false"/>
          <w:i w:val="false"/>
          <w:caps w:val="false"/>
          <w:smallCaps w:val="false"/>
          <w:sz w:val="20"/>
        </w:rPr>
        <w:t>The Company shall not consolidate with, merge with or into, or sell, convey, transfer, lease or otherwise dispose of all or substantially all of its property and assets (in one transaction or a series of related transactions) to, any Person unless either (x) the Company shall be the continuing Person or (y) the Person (if other than the Company) formed by such consolidation or into which the Company is merged or to which properties and assets of the Company shall be sold, conveyed, transferred or leased shall be a corporation organized and validly existing under the laws of the United States of America or any jurisdiction thereof and shall expressly assume, by a supplemental indenture, executed and delivered to the Trustee, all of the obligations of the Company on all of the Securities and under this Indenture and the Company in the case of clauses (x) and (y) shall have delivered to the Trustee (A) an Opinion of Counsel stating that such consolidation, merger or sale, conveyance, transfer or lease and such supplemental indenture (if any) complies with this provision and that all conditions precedent provided for herein relating to such transaction have been complied with and that such supplemental indenture (if any) constitutes the legal, valid and binding obligation of the Company and such successor enforceable against such entity in accordance with its terms, subject to customary exceptions and (B) an Officers’ Certificate to the effect that immediately after giving effect to such transaction,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 xml:space="preserve">Successor Substituted. </w:t>
      </w:r>
      <w:r>
        <w:rPr>
          <w:rFonts w:ascii="Times New Roman;Times;Serif" w:hAnsi="Times New Roman;Times;Serif"/>
          <w:b w:val="false"/>
          <w:i w:val="false"/>
          <w:caps w:val="false"/>
          <w:smallCaps w:val="false"/>
          <w:sz w:val="20"/>
        </w:rPr>
        <w:t>Upon any consolidation or merger, or any sale, conveyance, transfer, lease or other disposition of all or substantially all of the property and assets of the Company in accordance with Section 5.01 of this Indenture, the successor Person formed by such consolidation or into which the Company is merged or to which such sale, conveyance, transfer, lease or other disposition is made shall succeed to, and be substituted for, and may exercise every right and power of, the Company under this Indenture with the same effect as if such successor Person had been named as the Company herein and thereafter the predecessor Person, except in the case of a lease,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Unless otherwise provided in Section 2.03 with respect to a series,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the payment of the Principal of any Security of such series when the same becomes due and payable at maturity, upon acceleration, redemption or mandatory repurchase, including as a sinking fund installment,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interest on any Security of such series when the same becomes due and payable, and such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defaults in the performance of or breaches any other covenant or agreement of the Company in this Indenture with respect to any Security of such series or in the Securities of such series and such default or breach continues for a period of 30 consecutive days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established pursuant to ‎Section 2.03 with respect to the Securities of such series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 xml:space="preserve">Acceleration. </w:t>
      </w:r>
      <w:r>
        <w:rPr>
          <w:rFonts w:ascii="Times New Roman;Times;Serif" w:hAnsi="Times New Roman;Times;Serif"/>
          <w:b w:val="false"/>
          <w:i w:val="false"/>
          <w:caps w:val="false"/>
          <w:smallCaps w:val="false"/>
          <w:sz w:val="20"/>
        </w:rPr>
        <w:t>(a)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any such series then outstanding hereunder (each such series treated as a separate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such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 xml:space="preserve">Other Remedies. </w:t>
      </w:r>
      <w:r>
        <w:rPr>
          <w:rFonts w:ascii="Times New Roman;Times;Serif" w:hAnsi="Times New Roman;Times;Serif"/>
          <w:b w:val="false"/>
          <w:i w:val="false"/>
          <w:caps w:val="false"/>
          <w:smallCaps w:val="false"/>
          <w:sz w:val="20"/>
        </w:rPr>
        <w:t>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 xml:space="preserve">Waiver of Past Defaults. </w:t>
      </w:r>
      <w:r>
        <w:rPr>
          <w:rFonts w:ascii="Times New Roman;Times;Serif" w:hAnsi="Times New Roman;Times;Serif"/>
          <w:b w:val="false"/>
          <w:i w:val="false"/>
          <w:caps w:val="false"/>
          <w:smallCaps w:val="false"/>
          <w:sz w:val="20"/>
        </w:rPr>
        <w:t>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 xml:space="preserve">Control by Majority. </w:t>
      </w:r>
      <w:r>
        <w:rPr>
          <w:rFonts w:ascii="Times New Roman;Times;Serif" w:hAnsi="Times New Roman;Times;Serif"/>
          <w:b w:val="false"/>
          <w:i w:val="false"/>
          <w:caps w:val="false"/>
          <w:smallCaps w:val="false"/>
          <w:sz w:val="20"/>
        </w:rPr>
        <w:t>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(it being understood that the Trustee does not have an affirmative duty to ascertain whether any action or forbearance is unduly prejudicial to such Holders); and provided further, that the Trustee may take any other action it deems proper that is not inconsistent with any directions received from Holders of Securities pursuant to this Section 6.05; and provided further, that the Trustee may refuse to follow any direction unless indemnity and security satisfactory to the Trustee against any costs, losses or expenses caused by taking or not taking such action has been provided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 xml:space="preserve">Limitation on Suits. </w:t>
      </w:r>
      <w:r>
        <w:rPr>
          <w:rFonts w:ascii="Times New Roman;Times;Serif" w:hAnsi="Times New Roman;Times;Serif"/>
          <w:b w:val="false"/>
          <w:i w:val="false"/>
          <w:caps w:val="false"/>
          <w:smallCaps w:val="false"/>
          <w:sz w:val="20"/>
        </w:rPr>
        <w:t>No Holder of any Security of any series may institute any proceeding, judicial or otherwise, with respect to this Indenture or the Securities of such series,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to the Trustee written notice of a continuing Event of Default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Securities of all such series affected shall have made written request to the Trustee to institute proceedings in respect of such Event of Default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reasonably satisfactory to the Trustee against any costs, liabilities or expenses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Securities of all such affected series have not given the Trustee a direction that is inconsistent with such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 xml:space="preserve">Rights of Holders to Receive Payment. </w:t>
      </w:r>
      <w:r>
        <w:rPr>
          <w:rFonts w:ascii="Times New Roman;Times;Serif" w:hAnsi="Times New Roman;Times;Serif"/>
          <w:b w:val="false"/>
          <w:i w:val="false"/>
          <w:caps w:val="false"/>
          <w:smallCaps w:val="false"/>
          <w:sz w:val="20"/>
        </w:rPr>
        <w:t>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 xml:space="preserve">Collection Suit by Trustee. </w:t>
      </w:r>
      <w:r>
        <w:rPr>
          <w:rFonts w:ascii="Times New Roman;Times;Serif" w:hAnsi="Times New Roman;Times;Serif"/>
          <w:b w:val="false"/>
          <w:i w:val="false"/>
          <w:caps w:val="false"/>
          <w:smallCaps w:val="false"/>
          <w:sz w:val="20"/>
        </w:rPr>
        <w:t>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 xml:space="preserve">Trustee May File Proofs of Claim. </w:t>
      </w:r>
      <w:r>
        <w:rPr>
          <w:rFonts w:ascii="Times New Roman;Times;Serif" w:hAnsi="Times New Roman;Times;Serif"/>
          <w:b w:val="false"/>
          <w:i w:val="false"/>
          <w:caps w:val="false"/>
          <w:smallCaps w:val="false"/>
          <w:sz w:val="20"/>
        </w:rPr>
        <w:t>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 xml:space="preserve">Application of Proceeds. </w:t>
      </w:r>
      <w:r>
        <w:rPr>
          <w:rFonts w:ascii="Times New Roman;Times;Serif" w:hAnsi="Times New Roman;Times;Serif"/>
          <w:b w:val="false"/>
          <w:i w:val="false"/>
          <w:caps w:val="false"/>
          <w:smallCaps w:val="false"/>
          <w:sz w:val="20"/>
        </w:rPr>
        <w:t>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and coupons appertaining to such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 xml:space="preserve">Restoration of Rights and Remedies. </w:t>
      </w: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rPr>
        <w:t xml:space="preserve">Undertaking for Costs. </w:t>
      </w: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rPr>
        <w:t xml:space="preserve">Rights and Remedies Cumulative. </w:t>
      </w:r>
      <w:r>
        <w:rPr>
          <w:rFonts w:ascii="Times New Roman;Times;Serif" w:hAnsi="Times New Roman;Times;Serif"/>
          <w:b w:val="false"/>
          <w:i w:val="false"/>
          <w:caps w:val="false"/>
          <w:smallCaps w:val="false"/>
          <w:sz w:val="20"/>
        </w:rPr>
        <w:t>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caps w:val="false"/>
          <w:smallCaps w:val="false"/>
          <w:sz w:val="20"/>
        </w:rPr>
        <w:t xml:space="preserve">Delay or Omission not Waiver. </w:t>
      </w:r>
      <w:r>
        <w:rPr>
          <w:rFonts w:ascii="Times New Roman;Times;Serif" w:hAnsi="Times New Roman;Times;Serif"/>
          <w:b w:val="false"/>
          <w:i w:val="false"/>
          <w:caps w:val="false"/>
          <w:smallCaps w:val="false"/>
          <w:sz w:val="20"/>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In addition to all of the rights, benefits, privileges and immunities granted to the Trustee hereunder, and notwithstanding that this Indenture is not qualified under the Trust Indenture Act, all of the rights, benefits, privileges and immunities granted to a trustee under the Trust Indenture Act are incorporated herein. The Trustee undertakes to perform such duties and only such duties as are specifically set forth in this Indenture and no duties shall be implied.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not regularly in its employ and shall not be responsible for the misconduct or negligence of any agent or attorney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order or direction of any of the Holders, unless such Holders shall have offered to the Trustee security or indemnity reasonably satisfactory to the Trustee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occurrence of an Event of Default hereunder and after the curing or waiving of any Event of Default in accordance with ‎Section 6.04,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subject to ‎Section 7.02(e),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of reports, information and documents to the Trustee under ‎Section 4.04 and ‎Section 4.05 is for informational purposes only and the Trustee’s receipt of the foregoing shall not imply a duty to review and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 xml:space="preserve">Individual Rights of Trustee. </w:t>
      </w: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transaction</w:t>
      </w:r>
      <w:r>
        <w:rPr>
          <w:rFonts w:ascii="Times New Roman;Times;Serif" w:hAnsi="Times New Roman;Times;Serif"/>
          <w:b w:val="false"/>
          <w:i w:val="false"/>
          <w:caps w:val="false"/>
          <w:smallCaps w:val="false"/>
          <w:sz w:val="20"/>
        </w:rPr>
        <w:t>” means any transaction in which full payment for goods or securities sold is made within seven days after delivery of the goods or securities in currency or in checks or other orders drawn upon banks or bankers and payable upon demand;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self-liquidating paper</w:t>
      </w:r>
      <w:r>
        <w:rPr>
          <w:rFonts w:ascii="Times New Roman;Times;Serif" w:hAnsi="Times New Roman;Times;Serif"/>
          <w:b w:val="false"/>
          <w:i w:val="false"/>
          <w:caps w:val="false"/>
          <w:smallCaps w:val="false"/>
          <w:sz w:val="20"/>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caps w:val="false"/>
          <w:smallCaps w:val="false"/>
          <w:sz w:val="20"/>
        </w:rPr>
        <w:t xml:space="preserve">Trustee’s Disclaimer. </w:t>
      </w:r>
      <w:r>
        <w:rPr>
          <w:rFonts w:ascii="Times New Roman;Times;Serif" w:hAnsi="Times New Roman;Times;Serif"/>
          <w:b w:val="false"/>
          <w:i w:val="false"/>
          <w:caps w:val="false"/>
          <w:smallCaps w:val="false"/>
          <w:sz w:val="20"/>
        </w:rPr>
        <w:t>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caps w:val="false"/>
          <w:smallCaps w:val="false"/>
          <w:sz w:val="20"/>
        </w:rPr>
        <w:t xml:space="preserve">Notice of Default. </w:t>
      </w:r>
      <w:r>
        <w:rPr>
          <w:rFonts w:ascii="Times New Roman;Times;Serif" w:hAnsi="Times New Roman;Times;Serif"/>
          <w:b w:val="false"/>
          <w:i w:val="false"/>
          <w:caps w:val="false"/>
          <w:smallCaps w:val="false"/>
          <w:sz w:val="20"/>
        </w:rPr>
        <w:t>If any Default with respect to the Securities of any series occurs and is continuing, the Trustee shall give notice thereof to each Holder of Securities of such series (a) within 90 days of the occurrence thereof to the extent that a Responsible Officer of the Trustee has actual knowledge that such Default exists within such time period or (b) if a Responsible Officer of the Trustee does not have actual knowledge of such Default during such period, as soon as practicable after a Responsible Officer of the Trustee obtains actual knowledge thereof. Such notice shall be given (a) if any Unregistered Securities of such series are then outstanding, to the Holders thereof, by publication at least once in an Authorized Newspaper in the Borough of Manhattan, The City of New York and at least once in an Authorized Newspaper in London and (b)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 The Trustee shall not be required to take notice or be deemed to have knowledge or notice of any Default, except failure by the Company in the payment of Principal of or interest on any Security, unless the Trustee shall have been notified of such Default in writing by the Company or by the Holders of a majority in aggregate principal amount of the Securities then outstanding and all notices required to be delivered to the Trustee must, in order to be effective, be delivered at the designated Corporate Trust Office of the Trustee and, in the absence of such notice so delivered, the Trustee may conclusively assume there is no Default except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caps w:val="false"/>
          <w:smallCaps w:val="false"/>
          <w:sz w:val="20"/>
        </w:rPr>
        <w:t xml:space="preserve">Reports by Trustee to Holders. </w:t>
      </w:r>
      <w:r>
        <w:rPr>
          <w:rFonts w:ascii="Times New Roman;Times;Serif" w:hAnsi="Times New Roman;Times;Serif"/>
          <w:b w:val="false"/>
          <w:i w:val="false"/>
          <w:caps w:val="false"/>
          <w:smallCaps w:val="false"/>
          <w:sz w:val="20"/>
        </w:rPr>
        <w:t>(a) Within 60 days after each May 15 beginning with the May 15 following the date of this Indenture, and for so long as Securities remain outstanding, the Trustee will transmit to Holders of the Securities a brief reported dated as of such reporting date that complies with the Trust Indenture Act Section 313(a) (but if no event described in the Trust Indenture Act Section 313(a) has occurred within the twelve months preceding the reporting date, no report need be transmitted). The Trustee will also comply with Trust Indenture Act Section 313(b)(2). The Trustee will also transmit all reports as required by the Trust Indenture Act Section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each report at the time of its transmission to the Holders will be transmitted by the Trustee to the Company and filed by the Trustee with the Commission and each stock exchange on which any Securities are listed in accordance with the Trust Indenture Act Section 313(d). The Company will promptly notify the Trustee when any Securities are listed on any stock exchange or of any delisting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caps w:val="false"/>
          <w:smallCaps w:val="false"/>
          <w:sz w:val="20"/>
        </w:rPr>
        <w:t xml:space="preserve">Compensation and Indemnity. </w:t>
      </w:r>
      <w:r>
        <w:rPr>
          <w:rFonts w:ascii="Times New Roman;Times;Serif" w:hAnsi="Times New Roman;Times;Serif"/>
          <w:b w:val="false"/>
          <w:i w:val="false"/>
          <w:caps w:val="false"/>
          <w:smallCaps w:val="false"/>
          <w:sz w:val="20"/>
        </w:rPr>
        <w:t>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or coupons,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caps w:val="false"/>
          <w:smallCaps w:val="false"/>
          <w:sz w:val="20"/>
        </w:rPr>
        <w:t>Replacement of Trustee</w:t>
      </w:r>
      <w:r>
        <w:rPr>
          <w:rFonts w:ascii="Times New Roman;Times;Serif" w:hAnsi="Times New Roman;Times;Serif"/>
          <w:b w:val="false"/>
          <w:i w:val="false"/>
          <w:caps w:val="false"/>
          <w:smallCaps w:val="false"/>
          <w:sz w:val="20"/>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caps w:val="false"/>
          <w:smallCaps w:val="false"/>
          <w:sz w:val="20"/>
        </w:rPr>
        <w:t xml:space="preserve">Acceptance of Appointment by Successor.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caps w:val="false"/>
          <w:smallCaps w:val="false"/>
          <w:sz w:val="20"/>
        </w:rPr>
        <w:t xml:space="preserve">Successor Trustee By Merger, Etc. </w:t>
      </w: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caps w:val="false"/>
          <w:smallCaps w:val="false"/>
          <w:sz w:val="20"/>
        </w:rPr>
        <w:t xml:space="preserve">Money Held in Trust. </w:t>
      </w:r>
      <w:r>
        <w:rPr>
          <w:rFonts w:ascii="Times New Roman;Times;Serif" w:hAnsi="Times New Roman;Times;Serif"/>
          <w:b w:val="false"/>
          <w:i w:val="false"/>
          <w:caps w:val="false"/>
          <w:smallCaps w:val="false"/>
          <w:sz w:val="20"/>
        </w:rPr>
        <w:t>The Trustee shall not be required to invest any money received by it pursuant to this Indenture or liable for interest on any money received by it pursuant to this Indenture, except in each case,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 xml:space="preserve">Satisfaction and Discharge of Indenture. </w:t>
      </w:r>
      <w:r>
        <w:rPr>
          <w:rFonts w:ascii="Times New Roman;Times;Serif" w:hAnsi="Times New Roman;Times;Serif"/>
          <w:b w:val="false"/>
          <w:i w:val="false"/>
          <w:caps w:val="false"/>
          <w:smallCaps w:val="false"/>
          <w:sz w:val="20"/>
        </w:rPr>
        <w:t>If at any time (a) the Company shall have paid or caused to be paid the Principal of and interest on all the Securities of any series outstanding hereunder (other than Securities of such series which have been destroyed, lost or stolen and which have been replaced or paid as provided in Section 2.08) as and when the same shall have become due and payable, or (b) the Company shall have delivered to the Trustee for cancellation all Securities of any series theretofore authenticated (other than any Securities of such series which shall have been destroyed, lost or stolen and which shall have been replaced or paid as provided in Section 2.08) or (c) (i)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(ii)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and if, in any such case, the Company and shall also pay or cause to be paid all other sums payable hereunder by the Company with respect to Securities of such series,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 xml:space="preserve">Application by Trustee of Funds Deposited for Payment of Securities. </w:t>
      </w:r>
      <w:r>
        <w:rPr>
          <w:rFonts w:ascii="Times New Roman;Times;Serif" w:hAnsi="Times New Roman;Times;Serif"/>
          <w:b w:val="false"/>
          <w:i w:val="false"/>
          <w:caps w:val="false"/>
          <w:smallCaps w:val="false"/>
          <w:sz w:val="20"/>
        </w:rPr>
        <w:t>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 xml:space="preserve">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 xml:space="preserve">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 xml:space="preserve">Defeasance and Discharge of Indenture. </w:t>
      </w:r>
      <w:r>
        <w:rPr>
          <w:rFonts w:ascii="Times New Roman;Times;Serif" w:hAnsi="Times New Roman;Times;Serif"/>
          <w:b w:val="false"/>
          <w:i w:val="false"/>
          <w:caps w:val="false"/>
          <w:smallCaps w:val="false"/>
          <w:sz w:val="20"/>
        </w:rPr>
        <w:t>The Company shall be deemed to have paid and shall be discharged from any and all obligations in respect of the Securities of any series, on the 123rd day after the deposit referred to in clause(i) hereof has been made, and the provisions of this Indenture shall no longer be in effect with respect to the Securities of such series (and the Trustee, at the expense of the Company, shall execute proper instruments acknowledging the same), except as to: (a) rights of registration of transfer and exchange, and the Company’s right of optional redemption, (b) substitution of apparently mutilated, defaced, destroyed, lost or stolen Securities, (c) rights of holders to receive payments of principal thereof and interest thereon, upon the original stated due dates therefor (but not upon acceleration), (d) the rights, obligations and immunities of the Trustee hereunder and (e) the rights of the Securityholders of such series as beneficiaries hereof with respect to the property so deposited with the Trustee payable to all or any of them; provided that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reference to this provision the Company has deposited or caused to be irrevocably deposited with the Trustee (or another qualifying trustee satisfying the requirements of ‎Section 7.11) as trust funds in trust, specifically pledged as security for, and dedicated solely to, the benefit of the Holders of the Securities of such series, (A) money in an amount, or (B) U.S. Government Obligations which through the payment of interest and principal in respect thereof in accordance with their terms will provide not later than one day before the due date of any payment referred to in subclause (x) or (y) of this clause ‎(i) money in an amount, or (C) a combination thereof, sufficient, in the opinion of a nationally recognized firm of independent public accountants expressed in a written certification thereof delivered to the Trustee,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Securities of such series on the due dates thereof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 either (x) an Opinion of Counsel to the effect that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 which Opinion of Counsel must be based upon a ruling of the Internal Revenue Service to the same effect or a change in applicable federal income tax law or related treasury regulations after the date of this Indenture or (y) a ruling directed to the Trustee received from the Internal Revenue Service to the same effect as the aforementioned Opinion of Counsel and (B) an Opinion of Counsel to the effect that the creation of the defeasance trust does not violate the Investment Company Act of 1940, as amended, and after the passage of 123 days following the deposit, the trust fund will not be subject to the effect of Section 547 of the U.S. Bankruptcy Code or Section 15 of the New York Debtor and Creditor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the Company is a party or by which the Company is bound;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delivered to the Trustee an Officers’ Certificate and an Opinion of Counsel, each stating that all conditions precedent to the defeasance and discharge under this Section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caps w:val="false"/>
          <w:smallCaps w:val="false"/>
          <w:sz w:val="20"/>
        </w:rPr>
        <w:t xml:space="preserve">Defeasance of Certain Obligations. </w:t>
      </w:r>
      <w:r>
        <w:rPr>
          <w:rFonts w:ascii="Times New Roman;Times;Serif" w:hAnsi="Times New Roman;Times;Serif"/>
          <w:b w:val="false"/>
          <w:i w:val="false"/>
          <w:caps w:val="false"/>
          <w:smallCaps w:val="false"/>
          <w:sz w:val="20"/>
        </w:rPr>
        <w:t>The Company may omit to comply with any term, provision or condition set forth in, and this Indenture will no longer be in effect with respect to, any covenant established pursuant to Section 2.03(r) and clause(c) (with respect to any covenants established pursuant to Section 2.03(r)) and clause(f) of ‎Section 6.01 shall be deemed not to be an Event of Default,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8.06, the Company has deposited or caused to be irrevocably deposited with the Trustee (or another qualifying trustee satisfying the requirements of ‎Section 7.11) as trust funds in trust, specifically pledged as security for, and dedicated solely to, the benefit of the Holders of the Securities of such series and the Indenture with respect to the Securities of such series, (i) money in an amount or (ii) U.S. Government Obligations which through the payment of interest and principal in respect thereof in accordance with their terms will provide not later than one day before the due dates thereof or earlier redemption (irrevocably provided for under agreements satisfactory to the Trustee), as the case may be, of any payment referred to in subclause (x) or (y) of this clause ‎(a) money in an amount, or (iii) a combination thereof, sufficient, in the opinion of a nationally recognized firm of independent public accountants expressed in a written certification thereof delivered to the Trustee,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Securities on the due date thereof or earlier redemption (irrevocably provided for under arrangements satisfactory to the Trustee), as the case may be, and (y) any mandatory sinking fund payments or analogous payments applicable to the Securities of such series and the Indenture with respect to the Securities of such series on the day on which such payments are due and payable in accordance with the terms of the Indenture and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(i)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 and (ii) an Opinion of Counsel to the effect that the creation of the defeasance trust does not violate the Investment Company Act of 1940, as amended, and after the passage of 123 days following the deposit, the trust fund will not be subject to the effect of Section 547 of the U.S. Bankruptcy Code or Section 15 of the New York Debtor and Creditor Law;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the Company is a party or by which the Company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such time the Securities of such series are listed on a national securities exchange, the Company has delivered to the Trustee an Opinion of Counsel to the effect that the Securities of such series will not be delisted as a result of such deposit, defeasance and discharge;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the defeasance under this Section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caps w:val="false"/>
          <w:smallCaps w:val="false"/>
          <w:sz w:val="20"/>
        </w:rPr>
        <w:t xml:space="preserve">Reinstatement. </w:t>
      </w:r>
      <w:r>
        <w:rPr>
          <w:rFonts w:ascii="Times New Roman;Times;Serif" w:hAnsi="Times New Roman;Times;Serif"/>
          <w:b w:val="false"/>
          <w:i w:val="false"/>
          <w:caps w:val="false"/>
          <w:smallCaps w:val="false"/>
          <w:sz w:val="20"/>
        </w:rPr>
        <w:t xml:space="preserve">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caps w:val="false"/>
          <w:smallCaps w:val="false"/>
          <w:sz w:val="20"/>
        </w:rPr>
        <w:t xml:space="preserve">Indemnity. </w:t>
      </w:r>
      <w:r>
        <w:rPr>
          <w:rFonts w:ascii="Times New Roman;Times;Serif" w:hAnsi="Times New Roman;Times;Serif"/>
          <w:b w:val="false"/>
          <w:i w:val="false"/>
          <w:caps w:val="false"/>
          <w:smallCaps w:val="false"/>
          <w:sz w:val="20"/>
        </w:rPr>
        <w:t>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 and any coupons appertaining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caps w:val="false"/>
          <w:smallCaps w:val="false"/>
          <w:sz w:val="20"/>
        </w:rPr>
        <w:t xml:space="preserve">Excess Funds. </w:t>
      </w:r>
      <w:r>
        <w:rPr>
          <w:rFonts w:ascii="Times New Roman;Times;Serif" w:hAnsi="Times New Roman;Times;Serif"/>
          <w:b w:val="false"/>
          <w:i w:val="false"/>
          <w:caps w:val="false"/>
          <w:smallCaps w:val="false"/>
          <w:sz w:val="20"/>
        </w:rPr>
        <w:t>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caps w:val="false"/>
          <w:smallCaps w:val="false"/>
          <w:sz w:val="20"/>
        </w:rPr>
        <w:t xml:space="preserve">Qualifying Trustee. </w:t>
      </w:r>
      <w:r>
        <w:rPr>
          <w:rFonts w:ascii="Times New Roman;Times;Serif" w:hAnsi="Times New Roman;Times;Serif"/>
          <w:b w:val="false"/>
          <w:i w:val="false"/>
          <w:caps w:val="false"/>
          <w:smallCaps w:val="false"/>
          <w:sz w:val="20"/>
        </w:rPr>
        <w:t>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 xml:space="preserve">Without Consent of Holders. </w:t>
      </w:r>
      <w:r>
        <w:rPr>
          <w:rFonts w:ascii="Times New Roman;Times;Serif" w:hAnsi="Times New Roman;Times;Serif"/>
          <w:b w:val="false"/>
          <w:i w:val="false"/>
          <w:caps w:val="false"/>
          <w:smallCaps w:val="false"/>
          <w:sz w:val="20"/>
        </w:rPr>
        <w:t>The Company and the Trustee may amend or supplement this Indenture or the Securities of any series without notice to or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cure any ambiguity, defect or inconsistency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amendments or supplements shall not materially and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any requirements of the Commission in connection with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 or forms or terms of Securities of any series or of the coupons appertaining to such Securities as permitted by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does not materially and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 xml:space="preserve">With Consent of Holders. </w:t>
      </w:r>
      <w:r>
        <w:rPr>
          <w:rFonts w:ascii="Times New Roman;Times;Serif" w:hAnsi="Times New Roman;Times;Serif"/>
          <w:b w:val="false"/>
          <w:i w:val="false"/>
          <w:caps w:val="false"/>
          <w:smallCaps w:val="false"/>
          <w:sz w:val="20"/>
        </w:rPr>
        <w:t>Subject to Sections 6.04 and 6.07, without prior notice to any Holders, the Company and the Trustee may amend this Indenture and the Securities of any series with the written consent of the Holders of a majority in principal amount of the outstanding Securities of all series affected by such amendment (all such series voting as a separate class), and the Holders of a majority in principal amount of the outstanding Securities of all series affected thereby (all such series voting as a separate class) by written notice to the Trustee may waive future compliance by the Company with any provision of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any sinking fund obligation or any installment of interest on, such Holder’s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amount thereof or the rate of interest thereon (including any amount in respect of original issue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above stated percentage of outstanding Securities the consent of whose holders is necessary to modify or amend the Indenture with respect to the Securities of the relevant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 or of the coupons appertaining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caps w:val="false"/>
          <w:smallCaps w:val="false"/>
          <w:sz w:val="20"/>
        </w:rPr>
        <w:t xml:space="preserve">Revocation and Effect of Consent. </w:t>
      </w:r>
      <w:r>
        <w:rPr>
          <w:rFonts w:ascii="Times New Roman;Times;Serif" w:hAnsi="Times New Roman;Times;Serif"/>
          <w:b w:val="false"/>
          <w:i w:val="false"/>
          <w:caps w:val="false"/>
          <w:smallCaps w:val="false"/>
          <w:sz w:val="20"/>
        </w:rPr>
        <w:t>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caps w:val="false"/>
          <w:smallCaps w:val="false"/>
          <w:sz w:val="20"/>
        </w:rPr>
        <w:t xml:space="preserve">Notation on or Exchange of Securities. </w:t>
      </w:r>
      <w:r>
        <w:rPr>
          <w:rFonts w:ascii="Times New Roman;Times;Serif" w:hAnsi="Times New Roman;Times;Serif"/>
          <w:b w:val="false"/>
          <w:i w:val="false"/>
          <w:caps w:val="false"/>
          <w:smallCaps w:val="false"/>
          <w:sz w:val="20"/>
        </w:rPr>
        <w:t>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caps w:val="false"/>
          <w:smallCaps w:val="false"/>
          <w:sz w:val="20"/>
        </w:rPr>
        <w:t xml:space="preserve">Trustee to Sign Amendments, Etc. </w:t>
      </w:r>
      <w:r>
        <w:rPr>
          <w:rFonts w:ascii="Times New Roman;Times;Serif" w:hAnsi="Times New Roman;Times;Serif"/>
          <w:b w:val="false"/>
          <w:i w:val="false"/>
          <w:caps w:val="false"/>
          <w:smallCaps w:val="false"/>
          <w:sz w:val="20"/>
        </w:rPr>
        <w:t>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caps w:val="false"/>
          <w:smallCaps w:val="false"/>
          <w:sz w:val="20"/>
        </w:rPr>
        <w:t xml:space="preserve">Conformity with Trust Indenture Act. </w:t>
      </w:r>
      <w:r>
        <w:rPr>
          <w:rFonts w:ascii="Times New Roman;Times;Serif" w:hAnsi="Times New Roman;Times;Serif"/>
          <w:b w:val="false"/>
          <w:i w:val="false"/>
          <w:caps w:val="false"/>
          <w:smallCaps w:val="false"/>
          <w:sz w:val="20"/>
        </w:rPr>
        <w:t>Every supplemental indenture executed pursuant to this Article 9 shall conform to the requirements of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caps w:val="false"/>
          <w:smallCaps w:val="false"/>
          <w:sz w:val="20"/>
        </w:rPr>
        <w:t xml:space="preserve">Trust Indenture Act of 1939. </w:t>
      </w:r>
      <w:r>
        <w:rPr>
          <w:rFonts w:ascii="Times New Roman;Times;Serif" w:hAnsi="Times New Roman;Times;Serif"/>
          <w:b w:val="false"/>
          <w:i w:val="false"/>
          <w:caps w:val="false"/>
          <w:smallCaps w:val="false"/>
          <w:sz w:val="20"/>
        </w:rPr>
        <w:t>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w:t>
        <w:br/>
        <w:t>c/o Mobileye B.V.</w:t>
        <w:br/>
        <w:t>Har Hotzvim, Shlomo Momo HaLevi Street 1</w:t>
        <w:br/>
        <w:t>Jerusalem, Israel</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of any Unregistered Securities, by publication at least once in an Authorized Newspaper in The City of New York, or with respect to any Security the interest on which is based on the offered quotations in the interbank Eurodollar market for dollar deposits at least once in an Authorized Newspaper in London, and by mailing to the Holders thereof who have filed their names and addresses with the Trustee pursuant to Section 313(c)(2) of the Trust Indenture Act at such addresses as were so furnished to the Trustee and to Holders of Registered Securities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caps w:val="false"/>
          <w:smallCaps w:val="false"/>
          <w:sz w:val="20"/>
        </w:rPr>
        <w:t xml:space="preserve">Certificate and Opinion as to Conditions Precedent. </w:t>
      </w: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caps w:val="false"/>
          <w:smallCaps w:val="false"/>
          <w:sz w:val="20"/>
        </w:rPr>
        <w:t xml:space="preserve">Statements Required in Certificate or Opinion. </w:t>
      </w: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the certificate required by Section 4.04)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person signing such certificate or opinion has read such covenant or condition and the definitions herein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 or opinion contained in such certificate or opinion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caps w:val="false"/>
          <w:smallCaps w:val="false"/>
          <w:sz w:val="20"/>
        </w:rPr>
        <w:t xml:space="preserve">Evidence of Ownership. </w:t>
      </w:r>
      <w:r>
        <w:rPr>
          <w:rFonts w:ascii="Times New Roman;Times;Serif" w:hAnsi="Times New Roman;Times;Serif"/>
          <w:b w:val="false"/>
          <w:i w:val="false"/>
          <w:caps w:val="false"/>
          <w:smallCaps w:val="false"/>
          <w:sz w:val="20"/>
        </w:rPr>
        <w:t>The Company, the Trustee and any agent of the Company or the Trustee may deem and treat the Holder of any Unregistered Security and the Holder of any coupon as the absolute owner of such Unregistered Security or coupon (whether or not such Unregistered Security or coupon shall be overdue) for the purpose of receiving payment thereof or on account thereof and for all other purposes, and neither the Company, the Trustee, nor any agent of the Company or the Trustee shall be affected by any notice to the contrary. The fact of the holding by any Holder of an Unregistered Security, and the identifying number of such Security and the date of his holding the same, may be proved by the production of such Security or by a certificate executed by any trust company, bank, banker or recognized securities dealer wherever situated satisfactory to the Trustee, if such certificate shall be deemed by the Trustee to be satisfactory. Each such certificate shall be dated and shall state that on the date thereof a Security bearing a specified identifying number was deposited with or exhibited to such trust company, bank, banker or recognized securities dealer by the person named in such certificate. Any such certificate may be issued in respect of one or more Unregistered Securities specified therein. The holding by the person named in any such certificate of any Unregistered Securities specified therein shall be presumed to continue for a period of one year from the date of such certificate unless at the time of any determination of such holding (1) another certificate bearing a later date issued in respect of the same Securities shall be produced or (2) the Security specified in such certificate shall be produced by some other Person, or (3) the Security specified in such certificate shall have ceased to be outstanding. Subject to Article 7, the fact and date of the execution of any such instrument and the amount and numbers of Securities held by the Person so executing such instrument may also be proven in accordance with such reasonable rules and regulations as may be prescribed by the Trustee or in any other manner which the Trustee may deem sufficient.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caps w:val="false"/>
          <w:smallCaps w:val="false"/>
          <w:sz w:val="20"/>
        </w:rPr>
        <w:t xml:space="preserve">Rules by Trustee, Paying Agent or Registrar. </w:t>
      </w:r>
      <w:r>
        <w:rPr>
          <w:rFonts w:ascii="Times New Roman;Times;Serif" w:hAnsi="Times New Roman;Times;Serif"/>
          <w:b w:val="false"/>
          <w:i w:val="false"/>
          <w:caps w:val="false"/>
          <w:smallCaps w:val="false"/>
          <w:sz w:val="20"/>
        </w:rPr>
        <w:t>The Trustee may make rules for action by or at a meeting of Holders. The Paying Agent or Registrar may make rules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caps w:val="false"/>
          <w:smallCaps w:val="false"/>
          <w:sz w:val="20"/>
        </w:rPr>
        <w:t xml:space="preserve">Payment Date Other Than a Business Day. </w:t>
      </w:r>
      <w:r>
        <w:rPr>
          <w:rFonts w:ascii="Times New Roman;Times;Serif" w:hAnsi="Times New Roman;Times;Serif"/>
          <w:b w:val="false"/>
          <w:i w:val="false"/>
          <w:caps w:val="false"/>
          <w:smallCaps w:val="false"/>
          <w:sz w:val="20"/>
        </w:rPr>
        <w:t>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The laws of the State of New York shall govern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caps w:val="false"/>
          <w:smallCaps w:val="false"/>
          <w:sz w:val="20"/>
        </w:rPr>
        <w:t xml:space="preserve">No Adverse Interpretation of Other Agreements. </w:t>
      </w:r>
      <w:r>
        <w:rPr>
          <w:rFonts w:ascii="Times New Roman;Times;Serif" w:hAnsi="Times New Roman;Times;Serif"/>
          <w:b w:val="false"/>
          <w:i w:val="false"/>
          <w:caps w:val="false"/>
          <w:smallCaps w:val="false"/>
          <w:sz w:val="20"/>
        </w:rPr>
        <w:t>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caps w:val="false"/>
          <w:smallCaps w:val="false"/>
          <w:sz w:val="20"/>
        </w:rPr>
        <w:t xml:space="preserve">Successors. </w:t>
      </w:r>
      <w:r>
        <w:rPr>
          <w:rFonts w:ascii="Times New Roman;Times;Serif" w:hAnsi="Times New Roman;Times;Serif"/>
          <w:b w:val="false"/>
          <w:i w:val="false"/>
          <w:caps w:val="false"/>
          <w:smallCaps w:val="false"/>
          <w:sz w:val="20"/>
        </w:rPr>
        <w:t>All agreements of the Company in this Indenture and the Securities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caps w:val="false"/>
          <w:smallCaps w:val="false"/>
          <w:sz w:val="20"/>
        </w:rPr>
        <w:t xml:space="preserve">Duplicate Originals. </w:t>
      </w:r>
      <w:r>
        <w:rPr>
          <w:rFonts w:ascii="Times New Roman;Times;Serif" w:hAnsi="Times New Roman;Times;Serif"/>
          <w:b w:val="false"/>
          <w:i w:val="false"/>
          <w:caps w:val="false"/>
          <w:smallCaps w:val="false"/>
          <w:sz w:val="20"/>
        </w:rPr>
        <w:t>The parties may sign any number of copies of this Indenture. Each signed copy shall be an original, but all of them together represent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caps w:val="false"/>
          <w:smallCaps w:val="false"/>
          <w:sz w:val="20"/>
        </w:rPr>
        <w:t xml:space="preserve">Separability. </w:t>
      </w: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caps w:val="false"/>
          <w:smallCaps w:val="false"/>
          <w:sz w:val="20"/>
        </w:rPr>
        <w:t xml:space="preserve">Table of Contents, Headings, Etc. </w:t>
      </w: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caps w:val="false"/>
          <w:smallCaps w:val="false"/>
          <w:sz w:val="20"/>
        </w:rPr>
        <w:t xml:space="preserve">Incorporators, Stockholders, Officers and Directors of Company Exempt from Individual Liability. </w:t>
      </w:r>
      <w:r>
        <w:rPr>
          <w:rFonts w:ascii="Times New Roman;Times;Serif" w:hAnsi="Times New Roman;Times;Serif"/>
          <w:b w:val="false"/>
          <w:i w:val="false"/>
          <w:caps w:val="false"/>
          <w:smallCaps w:val="false"/>
          <w:sz w:val="20"/>
        </w:rPr>
        <w:t>No recourse under or upon any obligation, covenant or agreement contained in this Indenture or any indenture supplemental hereto, or in any Security or any coupons appertaining thereto,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and the coupons appertaining thereto by the holders thereof and as part of the consideration for the issue of the Securities and the coupons appertaining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caps w:val="false"/>
          <w:smallCaps w:val="false"/>
          <w:sz w:val="20"/>
        </w:rPr>
        <w:t xml:space="preserve">Judgment Currency. </w:t>
      </w: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Times;Serif" w:hAnsi="Times New Roman;Times;Serif"/>
          <w:b/>
          <w:i w:val="false"/>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19" w:type="dxa"/>
        <w:jc w:val="left"/>
        <w:tblInd w:w="0" w:type="dxa"/>
        <w:tblLayout w:type="fixed"/>
        <w:tblCellMar>
          <w:top w:w="0" w:type="dxa"/>
          <w:left w:w="0" w:type="dxa"/>
          <w:bottom w:w="0" w:type="dxa"/>
          <w:right w:w="0" w:type="dxa"/>
        </w:tblCellMar>
      </w:tblPr>
      <w:tblGrid>
        <w:gridCol w:w="635"/>
        <w:gridCol w:w="779"/>
        <w:gridCol w:w="1505"/>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br/>
              <w:t>Attest:</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MOBILEYE GLOBAL INC.</w:t>
              <w:br/>
              <w:t>as the Company</w:t>
            </w:r>
          </w:p>
        </w:tc>
      </w:tr>
      <w:tr>
        <w:trPr/>
        <w:tc>
          <w:tcPr>
            <w:tcW w:w="63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firstLine="720"/>
        <w:jc w:val="left"/>
        <w:rPr>
          <w:caps w:val="false"/>
          <w:smallCaps w:val="false"/>
        </w:rPr>
      </w:pPr>
      <w:r>
        <w:rPr>
          <w:caps w:val="false"/>
          <w:smallCaps w:val="false"/>
        </w:rPr>
        <w:t> </w:t>
      </w:r>
    </w:p>
    <w:tbl>
      <w:tblPr>
        <w:tblW w:w="1779" w:type="dxa"/>
        <w:jc w:val="left"/>
        <w:tblInd w:w="0" w:type="dxa"/>
        <w:tblLayout w:type="fixed"/>
        <w:tblCellMar>
          <w:top w:w="0" w:type="dxa"/>
          <w:left w:w="0" w:type="dxa"/>
          <w:bottom w:w="0" w:type="dxa"/>
          <w:right w:w="0" w:type="dxa"/>
        </w:tblCellMar>
      </w:tblPr>
      <w:tblGrid>
        <w:gridCol w:w="635"/>
        <w:gridCol w:w="416"/>
        <w:gridCol w:w="728"/>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br/>
              <w:t>Attest:</w:t>
            </w:r>
          </w:p>
        </w:tc>
        <w:tc>
          <w:tcPr>
            <w:tcW w:w="1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w:t>
              <w:br/>
              <w:t>as the Trustee</w:t>
            </w:r>
          </w:p>
        </w:tc>
      </w:tr>
      <w:tr>
        <w:trPr/>
        <w:tc>
          <w:tcPr>
            <w:tcW w:w="635"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2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0" w:name="tm248244d2_ex4-2.htm"/>
      <w:bookmarkStart w:id="21" w:name="kstm248244d2_ex42"/>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b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____________ 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1100"/>
        <w:gridCol w:w="6275"/>
        <w:gridCol w:w="245"/>
      </w:tblGrid>
      <w:tr>
        <w:trPr/>
        <w:tc>
          <w:tcPr>
            <w:tcW w:w="76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w:t>
            </w:r>
          </w:p>
        </w:tc>
      </w:tr>
      <w:tr>
        <w:trPr/>
        <w:tc>
          <w:tcPr>
            <w:tcW w:w="76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Definitions and Incorporation by Reference</w:t>
            </w:r>
          </w:p>
        </w:tc>
      </w:tr>
      <w:tr>
        <w:trPr/>
        <w:tc>
          <w:tcPr>
            <w:tcW w:w="7620" w:type="dxa"/>
            <w:gridSpan w:val="3"/>
            <w:tcBorders/>
            <w:vAlign w:val="center"/>
          </w:tcPr>
          <w:p>
            <w:pPr>
              <w:pStyle w:val="TableContents"/>
              <w:bidi w:val="0"/>
              <w:spacing w:before="0" w:after="283"/>
              <w:jc w:val="center"/>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Incorporation by Reference of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of Construction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2</w:t>
            </w:r>
          </w:p>
        </w:tc>
      </w:tr>
      <w:tr>
        <w:trPr/>
        <w:tc>
          <w:tcPr>
            <w:tcW w:w="76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The Securities</w:t>
            </w:r>
          </w:p>
        </w:tc>
      </w:tr>
      <w:tr>
        <w:trPr/>
        <w:tc>
          <w:tcPr>
            <w:tcW w:w="762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 and Dating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Execution And Authentication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Amount Unlimited; Issuable in Series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Denomination and Date of Securities; Payments of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Registrar and Paying Agent; Agents Generally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Paying Agent to Hold Money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Outstanding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Temporary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CUSIP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Defaulted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Series May Include Tranches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3</w:t>
            </w:r>
          </w:p>
        </w:tc>
      </w:tr>
      <w:tr>
        <w:trPr/>
        <w:tc>
          <w:tcPr>
            <w:tcW w:w="76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Redemption</w:t>
            </w:r>
          </w:p>
        </w:tc>
      </w:tr>
      <w:tr>
        <w:trPr/>
        <w:tc>
          <w:tcPr>
            <w:tcW w:w="762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Applicability of Article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Redemption; Partial Redemptions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of Securities Called for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Exclusion of Certain Securities from Eligibility for Selection for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Mandatory and Optional Sinking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10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4</w:t>
            </w:r>
          </w:p>
        </w:tc>
      </w:tr>
      <w:tr>
        <w:trPr/>
        <w:tc>
          <w:tcPr>
            <w:tcW w:w="76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Covenants</w:t>
            </w:r>
          </w:p>
        </w:tc>
      </w:tr>
      <w:tr>
        <w:trPr/>
        <w:tc>
          <w:tcPr>
            <w:tcW w:w="762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Securityholders’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Certificate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6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Reports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960" w:type="dxa"/>
        <w:jc w:val="left"/>
        <w:tblInd w:w="0" w:type="dxa"/>
        <w:tblLayout w:type="fixed"/>
        <w:tblCellMar>
          <w:top w:w="0" w:type="dxa"/>
          <w:left w:w="0" w:type="dxa"/>
          <w:bottom w:w="0" w:type="dxa"/>
          <w:right w:w="0" w:type="dxa"/>
        </w:tblCellMar>
      </w:tblPr>
      <w:tblGrid>
        <w:gridCol w:w="1100"/>
        <w:gridCol w:w="5615"/>
        <w:gridCol w:w="245"/>
      </w:tblGrid>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5</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Successor Corporation</w:t>
            </w:r>
          </w:p>
        </w:tc>
      </w:tr>
      <w:tr>
        <w:trPr/>
        <w:tc>
          <w:tcPr>
            <w:tcW w:w="696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When Company May Merge,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6</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Default and Remedies</w:t>
            </w:r>
          </w:p>
        </w:tc>
      </w:tr>
      <w:tr>
        <w:trPr/>
        <w:tc>
          <w:tcPr>
            <w:tcW w:w="696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of Holders to Receive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Application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7</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Trustee</w:t>
            </w:r>
          </w:p>
        </w:tc>
      </w:tr>
      <w:tr>
        <w:trPr/>
        <w:tc>
          <w:tcPr>
            <w:tcW w:w="696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Individual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Reports by Trustee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Trustee By Merger,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9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8</w:t>
            </w:r>
          </w:p>
        </w:tc>
      </w:tr>
      <w:tr>
        <w:trPr/>
        <w:tc>
          <w:tcPr>
            <w:tcW w:w="696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Satisfaction and Discharge of Indenture; Unclaimed Moneys</w:t>
            </w:r>
          </w:p>
        </w:tc>
      </w:tr>
      <w:tr>
        <w:trPr/>
        <w:tc>
          <w:tcPr>
            <w:tcW w:w="6960" w:type="dxa"/>
            <w:gridSpan w:val="3"/>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Application by Trustee of Funds Deposited for Payment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56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Repayment of Moneys Held by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420" w:type="dxa"/>
        <w:jc w:val="left"/>
        <w:tblInd w:w="0" w:type="dxa"/>
        <w:tblLayout w:type="fixed"/>
        <w:tblCellMar>
          <w:top w:w="0" w:type="dxa"/>
          <w:left w:w="0" w:type="dxa"/>
          <w:bottom w:w="0" w:type="dxa"/>
          <w:right w:w="0" w:type="dxa"/>
        </w:tblCellMar>
      </w:tblPr>
      <w:tblGrid>
        <w:gridCol w:w="1205"/>
        <w:gridCol w:w="7970"/>
        <w:gridCol w:w="245"/>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Return of Moneys Held by Trustee and Paying Agent Unclaimed for Two Years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Defeasance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Defeasance of Certain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Reinstatement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Excess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Qualifying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9</w:t>
            </w:r>
          </w:p>
        </w:tc>
      </w:tr>
      <w:tr>
        <w:trPr/>
        <w:tc>
          <w:tcPr>
            <w:tcW w:w="94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Amendments, Supplements and Waivers</w:t>
            </w:r>
          </w:p>
        </w:tc>
      </w:tr>
      <w:tr>
        <w:trPr/>
        <w:tc>
          <w:tcPr>
            <w:tcW w:w="9420" w:type="dxa"/>
            <w:gridSpan w:val="3"/>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Revocation and Effect of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Notation on or Exchange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 to Sign Amendments,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10</w:t>
            </w:r>
          </w:p>
        </w:tc>
      </w:tr>
      <w:tr>
        <w:trPr/>
        <w:tc>
          <w:tcPr>
            <w:tcW w:w="94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Miscellaneous</w:t>
            </w:r>
          </w:p>
        </w:tc>
      </w:tr>
      <w:tr>
        <w:trPr/>
        <w:tc>
          <w:tcPr>
            <w:tcW w:w="9420" w:type="dxa"/>
            <w:gridSpan w:val="3"/>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 Indenture Act of 1939</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Certificate and Opinion as to Conditions Precedent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Statements Required in Certificate or Opinion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Evidence of Ownership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by Trustee, Paying Agent or Registrar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Date Other Than a Business Day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Duplicate Originals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Separability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Incorporators, Stockholders, Officers and Directors of Company Exempt from Individual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Judgment Currency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11</w:t>
            </w:r>
          </w:p>
        </w:tc>
      </w:tr>
      <w:tr>
        <w:trPr/>
        <w:tc>
          <w:tcPr>
            <w:tcW w:w="9420" w:type="dxa"/>
            <w:gridSpan w:val="3"/>
            <w:tcBorders/>
            <w:vAlign w:val="center"/>
          </w:tcPr>
          <w:p>
            <w:pPr>
              <w:pStyle w:val="TableContents"/>
              <w:bidi w:val="0"/>
              <w:spacing w:before="0" w:after="283"/>
              <w:jc w:val="center"/>
              <w:rPr>
                <w:rFonts w:ascii="Times New Roman;Times;Serif" w:hAnsi="Times New Roman;Times;Serif"/>
                <w:smallCaps/>
                <w:sz w:val="20"/>
              </w:rPr>
            </w:pPr>
            <w:r>
              <w:rPr>
                <w:rFonts w:ascii="Times New Roman;Times;Serif" w:hAnsi="Times New Roman;Times;Serif"/>
                <w:smallCaps/>
                <w:sz w:val="20"/>
              </w:rPr>
              <w:t>Subordination of Securities</w:t>
            </w:r>
          </w:p>
        </w:tc>
      </w:tr>
      <w:tr>
        <w:trPr/>
        <w:tc>
          <w:tcPr>
            <w:tcW w:w="9420" w:type="dxa"/>
            <w:gridSpan w:val="3"/>
            <w:tcBorders/>
            <w:vAlign w:val="center"/>
          </w:tcPr>
          <w:p>
            <w:pPr>
              <w:pStyle w:val="TableContents"/>
              <w:bidi w:val="0"/>
              <w:spacing w:before="0" w:after="283"/>
              <w:jc w:val="center"/>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Agreement to Subordinate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Payments to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Subrogation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Authorization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Trustee’s Relation to Senior Indebtedness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79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Impairment of Subordination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 dated as of ______ __, 20__, between Mobileye Global Inc., a Delaware corporation, as the Company, and [__],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subordinated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and of the coupons, if any, appertaining thereto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(which, in the case of The City of New York, will, if practicable, be The Wall Street Journal (Eastern Edition) and in the case of London, will, if practicable, be the Financial Times (London Edition) and published in an official language of the country of publication customarily published at least once a day for at least five days in each calendar week and of general circulation in The City of New York or London, as applicable.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 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means, with respect to any Person, any lease of any property which, in conformity with GAAP, is required to be capitalized on the balance sheet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with respect to any Person, any foreign exchange contract, currency swap agreement or other similar agreement or arrangement designed to protect such Person or any of its Subsidiaries against fluctuations in currency values to or under which such Person or any of its Subsidiaries is a party or a beneficiary on the date hereof or becomes a party or a beneficiary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means, with respect to any Person at any date of determination (without duplication), (i) all indebtedness of such Person for borrowed money, (ii) all obligations of such Person evidenced by bonds, debentures, notes or other similar instruments, (iii) all obligations of such Person in respect of letters of credit or bankers’ acceptance or other similar instruments (or reimbursement obligations with respect thereto), (iv) all obligations of such Person to pay the deferred purchase price of property or services, except Trade Payables, (v) all obligations of such Person as lessee under Capital Leases, (vi) all Debt of others secured by a Lien on any asset of such Person, whether or not such Debt is assumed by such Person; provided that, for purposes of determining the amount of any Debt of the type described in this clause, if recourse with respect to such Debt is limited to such asset, the amount of such Debt shall be limited to the lesser of the fair market value of such asset or the amount of such Debt, (vii) all Debt of others Guaranteed by such Person to the extent such Debt is Guaranteed by such Person, (viii) all redeemable stock valued at the greater of its voluntary or involuntary liquidation preference plus accrued and unpaid dividends and (ix) to the extent not otherwise included in this definition, all obligations of such Person under Currency Agreements and Interest Rate Agreements.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Senior Indebtedness</w:t>
      </w:r>
      <w:r>
        <w:rPr>
          <w:rFonts w:ascii="Times New Roman;Times;Serif" w:hAnsi="Times New Roman;Times;Serif"/>
          <w:b w:val="false"/>
          <w:i w:val="false"/>
          <w:caps w:val="false"/>
          <w:smallCaps w:val="false"/>
          <w:sz w:val="20"/>
        </w:rPr>
        <w:t>” means Debt constituting Senior Indebtedness which, at the time of its determination, (A) has an aggregate principal amount of at least $[__] million and (B) is specifically designated in the instrument evidencing such Senior Indebtedness as “Designated Senior Indebtedness”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U.S. as in effect as of the date hereof applied on a basis consistent with the principles, methods, procedures and practices employed in the preparation of the Company’s audited financial statements,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is approved by a significant segment of the accounting profession.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Debt or other obligation of any other Person and, without limiting the generality of the foregoing, any obligation, direct or indirect, contingent or otherwise, of such Person (i) to purchase or pay (or advance or supply funds for the purchase or payment of) such Debt or other obligation of such other Person (whether arising by virtue of partnership arrangements, or by agreement to keepwell, to purchase assets, goods, securities or services, to take-or-pay, or to maintain financial statement conditions or otherwise) or (ii) entered into for purposes of assuring in any other manner the obligee of such Debt or other obligation of the payment thereof or to protect such obligee against loss in respect thereof (in whole or in part); provided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 with respect to Registered Securities and the bearer of any Unregistered Security or any coupon appertaining thereto,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Rate Agreement</w:t>
      </w:r>
      <w:r>
        <w:rPr>
          <w:rFonts w:ascii="Times New Roman;Times;Serif" w:hAnsi="Times New Roman;Times;Serif"/>
          <w:b w:val="false"/>
          <w:i w:val="false"/>
          <w:caps w:val="false"/>
          <w:smallCaps w:val="false"/>
          <w:sz w:val="20"/>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designed to protect such Person or any of its Subsidiaries against fluctuations in interest rates to or under which such Person or any of its Subsidiaries is a party or a beneficiary on the date hereof or becomes a party or a beneficiary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any mortgage, lien, pledge, charge, security interest or encumbrance of any kind in respect of such property. For purposes of this Indenture, the Company shall be deemed to own subject to a Lien any property which it has acquired or holds subject to the interest of a vendor or lessor under any conditional sale agreement, capital lease or other title retention agreement relating to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vice president, the chief financial officer, the treasurer or any assistant treasurer,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2.02, and bearing the legend prescribed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Security Register (as defined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 and, unless the context indicates otherwise, shall include any coupon appertaining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means the principal of (and premium, if any) and interest on all Debt of the Company whether created, incurred or assumed before, on or after the date of this Indenture; provided that such Senior Indebtedness shall not include (i) Debt of the Company that, when incurred and without respect to any election under Section 1111(b) of Title 11, U.S. Code, was without recourse, (ii) any other Debt of the Company which by the terms of the instrument creating or evidencing the same are specifically designated as not being senior in right of payment to the Securities, and in particular the Securities shall rank pari passu with all other debt securities and guarantees issued to any trust, partnership or other entity affiliated with the Company which is a financing vehicle of the Company in connection with an issuance of preferred securities by such financing entity and (iii) redeemable stock of the Company.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Trade Payables</w:t>
      </w:r>
      <w:r>
        <w:rPr>
          <w:rFonts w:ascii="Times New Roman;Times;Serif" w:hAnsi="Times New Roman;Times;Serif"/>
          <w:b w:val="false"/>
          <w:i w:val="false"/>
          <w:caps w:val="false"/>
          <w:smallCaps w:val="false"/>
          <w:sz w:val="20"/>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Unregistered Security</w:t>
      </w:r>
      <w:r>
        <w:rPr>
          <w:rFonts w:ascii="Times New Roman;Times;Serif" w:hAnsi="Times New Roman;Times;Serif"/>
          <w:b w:val="false"/>
          <w:i w:val="false"/>
          <w:caps w:val="false"/>
          <w:smallCaps w:val="false"/>
          <w:sz w:val="20"/>
        </w:rPr>
        <w:t>” means any Security other than a Registered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rPr>
        <w:t xml:space="preserve">Other Definitions.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3625" w:type="dxa"/>
        <w:jc w:val="center"/>
        <w:tblInd w:w="0" w:type="dxa"/>
        <w:tblLayout w:type="fixed"/>
        <w:tblCellMar>
          <w:top w:w="0" w:type="dxa"/>
          <w:left w:w="0" w:type="dxa"/>
          <w:bottom w:w="28" w:type="dxa"/>
          <w:right w:w="0" w:type="dxa"/>
        </w:tblCellMar>
      </w:tblPr>
      <w:tblGrid>
        <w:gridCol w:w="2735"/>
        <w:gridCol w:w="60"/>
        <w:gridCol w:w="60"/>
        <w:gridCol w:w="695"/>
        <w:gridCol w:w="75"/>
      </w:tblGrid>
      <w:tr>
        <w:trPr/>
        <w:tc>
          <w:tcPr>
            <w:tcW w:w="273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Authenticating Agent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Transaction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7.03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6.01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10.15(a)</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sinking fund payment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sinking fund payment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Blockage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11.02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Currency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10.15(a)</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Register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self-liquidating paper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7.03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payment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3.05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caps w:val="false"/>
          <w:smallCaps w:val="false"/>
          <w:sz w:val="20"/>
        </w:rPr>
        <w:t xml:space="preserve">Incorporation by Reference of Trust Indenture Act. </w:t>
      </w:r>
      <w:r>
        <w:rPr>
          <w:rFonts w:ascii="Times New Roman;Times;Serif" w:hAnsi="Times New Roman;Times;Serif"/>
          <w:b w:val="false"/>
          <w:i w:val="false"/>
          <w:caps w:val="false"/>
          <w:smallCaps w:val="false"/>
          <w:sz w:val="20"/>
        </w:rPr>
        <w:t>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institutional trustee</w:t>
      </w:r>
      <w:r>
        <w:rPr>
          <w:rFonts w:ascii="Times New Roman;Times;Serif" w:hAnsi="Times New Roman;Times;Serif"/>
          <w:b w:val="false"/>
          <w:i w:val="false"/>
          <w:caps w:val="false"/>
          <w:smallCaps w:val="false"/>
          <w:sz w:val="20"/>
        </w:rPr>
        <w:t>” means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caps w:val="false"/>
          <w:smallCaps w:val="false"/>
          <w:sz w:val="20"/>
        </w:rPr>
        <w:t xml:space="preserve">Rules of Construction. </w:t>
      </w: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in the singular include the plural, and words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“herein,” “hereof”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Sections or Articles refer to Sections or Articles of this Indenture unless otherwise indicated;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of masculine, feminine or neuter pronouns should not be deemed a limitation, and the use of any such pronouns should be construed to include, where appropriate, the other pronouns.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 xml:space="preserve">Form and Dating. </w:t>
      </w:r>
      <w:r>
        <w:rPr>
          <w:rFonts w:ascii="Times New Roman;Times;Serif" w:hAnsi="Times New Roman;Times;Serif"/>
          <w:b w:val="false"/>
          <w:i w:val="false"/>
          <w:caps w:val="false"/>
          <w:smallCaps w:val="false"/>
          <w:sz w:val="20"/>
        </w:rPr>
        <w:t>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 Unless otherwise so established, Unregistered Securities shall have coupons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 xml:space="preserve">Execution And Authentication. </w:t>
      </w:r>
      <w:r>
        <w:rPr>
          <w:rFonts w:ascii="Times New Roman;Times;Serif" w:hAnsi="Times New Roman;Times;Serif"/>
          <w:b w:val="false"/>
          <w:i w:val="false"/>
          <w:caps w:val="false"/>
          <w:smallCaps w:val="false"/>
          <w:sz w:val="20"/>
        </w:rPr>
        <w:t>Two Officers shall execute the Securities and one Officer shall execute the coupons appertaining thereto for the Company by facsimile or manual signature in the name and on behalf of the Company. The seal of the Company, if any, shall be reproduced on the Securities. If an Officer whose signature is on a Security or coupon appertaining thereto no longer holds that office at the time the Security is authenticated, the Security and such coupon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and the coupons appertaining thereto shall not be valid until the Trustee or Authenticating Agent manually signs the certificate of authentication on the Security or on the Security to which such coupon appertains by an authorized officer. The signature shall be conclusive evidence that the Security or the Security to which the coupon appertains has been authenticated under this Indenture.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having attached thereto appropriate coupons, if any,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Board Resolution and/or executed supplemental indenture referred to in Sections ‎2.01 and ‎2.03 by or pursuant to which the forms and terms of the Securities of that series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 xml:space="preserve">Amount Unlimited; 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and shall be subordinated to the Senior Indebtedness pursuant to the provisions of ‎Article 11 hereof.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shall distinguish the Securities of the series from the Securities of all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(which date or dates may be fixed or extendible);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at which the Securities of the series shall bear interest, if any, the date or dates from which such interest shall accrue, on which such interest shall be payable and (in the case of Registered Securities) on which a record shall be taken for the determination of Holders to whom interest is payable and/or the method by which such rate or rates or date or dates shall be determined;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as provided in ‎Section 4.02, the place or places where the principal of and any interest on Securities of the series shall be payable, any Registered Securities of the series may be surrendered for exchange, notices, demands to or upon the Company in respect of the Securities of the series and this Indenture may be served and notice to Holders may be published;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denominations of $1,000 and any integral multiple thereof, the denominations in which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the Securities of the series or any portion thereof will be issuable as Registered Securities (and if so, whether such Securities will be issuable as Registered Global Securities) or Unregistered Securities (with or without coupons) (and if so, whether such Securities will be issued in temporary or permanent global form), or any combination of the foregoing, any restrictions applicable to the offer, sale or delivery of Unregistered Securities or the payment of interest thereon and, if other than as provided herein, the terms upon which Unregistered Securities of any series may be exchanged for Registered Securities of such series and vice versa;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trustees, depositaries, authenticating or paying agents, transfer agents or the registrar or any other agents with respect to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the Securities of the series are issuable in whole or in part as one or more Registered Global Securities or Unregistered Securities in global form, the identity of the Depositary or common Depositary for such Registered Global Security or Securities or Unregistered Securities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other Events of Default or covenants with respect to the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terms of the Securities of the series (which terms shall not be inconsistent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and coupons, if any, appertaining thereto shall be substantially identical, except in the case of Registered Securities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 xml:space="preserve">Denomination and Date of Securities; Payments of Interest. </w:t>
      </w:r>
      <w:r>
        <w:rPr>
          <w:rFonts w:ascii="Times New Roman;Times;Serif" w:hAnsi="Times New Roman;Times;Serif"/>
          <w:b w:val="false"/>
          <w:i w:val="false"/>
          <w:caps w:val="false"/>
          <w:smallCaps w:val="false"/>
          <w:sz w:val="20"/>
        </w:rPr>
        <w:t>The Securities of each series shall be issuable as Registered Securities or Unregistered Securities in denominations established as contemplated by Section 2.03 or, if not so established with respect to Securities of any series, in denominations of $1,000 and any integral multiple thereof.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Registered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Registered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 xml:space="preserve">Registrar and Paying Agent; Agents Generally. </w:t>
      </w:r>
      <w:r>
        <w:rPr>
          <w:rFonts w:ascii="Times New Roman;Times;Serif" w:hAnsi="Times New Roman;Times;Serif"/>
          <w:b w:val="false"/>
          <w:i w:val="false"/>
          <w:caps w:val="false"/>
          <w:smallCaps w:val="false"/>
          <w:sz w:val="20"/>
        </w:rPr>
        <w:t>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 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 The Company shall cause the Registrar to keep a register of the Registered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 xml:space="preserve">Paying Agent to Hold Money in Trust. </w:t>
      </w:r>
      <w:r>
        <w:rPr>
          <w:rFonts w:ascii="Times New Roman;Times;Serif" w:hAnsi="Times New Roman;Times;Serif"/>
          <w:b w:val="false"/>
          <w:i w:val="false"/>
          <w:caps w:val="false"/>
          <w:smallCaps w:val="false"/>
          <w:sz w:val="20"/>
        </w:rPr>
        <w:t>Not later than 10:00 a.m. New York City time on each due date or, in the case of Unregistered Securities, 10:00 a.m. New York City time on the Business Day prior to the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 xml:space="preserve">Transfer and Exchange. </w:t>
      </w:r>
      <w:r>
        <w:rPr>
          <w:rFonts w:ascii="Times New Roman;Times;Serif" w:hAnsi="Times New Roman;Times;Serif"/>
          <w:b w:val="false"/>
          <w:i w:val="false"/>
          <w:caps w:val="false"/>
          <w:smallCaps w:val="false"/>
          <w:sz w:val="20"/>
        </w:rPr>
        <w:t>Unregistered Securities (except for any temporary global Unregistered Securities) and coupons (except for coupons attached to any temporary global Unregistered Securities) shall be transferable by delivery.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Company that shall be maintained for such purpose in accordance with ‎Section 2.05 and upon payment, if the Company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Company that shall be maintained for such purpose in accordance with ‎Section 4.02, with, in the case of Unregistered Securities that have coupons attached, all unmatured coupons and all matured coupons in default thereto appertaining, and upon payment, if the Company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Company that shall be maintained for such purpose in accordance with ‎Section 4.02, with, in the case of Unregistered Securities that have coupons attached, all unmatured coupons and all matured coupons in default thereto appertaining, and upon payment, if the Company shall so require, of the charges hereinafter provided. Registered Securities of any series may not be exchanged for Unregistered Securities of such series.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Registered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Registered Securities of the same series, of any authorized denominations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Registered Securities of such series and tenor, will authenticate and deliver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Registered Securities of such series and tenor, will authenticate and deliver,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Company agrees to supply the Trustee with a reasonable supply of certificated Registered Securities without the legend required by ‎Section 2.02 and the Trustee agrees to hold such Registered Securities in safekeeping until authenticated and delivered pursuant to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‎(a) above.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Company, the Trustee or any agent of the Company or the Trustee shall be required to exchange any Unregistered Security for a Registered Security if such exchange would result in adverse Federal income tax consequences to the Company (such as, for example, the inability of the Company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 xml:space="preserve">Replacement Securities. </w:t>
      </w:r>
      <w:r>
        <w:rPr>
          <w:rFonts w:ascii="Times New Roman;Times;Serif" w:hAnsi="Times New Roman;Times;Serif"/>
          <w:b w:val="false"/>
          <w:i w:val="false"/>
          <w:caps w:val="false"/>
          <w:smallCaps w:val="false"/>
          <w:sz w:val="20"/>
        </w:rPr>
        <w:t>If any mutilated Security or a Security with a mutilated coupon appertaining to it is surrendered to the Trustee, the Company shall execute and the Trustee shall authenticate and deliver, in exchange for such mutilated Security or in exchange for the Security to which a mutilated coupon appertains, a new Security of the same series and of like tenor and principal amount and bearing a number not contemporaneously outstanding, with coupons corresponding to the coupons, if any, appertaining to such mutilated Security or to the Security to which such mutilated coupon appertains.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or coupon and (ii) such security or indemnity as may be required by them to save each of them and any agent of any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any such mutilated, destroyed, lost or stolen Security or coupon has become or is about to become due and payable, the Company in its discretion may, instead of issuing a new Security, pay such Security or coupon (without surrender thereof except in the case of a mutilated Security or coupon)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Principal of and any interest on Unregistered Securities shall, except as otherwise provided in ‎Section 4.02, be payable only at an office or agency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with its coupons, if any, issued pursuant to this Section in lieu of any destroyed, lost or stolen Security or in exchange for any mutilated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 or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 xml:space="preserve">Outstanding Securities. </w:t>
      </w:r>
      <w:r>
        <w:rPr>
          <w:rFonts w:ascii="Times New Roman;Times;Serif" w:hAnsi="Times New Roman;Times;Serif"/>
          <w:b w:val="false"/>
          <w:i w:val="false"/>
          <w:caps w:val="false"/>
          <w:smallCaps w:val="false"/>
          <w:sz w:val="20"/>
        </w:rPr>
        <w:t>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 xml:space="preserve">Temporary Securities. </w:t>
      </w:r>
      <w:r>
        <w:rPr>
          <w:rFonts w:ascii="Times New Roman;Times;Serif" w:hAnsi="Times New Roman;Times;Serif"/>
          <w:b w:val="false"/>
          <w:i w:val="false"/>
          <w:caps w:val="false"/>
          <w:smallCaps w:val="false"/>
          <w:sz w:val="20"/>
        </w:rPr>
        <w:t>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 xml:space="preserve">Cancellation. </w:t>
      </w:r>
      <w:r>
        <w:rPr>
          <w:rFonts w:ascii="Times New Roman;Times;Serif" w:hAnsi="Times New Roman;Times;Serif"/>
          <w:b w:val="false"/>
          <w:i w:val="false"/>
          <w:caps w:val="false"/>
          <w:smallCaps w:val="false"/>
          <w:sz w:val="20"/>
        </w:rPr>
        <w:t>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Company in issuing the Securities may use “CUSIP” and “CINS” numbers (if then generally in use), and the Trustee shall use CUSIP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rPr>
        <w:t xml:space="preserve">Defaulted Interest. </w:t>
      </w:r>
      <w:r>
        <w:rPr>
          <w:rFonts w:ascii="Times New Roman;Times;Serif" w:hAnsi="Times New Roman;Times;Serif"/>
          <w:b w:val="false"/>
          <w:i w:val="false"/>
          <w:caps w:val="false"/>
          <w:smallCaps w:val="false"/>
          <w:sz w:val="20"/>
        </w:rPr>
        <w:t>If the Company defaults in a payment of interest on the Registered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Registered Securities and to the Trustee a notice that states the special record date, the payment date and the amount of defaulted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caps w:val="false"/>
          <w:smallCaps w:val="false"/>
          <w:sz w:val="20"/>
        </w:rPr>
        <w:t xml:space="preserve">Series May Include Tranches. </w:t>
      </w:r>
      <w:r>
        <w:rPr>
          <w:rFonts w:ascii="Times New Roman;Times;Serif" w:hAnsi="Times New Roman;Times;Serif"/>
          <w:b w:val="false"/>
          <w:i w:val="false"/>
          <w:caps w:val="false"/>
          <w:smallCaps w:val="false"/>
          <w:sz w:val="20"/>
        </w:rPr>
        <w:t>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with respect to Sections ‎2.02 (other than the fourth, sixth and seventh paragraphs thereof) through ‎2.04, ‎2.07, ‎2.08, ‎2.10, ‎3.01 through ‎3.05, ‎4.02, ‎6.01 through ‎6.14, ‎8.01 through ‎8.07, ‎9.02 and ‎Section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 xml:space="preserve">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 xml:space="preserve">Notice of Redemption; Partial Redemptions. </w:t>
      </w:r>
      <w:r>
        <w:rPr>
          <w:rFonts w:ascii="Times New Roman;Times;Serif" w:hAnsi="Times New Roman;Times;Serif"/>
          <w:b w:val="false"/>
          <w:i w:val="false"/>
          <w:caps w:val="false"/>
          <w:smallCaps w:val="false"/>
          <w:sz w:val="20"/>
        </w:rPr>
        <w:t>Notice of redemption to the Holders of Registered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Registered Securities of such series at their last addresses as they shall appear upon the registry books. Notice of redemption to the Holders of Unregistered Securities of any series to be redeemed as a whole or in part who have filed their names and addresses with the Trustee pursuant to Section 313(c)(2) of the Trust Indenture Act, shall be given by mailing notice of such redemption, by first class mail, postage prepaid, at least 30 days and not more than 60 days prior to the date fixed for redemption, to such Holders at such addresses as were so furnished to the Trustee (and, in the case of any such notice given by the Company, the Trustee shall make such information available to the Company for such purpose). Notice of redemption to all other Holders of Unregistered Securities of any series to be redeemed as a whole or in part shall be published in an Authorized Newspaper in The City of New York or with respect to any Security the interest on which is based on the offered quotations in the interbank Eurodollar market for dollar deposits in an Authorized Newspaper in London, in each case, once in each of three successive calendar weeks, the first publication to be not less than 30 days nor more than 60 days prior to the date fixed for redemption.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and, in the case of Securities with coupons attached thereto, of all coupons appertaining thereto maturing after the date fixed for redemption,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or, in the case of Unregistered Securities, on or before 10:00 a.m.  New York City time on the Business Day prior to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 xml:space="preserve">Payment of Securities Called for Redemption. </w:t>
      </w:r>
      <w:r>
        <w:rPr>
          <w:rFonts w:ascii="Times New Roman;Times;Serif" w:hAnsi="Times New Roman;Times;Serif"/>
          <w:b w:val="false"/>
          <w:i w:val="false"/>
          <w:caps w:val="false"/>
          <w:smallCaps w:val="false"/>
          <w:sz w:val="20"/>
        </w:rPr>
        <w:t>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the unmatured coupons, if any, appertaining thereto shall be void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together with all coupons, if any, appertaining thereto maturing after the date fixed for redemption,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in the case of Securities with coupons attached thereto, to the Holders of the coupons for such interest upon surrender thereof, and in the case of Registered Securities, to the Holders of such Registered Securities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with coupons attached thereto is surrendered for redemption and is not accompanied by all appurtenant coupons maturing after the date fixed for redemption, the surrender of such missing coupon or coupons may be waived by the Company and the Trustee, if there be furnished to each of them such security or indemnity as they may require to save each of them harmless.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(with any unmatured coupons attached),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 xml:space="preserve">Exclusion of Certain Securities from Eligibility for Selection for Redemption. </w:t>
      </w:r>
      <w:r>
        <w:rPr>
          <w:rFonts w:ascii="Times New Roman;Times;Serif" w:hAnsi="Times New Roman;Times;Serif"/>
          <w:b w:val="false"/>
          <w:i w:val="false"/>
          <w:caps w:val="false"/>
          <w:smallCaps w:val="false"/>
          <w:sz w:val="20"/>
        </w:rPr>
        <w:t>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 xml:space="preserve">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or, in the case of Unregistered Securities, 10:00 a.m. New York City time on the Business Day prior to the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apply to each series unless otherwise provided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 xml:space="preserve">Payment of Securities. </w:t>
      </w:r>
      <w:r>
        <w:rPr>
          <w:rFonts w:ascii="Times New Roman;Times;Serif" w:hAnsi="Times New Roman;Times;Serif"/>
          <w:b w:val="false"/>
          <w:i w:val="false"/>
          <w:caps w:val="false"/>
          <w:smallCaps w:val="false"/>
          <w:sz w:val="20"/>
        </w:rPr>
        <w:t>The Company shall pay the Principal of and interest on the Securities on the dates and in the manner provided in the Securities and this Indenture. The interest on Securities with coupons attached (together with any additional amounts payable pursuant to the terms of such Securities) shall be payable only upon presentation and surrender of the several coupons for such interest installments as are evidenced thereby as they severally mature. The interest on any temporary Unregistered Securities (together with any additional amounts payable pursuant to the terms of such Securities) shall be paid, as to the installments of interest evidenced by coupons attached thereto, if any, only upon presentation and surrender thereof, and, as to the other installments of interest, if any, only upon presentation of such Unregistered Securities for notation thereon of the payment of such interest. The interest on Registered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Registered Security so agree,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 xml:space="preserve">Maintenance of Office or Agency. </w:t>
      </w:r>
      <w:r>
        <w:rPr>
          <w:rFonts w:ascii="Times New Roman;Times;Serif" w:hAnsi="Times New Roman;Times;Serif"/>
          <w:b w:val="false"/>
          <w:i w:val="false"/>
          <w:caps w:val="false"/>
          <w:smallCaps w:val="false"/>
          <w:sz w:val="20"/>
        </w:rPr>
        <w:t>The Company will maintain in the United States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Corporate Trust Office of the Trustee, located in [__],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one or more agencies in a city or cities located outside the United States (including any city in which such an agency is required to be maintained under the rules of any stock exchange on which the Securities of any series are listed) where the Unregistered Securities, if any, of each series and coupons, if any, appertaining thereto may be presented for payment. No payment on any Unregistered Security or coupon will be made upon presentation of such Unregistered Security or coupon at an agency of the Company within the United States nor will any payment be made by transfer to an account in, or by mail to an address in, the United States unless, pursuant to applicable United States laws and regulations then in effect, such payment can be made without adverse tax consequences to the Company. Notwithstanding the foregoing, if full payment in United States Dollars (“</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at each agency maintained by the Company outside the United States for payment on such Unregistered Securities or coupons appertaining thereto is illegal or effectively precluded by exchange controls or other similar restrictions, payments in Dollars of Unregistered Securities of any series and coupons appertaining thereto which are payable in Dollars may be made at an agency of the Company maintained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caps w:val="false"/>
          <w:smallCaps w:val="false"/>
          <w:sz w:val="20"/>
        </w:rPr>
        <w:t xml:space="preserve">Securityholders’ Lists. </w:t>
      </w:r>
      <w:r>
        <w:rPr>
          <w:rFonts w:ascii="Times New Roman;Times;Serif" w:hAnsi="Times New Roman;Times;Serif"/>
          <w:b w:val="false"/>
          <w:i w:val="false"/>
          <w:caps w:val="false"/>
          <w:smallCaps w:val="false"/>
          <w:sz w:val="20"/>
        </w:rPr>
        <w:t>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caps w:val="false"/>
          <w:smallCaps w:val="false"/>
          <w:sz w:val="20"/>
        </w:rPr>
        <w:t xml:space="preserve">Certificate to Trustee. </w:t>
      </w:r>
      <w:r>
        <w:rPr>
          <w:rFonts w:ascii="Times New Roman;Times;Serif" w:hAnsi="Times New Roman;Times;Serif"/>
          <w:b w:val="false"/>
          <w:i w:val="false"/>
          <w:caps w:val="false"/>
          <w:smallCaps w:val="false"/>
          <w:sz w:val="20"/>
        </w:rPr>
        <w:t>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caps w:val="false"/>
          <w:smallCaps w:val="false"/>
          <w:sz w:val="20"/>
        </w:rPr>
        <w:t xml:space="preserve">Reports by the Company. </w:t>
      </w:r>
      <w:r>
        <w:rPr>
          <w:rFonts w:ascii="Times New Roman;Times;Serif" w:hAnsi="Times New Roman;Times;Serif"/>
          <w:b w:val="false"/>
          <w:i w:val="false"/>
          <w:caps w:val="false"/>
          <w:smallCaps w:val="false"/>
          <w:sz w:val="20"/>
        </w:rPr>
        <w:t>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caps w:val="false"/>
          <w:smallCaps w:val="false"/>
          <w:sz w:val="20"/>
        </w:rPr>
        <w:t xml:space="preserve">Additional Amounts. </w:t>
      </w:r>
      <w:r>
        <w:rPr>
          <w:rFonts w:ascii="Times New Roman;Times;Serif" w:hAnsi="Times New Roman;Times;Serif"/>
          <w:b w:val="false"/>
          <w:i w:val="false"/>
          <w:caps w:val="false"/>
          <w:smallCaps w:val="false"/>
          <w:sz w:val="20"/>
        </w:rPr>
        <w:t>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Section 2.03 with respect to a series, the following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 xml:space="preserve">When Company May Merge, Etc. </w:t>
      </w:r>
      <w:r>
        <w:rPr>
          <w:rFonts w:ascii="Times New Roman;Times;Serif" w:hAnsi="Times New Roman;Times;Serif"/>
          <w:b w:val="false"/>
          <w:i w:val="false"/>
          <w:caps w:val="false"/>
          <w:smallCaps w:val="false"/>
          <w:sz w:val="20"/>
        </w:rPr>
        <w:t>The Company shall not consolidate with, merge with or into, or sell, convey, transfer, lease or otherwise dispose of all or substantially all of its property and assets (in one transaction or a series of related transactions) to, any Person unless either (x) the Company shall be the continuing Person or (y) the Person (if other than the Company) formed by such consolidation or into which the Company is merged or to which properties and assets of the Company shall be sold, conveyed, transferred or leased shall be a corporation organized and validly existing under the laws of the United States of America or any jurisdiction thereof and shall expressly assume, by a supplemental indenture, executed and delivered to the Trustee, all of the obligations of the Company on all of the Securities and under this Indenture and the Company in the case of clauses (x) and (y) shall have delivered to the Trustee (A) an Opinion of Counsel stating that such consolidation, merger or sale, conveyance, transfer or lease and such supplemental indenture (if any) complies with this provision and that all conditions precedent provided for herein relating to such transaction have been complied with and that such supplemental indenture (if any) constitutes the legal, valid and binding obligation of the Company and such successor enforceable against such entity in accordance with its terms, subject to customary exceptions and (B) an Officers’ Certificate to the effect that immediately after giving effect to such transaction,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 xml:space="preserve">Successor Substituted. </w:t>
      </w:r>
      <w:r>
        <w:rPr>
          <w:rFonts w:ascii="Times New Roman;Times;Serif" w:hAnsi="Times New Roman;Times;Serif"/>
          <w:b w:val="false"/>
          <w:i w:val="false"/>
          <w:caps w:val="false"/>
          <w:smallCaps w:val="false"/>
          <w:sz w:val="20"/>
        </w:rPr>
        <w:t>Upon any consolidation or merger, or any sale, conveyance, transfer, lease or other disposition of all or substantially all of the property and assets of the Company in accordance with Section 5.01 of this Indenture, the successor Person formed by such consolidation or into which the Company is merged or to which such sale, conveyance, transfer, lease or other disposition is made shall succeed to, and be substituted for, and may exercise every right and power of, the Company under this Indenture with the same effect as if such successor Person had been named as the Company herein and thereafter the predecessor Person, except in the case of a lease,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Unless otherwise provided in Section 2.03 with respect to a series,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the payment of the Principal of any Security of such series when the same becomes due and payable at maturity, upon acceleration, redemption or mandatory repurchase, including as a sinking fund installment, or otherwise;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interest on any Security of such series when the same becomes due and payable, and such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defaults in the performance of or breaches any other covenant or agreement of the Company in this Indenture with respect to any Security of such series or in the Securities of such series and such default or breach continues for a period of 30 consecutive days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established pursuant to ‎Section 2.03 with respect to the Securities of such series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 xml:space="preserve">Acceleration. </w:t>
      </w:r>
      <w:r>
        <w:rPr>
          <w:rFonts w:ascii="Times New Roman;Times;Serif" w:hAnsi="Times New Roman;Times;Serif"/>
          <w:b w:val="false"/>
          <w:i w:val="false"/>
          <w:caps w:val="false"/>
          <w:smallCaps w:val="false"/>
          <w:sz w:val="20"/>
        </w:rPr>
        <w:t>(a)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any such series then outstanding hereunder (each such series treated as a separate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such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 xml:space="preserve">Other Remedies. </w:t>
      </w:r>
      <w:r>
        <w:rPr>
          <w:rFonts w:ascii="Times New Roman;Times;Serif" w:hAnsi="Times New Roman;Times;Serif"/>
          <w:b w:val="false"/>
          <w:i w:val="false"/>
          <w:caps w:val="false"/>
          <w:smallCaps w:val="false"/>
          <w:sz w:val="20"/>
        </w:rPr>
        <w:t>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 xml:space="preserve">Waiver of Past Defaults. </w:t>
      </w:r>
      <w:r>
        <w:rPr>
          <w:rFonts w:ascii="Times New Roman;Times;Serif" w:hAnsi="Times New Roman;Times;Serif"/>
          <w:b w:val="false"/>
          <w:i w:val="false"/>
          <w:caps w:val="false"/>
          <w:smallCaps w:val="false"/>
          <w:sz w:val="20"/>
        </w:rPr>
        <w:t>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 xml:space="preserve">Control by Majority. </w:t>
      </w:r>
      <w:r>
        <w:rPr>
          <w:rFonts w:ascii="Times New Roman;Times;Serif" w:hAnsi="Times New Roman;Times;Serif"/>
          <w:b w:val="false"/>
          <w:i w:val="false"/>
          <w:caps w:val="false"/>
          <w:smallCaps w:val="false"/>
          <w:sz w:val="20"/>
        </w:rPr>
        <w:t>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(it being understood that the Trustee does not have an affirmative duty to ascertain whether any action or forbearance is unduly prejudicial to such Holders); and provided further, that the Trustee may take any other action it deems proper that is not inconsistent with any directions received from Holders of Securities pursuant to this Section 6.05; and provided further, that the Trustee may refuse to follow any direction unless indemnity and security satisfactory to the Trustee against any costs, losses or expenses caused by taking or not taking such action has been provided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 xml:space="preserve">Limitation on Suits. </w:t>
      </w:r>
      <w:r>
        <w:rPr>
          <w:rFonts w:ascii="Times New Roman;Times;Serif" w:hAnsi="Times New Roman;Times;Serif"/>
          <w:b w:val="false"/>
          <w:i w:val="false"/>
          <w:caps w:val="false"/>
          <w:smallCaps w:val="false"/>
          <w:sz w:val="20"/>
        </w:rPr>
        <w:t>No Holder of any Security of any series may institute any proceeding, judicial or otherwise, with respect to this Indenture or the Securities of such series,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to the Trustee written notice of a continuing Event of Default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Securities of all such series affected shall have made written request to the Trustee to institute proceedings in respect of such Event of Default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reasonably satisfactory to the Trustee against any costs, liabilities or expenses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Securities of all such affected series have not given the Trustee a direction that is inconsistent with such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 xml:space="preserve">Rights of Holders to Receive Payment. </w:t>
      </w:r>
      <w:r>
        <w:rPr>
          <w:rFonts w:ascii="Times New Roman;Times;Serif" w:hAnsi="Times New Roman;Times;Serif"/>
          <w:b w:val="false"/>
          <w:i w:val="false"/>
          <w:caps w:val="false"/>
          <w:smallCaps w:val="false"/>
          <w:sz w:val="20"/>
        </w:rPr>
        <w:t>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 xml:space="preserve">Collection Suit by Trustee. </w:t>
      </w:r>
      <w:r>
        <w:rPr>
          <w:rFonts w:ascii="Times New Roman;Times;Serif" w:hAnsi="Times New Roman;Times;Serif"/>
          <w:b w:val="false"/>
          <w:i w:val="false"/>
          <w:caps w:val="false"/>
          <w:smallCaps w:val="false"/>
          <w:sz w:val="20"/>
        </w:rPr>
        <w:t>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 xml:space="preserve">Trustee May File Proofs of Claim. </w:t>
      </w:r>
      <w:r>
        <w:rPr>
          <w:rFonts w:ascii="Times New Roman;Times;Serif" w:hAnsi="Times New Roman;Times;Serif"/>
          <w:b w:val="false"/>
          <w:i w:val="false"/>
          <w:caps w:val="false"/>
          <w:smallCaps w:val="false"/>
          <w:sz w:val="20"/>
        </w:rPr>
        <w:t>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 xml:space="preserve">Application of Proceeds. </w:t>
      </w:r>
      <w:r>
        <w:rPr>
          <w:rFonts w:ascii="Times New Roman;Times;Serif" w:hAnsi="Times New Roman;Times;Serif"/>
          <w:b w:val="false"/>
          <w:i w:val="false"/>
          <w:caps w:val="false"/>
          <w:smallCaps w:val="false"/>
          <w:sz w:val="20"/>
        </w:rPr>
        <w:t>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and coupons appertaining to such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Subject to ‎Article 11,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Subject to ‎Article 11,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 xml:space="preserve">Restoration of Rights and Remedies. </w:t>
      </w: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rPr>
        <w:t xml:space="preserve">Undertaking for Costs. </w:t>
      </w: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rPr>
        <w:t xml:space="preserve">Rights and Remedies Cumulative. </w:t>
      </w:r>
      <w:r>
        <w:rPr>
          <w:rFonts w:ascii="Times New Roman;Times;Serif" w:hAnsi="Times New Roman;Times;Serif"/>
          <w:b w:val="false"/>
          <w:i w:val="false"/>
          <w:caps w:val="false"/>
          <w:smallCaps w:val="false"/>
          <w:sz w:val="20"/>
        </w:rPr>
        <w:t>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caps w:val="false"/>
          <w:smallCaps w:val="false"/>
          <w:sz w:val="20"/>
        </w:rPr>
        <w:t xml:space="preserve">Delay or Omission not Waiver. </w:t>
      </w:r>
      <w:r>
        <w:rPr>
          <w:rFonts w:ascii="Times New Roman;Times;Serif" w:hAnsi="Times New Roman;Times;Serif"/>
          <w:b w:val="false"/>
          <w:i w:val="false"/>
          <w:caps w:val="false"/>
          <w:smallCaps w:val="false"/>
          <w:sz w:val="20"/>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In addition to all of the rights, benefits, privileges and immunities granted to the Trustee hereunder, and notwithstanding that this Indenture is not qualified under the Trust Indenture Act, all of the rights, benefits, privileges and immunities granted to a trustee under the Trust Indenture Act are incorporated herein. The Trustee undertakes to perform such duties and only such duties as are specifically set forth in this Indenture and no duties shall be implied.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not regularly in its employ and shall not be responsible for the misconduct or negligence of any agent or attorney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order or direction of any of the Holders, unless such Holders shall have offered to the Trustee security or indemnity reasonably satisfactory to the Trustee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occurrence of an Event of Default hereunder and after the curing or waiving of any Event of Default in accordance with ‎Section 6.04,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subject to ‎Section 7.02(e),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of reports, information and documents to the Trustee under ‎Section 4.04 and ‎Section 4.05 is for informational purposes only and the Trustee’s receipt of the foregoing shall not imply a duty to review and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caps w:val="false"/>
          <w:smallCaps w:val="false"/>
          <w:sz w:val="20"/>
        </w:rPr>
        <w:t xml:space="preserve">Individual Rights of Trustee. </w:t>
      </w: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transaction</w:t>
      </w:r>
      <w:r>
        <w:rPr>
          <w:rFonts w:ascii="Times New Roman;Times;Serif" w:hAnsi="Times New Roman;Times;Serif"/>
          <w:b w:val="false"/>
          <w:i w:val="false"/>
          <w:caps w:val="false"/>
          <w:smallCaps w:val="false"/>
          <w:sz w:val="20"/>
        </w:rPr>
        <w:t>” means any transaction in which full payment for goods or securities sold is made within seven days after delivery of the goods or securities in currency or in checks or other orders drawn upon banks or bankers and payable upon demand;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self-liquidating paper</w:t>
      </w:r>
      <w:r>
        <w:rPr>
          <w:rFonts w:ascii="Times New Roman;Times;Serif" w:hAnsi="Times New Roman;Times;Serif"/>
          <w:b w:val="false"/>
          <w:i w:val="false"/>
          <w:caps w:val="false"/>
          <w:smallCaps w:val="false"/>
          <w:sz w:val="20"/>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caps w:val="false"/>
          <w:smallCaps w:val="false"/>
          <w:sz w:val="20"/>
        </w:rPr>
        <w:t xml:space="preserve">Trustee’s Disclaimer. </w:t>
      </w:r>
      <w:r>
        <w:rPr>
          <w:rFonts w:ascii="Times New Roman;Times;Serif" w:hAnsi="Times New Roman;Times;Serif"/>
          <w:b w:val="false"/>
          <w:i w:val="false"/>
          <w:caps w:val="false"/>
          <w:smallCaps w:val="false"/>
          <w:sz w:val="20"/>
        </w:rPr>
        <w:t>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caps w:val="false"/>
          <w:smallCaps w:val="false"/>
          <w:sz w:val="20"/>
        </w:rPr>
        <w:t xml:space="preserve">Notice of Default. </w:t>
      </w:r>
      <w:r>
        <w:rPr>
          <w:rFonts w:ascii="Times New Roman;Times;Serif" w:hAnsi="Times New Roman;Times;Serif"/>
          <w:b w:val="false"/>
          <w:i w:val="false"/>
          <w:caps w:val="false"/>
          <w:smallCaps w:val="false"/>
          <w:sz w:val="20"/>
        </w:rPr>
        <w:t>If any Default with respect to the Securities of any series occurs and is continuing, the Trustee shall give notice thereof to each Holder of Securities of such series (a) within 90 days of the occurrence thereof to the extent that a Responsible Officer of the Trustee has actual knowledge that such Default exists within such time period or (b) if a Responsible Officer of the Trustee does not have actual knowledge of such Default during such period, as soon as practicable after a Responsible Officer of the Trustee obtains actual knowledge thereof. Such notice shall be given (a) if any Unregistered Securities of such series are then outstanding, to the Holders thereof, by publication at least once in an Authorized Newspaper in the Borough of Manhattan, The City of New York and at least once in an Authorized Newspaper in London and (b)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 The Trustee shall not be required to take notice or be deemed to have knowledge or notice of any Default, except failure by the Company in the payment of Principal of or interest on any Security, unless the Trustee shall have been notified of such Default in writing by the Company or by the Holders of a majority in aggregate principal amount of the Securities then outstanding and all notices required to be delivered to the Trustee must, in order to be effective, be delivered at the designated Corporate Trust Office of the Trustee and, in the absence of such notice so delivered, the Trustee may conclusively assume there is no Default except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caps w:val="false"/>
          <w:smallCaps w:val="false"/>
          <w:sz w:val="20"/>
        </w:rPr>
        <w:t xml:space="preserve">Reports by Trustee to Holders. </w:t>
      </w:r>
      <w:r>
        <w:rPr>
          <w:rFonts w:ascii="Times New Roman;Times;Serif" w:hAnsi="Times New Roman;Times;Serif"/>
          <w:b w:val="false"/>
          <w:i w:val="false"/>
          <w:caps w:val="false"/>
          <w:smallCaps w:val="false"/>
          <w:sz w:val="20"/>
        </w:rPr>
        <w:t>(a) Within 60 days after each May 15 beginning with the May 15 following the date of this Indenture, and for so long as Securities remain outstanding, the Trustee will transmit to Holders of the Securities a brief reported dated as of such reporting date that complies with the Trust Indenture Act Section 313(a) (but if no event described in the Trust Indenture Act Section 313(a) has occurred within the twelve months preceding the reporting date, no report need be transmitted). The Trustee will also comply with Trust Indenture Act Section 313(b)(2). The Trustee will also transmit all reports as required by the Trust Indenture Act Section 313(c).</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each report at the time of its transmission to the Holders will be transmitted by the Trustee to the Company and filed by the Trustee with the Commission and each stock exchange on which any Securities are listed in accordance with the Trust Indenture Act Section 313(d). The Company will promptly notify the Trustee when any Securities are listed on any stock exchange or of any delisting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caps w:val="false"/>
          <w:smallCaps w:val="false"/>
          <w:sz w:val="20"/>
        </w:rPr>
        <w:t xml:space="preserve">Compensation and Indemnity. </w:t>
      </w:r>
      <w:r>
        <w:rPr>
          <w:rFonts w:ascii="Times New Roman;Times;Serif" w:hAnsi="Times New Roman;Times;Serif"/>
          <w:b w:val="false"/>
          <w:i w:val="false"/>
          <w:caps w:val="false"/>
          <w:smallCaps w:val="false"/>
          <w:sz w:val="20"/>
        </w:rPr>
        <w:t>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or coupons,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caps w:val="false"/>
          <w:smallCaps w:val="false"/>
          <w:sz w:val="20"/>
        </w:rPr>
        <w:t>Replacement of Trustee</w:t>
      </w:r>
      <w:r>
        <w:rPr>
          <w:rFonts w:ascii="Times New Roman;Times;Serif" w:hAnsi="Times New Roman;Times;Serif"/>
          <w:b w:val="false"/>
          <w:i w:val="false"/>
          <w:caps w:val="false"/>
          <w:smallCaps w:val="false"/>
          <w:sz w:val="20"/>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caps w:val="false"/>
          <w:smallCaps w:val="false"/>
          <w:sz w:val="20"/>
        </w:rPr>
        <w:t xml:space="preserve">Acceptance of Appointment by Successor.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caps w:val="false"/>
          <w:smallCaps w:val="false"/>
          <w:sz w:val="20"/>
        </w:rPr>
        <w:t xml:space="preserve">Successor Trustee By Merger, Etc. </w:t>
      </w: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caps w:val="false"/>
          <w:smallCaps w:val="false"/>
          <w:sz w:val="20"/>
        </w:rPr>
        <w:t xml:space="preserve">Money Held in Trust. </w:t>
      </w:r>
      <w:r>
        <w:rPr>
          <w:rFonts w:ascii="Times New Roman;Times;Serif" w:hAnsi="Times New Roman;Times;Serif"/>
          <w:b w:val="false"/>
          <w:i w:val="false"/>
          <w:caps w:val="false"/>
          <w:smallCaps w:val="false"/>
          <w:sz w:val="20"/>
        </w:rPr>
        <w:t>The Trustee shall not be required to invest any money received by it pursuant to this Indenture or liable for interest on any money received by it pursuant to this Indenture, except in each case,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 xml:space="preserve">Satisfaction and Discharge of Indenture. </w:t>
      </w:r>
      <w:r>
        <w:rPr>
          <w:rFonts w:ascii="Times New Roman;Times;Serif" w:hAnsi="Times New Roman;Times;Serif"/>
          <w:b w:val="false"/>
          <w:i w:val="false"/>
          <w:caps w:val="false"/>
          <w:smallCaps w:val="false"/>
          <w:sz w:val="20"/>
        </w:rPr>
        <w:t>If at any time (a) the Company shall have paid or caused to be paid the Principal of and interest on all the Securities of any series outstanding hereunder (other than Securities of such series which have been destroyed, lost or stolen and which have been replaced or paid as provided in Section 2.08) as and when the same shall have become due and payable, or (b) the Company shall have delivered to the Trustee for cancellation all Securities of any series theretofore authenticated (other than any Securities of such series which shall have been destroyed, lost or stolen and which shall have been replaced or paid as provided in Section 2.08) or (c) (i)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(ii)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and if, in any such case, the Company is not prohibited from making payments in respect of the Securities by Article 11 hereof and shall also pay or cause to be paid all other sums payable hereunder by the Company with respect to Securities of such series,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 xml:space="preserve">Application by Trustee of Funds Deposited for Payment of Securities. </w:t>
      </w:r>
      <w:r>
        <w:rPr>
          <w:rFonts w:ascii="Times New Roman;Times;Serif" w:hAnsi="Times New Roman;Times;Serif"/>
          <w:b w:val="false"/>
          <w:i w:val="false"/>
          <w:caps w:val="false"/>
          <w:smallCaps w:val="false"/>
          <w:sz w:val="20"/>
        </w:rPr>
        <w:t>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Funds and U.S. Government Obligations held in trust under Section 8.01, 8.05 or 8.06 shall not be subject to the claims of the holders of Senior Indebtedness under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rPr>
        <w:t xml:space="preserve">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rPr>
        <w:t xml:space="preserve">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rPr>
        <w:t xml:space="preserve">Defeasance and Discharge of Indenture. </w:t>
      </w:r>
      <w:r>
        <w:rPr>
          <w:rFonts w:ascii="Times New Roman;Times;Serif" w:hAnsi="Times New Roman;Times;Serif"/>
          <w:b w:val="false"/>
          <w:i w:val="false"/>
          <w:caps w:val="false"/>
          <w:smallCaps w:val="false"/>
          <w:sz w:val="20"/>
        </w:rPr>
        <w:t>The Company shall be deemed to have paid and shall be discharged from any and all obligations in respect of the Securities of any series, on the 123rd day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registration of transfer and exchange, and the Company’s right of optional redemption, (b) substitution of apparently mutilated, defaced, destroyed, lost or stolen Securities, (c) rights of holders to receive payments of principal thereof and interest thereon, upon the original stated due dates therefor (but not upon acceleration), (d) the rights, obligations and immunities of the Trustee hereunder and (e) the rights of the Securityholders of such series as beneficiaries hereof with respect to the property so deposited with the Trustee payable to all or any of them; provided that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reference to this provision the Company has deposited or caused to be irrevocably deposited with the Trustee (or another qualifying trustee satisfying the requirements of ‎Section 7.11) as trust funds in trust, specifically pledged as security for, and dedicated solely to, the benefit of the Holders of the Securities of such series, (A) money in an amount, or (B) U.S. Government Obligations which through the payment of interest and principal in respect thereof in accordance with their terms will provide not later than one day before the due date of any payment referred to in subclause (x) or (y) of this clause ‎(i) money in an amount, or (C) a combination thereof, sufficient, in the opinion of a nationally recognized firm of independent public accountants expressed in a written certification thereof delivered to the Trustee,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Securities of such series on the due dates thereof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 either (x) an Opinion of Counsel to the effect that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 which Opinion of Counsel must be based upon a ruling of the Internal Revenue Service to the same effect or a change in applicable federal income tax law or related treasury regulations after the date of this Indenture or (y) a ruling directed to the Trustee received from the Internal Revenue Service to the same effect as the aforementioned Opinion of Counsel and (B) an Opinion of Counsel to the effect that the creation of the defeasance trust does not violate the Investment Company Act of 1940, as amended, and after the passage of 123 days following the deposit, the trust fund will not be subject to the effect of Section 547 of the U.S. Bankruptcy Code or Section 15 of the New York Debtor and Creditor Law;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the Company is a party or by which the Company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delivered to the Trustee an Officers’ Certificate and an Opinion of Counsel, each stating that all conditions precedent to the defeasance and discharge under this Section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caps w:val="false"/>
          <w:smallCaps w:val="false"/>
          <w:sz w:val="20"/>
        </w:rPr>
        <w:t xml:space="preserve">Defeasance of Certain Obligations. </w:t>
      </w:r>
      <w:r>
        <w:rPr>
          <w:rFonts w:ascii="Times New Roman;Times;Serif" w:hAnsi="Times New Roman;Times;Serif"/>
          <w:b w:val="false"/>
          <w:i w:val="false"/>
          <w:caps w:val="false"/>
          <w:smallCaps w:val="false"/>
          <w:sz w:val="20"/>
        </w:rPr>
        <w:t>The Company may omit to comply with any term, provision or condition set forth in, and this Indenture will no longer be in effect with respect to, any covenant established pursuant to Section 2.03(r) and clause (c) (with respect to any covenants established pursuant to Section 2.03(r)) and clause (f) of Section 6.01 shall be deemed not to be an Event of Default,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8.06, the Company has deposited or caused to be irrevocably deposited with the Trustee (or another qualifying trustee satisfying the requirements of ‎Section 7.11) as trust funds in trust, specifically pledged as security for, and dedicated solely to, the benefit of the Holders of the Securities of such series and the Indenture with respect to the Securities of such series, (i) money in an amount or (ii) U.S. Government Obligations which through the payment of interest and principal in respect thereof in accordance with their terms will provide not later than one day before the due dates thereof or earlier redemption (irrevocably provided for under agreements satisfactory to the Trustee), as the case may be, of any payment referred to in subclause (x) or (y) of this clause ‎(a) money in an amount, or (iii) a combination thereof, sufficient, in the opinion of a nationally recognized firm of independent public accountants expressed in a written certification thereof delivered to the Trustee,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Securities on the due date thereof or earlier redemption (irrevocably provided for under arrangements satisfactory to the Trustee), as the case may be, and (y) any mandatory sinking fund payments or analogous payments applicable to the Securities of such series and the Indenture with respect to the Securities of such series on the day on which such payments are due and payable in accordance with the terms of the Indenture and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(i)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 and (ii) an Opinion of Counsel to the effect that the creation of the defeasance trust does not violate the Investment Company Act of 1940, as amended, and after the passage of 123 days following the deposit, the trust fund will not be subject to the effect of Section 547 of the U.S. Bankruptcy Code or Section 15 of the New York Debtor and Creditor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the Company is a party or by which the Company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such time the Securities of such series are listed on a national securities exchange, the Company has delivered to the Trustee an Opinion of Counsel to the effect that the Securities of such series will not be delisted as a result of such deposit, defeasance and discharge;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the defeasance under this Section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caps w:val="false"/>
          <w:smallCaps w:val="false"/>
          <w:sz w:val="20"/>
        </w:rPr>
        <w:t xml:space="preserve">Reinstatement. </w:t>
      </w:r>
      <w:r>
        <w:rPr>
          <w:rFonts w:ascii="Times New Roman;Times;Serif" w:hAnsi="Times New Roman;Times;Serif"/>
          <w:b w:val="false"/>
          <w:i w:val="false"/>
          <w:caps w:val="false"/>
          <w:smallCaps w:val="false"/>
          <w:sz w:val="20"/>
        </w:rPr>
        <w:t xml:space="preserve">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caps w:val="false"/>
          <w:smallCaps w:val="false"/>
          <w:sz w:val="20"/>
        </w:rPr>
        <w:t xml:space="preserve">Indemnity. </w:t>
      </w:r>
      <w:r>
        <w:rPr>
          <w:rFonts w:ascii="Times New Roman;Times;Serif" w:hAnsi="Times New Roman;Times;Serif"/>
          <w:b w:val="false"/>
          <w:i w:val="false"/>
          <w:caps w:val="false"/>
          <w:smallCaps w:val="false"/>
          <w:sz w:val="20"/>
        </w:rPr>
        <w:t>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 and any coupons appertaining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caps w:val="false"/>
          <w:smallCaps w:val="false"/>
          <w:sz w:val="20"/>
        </w:rPr>
        <w:t xml:space="preserve">Excess Funds. </w:t>
      </w:r>
      <w:r>
        <w:rPr>
          <w:rFonts w:ascii="Times New Roman;Times;Serif" w:hAnsi="Times New Roman;Times;Serif"/>
          <w:b w:val="false"/>
          <w:i w:val="false"/>
          <w:caps w:val="false"/>
          <w:smallCaps w:val="false"/>
          <w:sz w:val="20"/>
        </w:rPr>
        <w:t>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caps w:val="false"/>
          <w:smallCaps w:val="false"/>
          <w:sz w:val="20"/>
        </w:rPr>
        <w:t xml:space="preserve">Qualifying Trustee. </w:t>
      </w:r>
      <w:r>
        <w:rPr>
          <w:rFonts w:ascii="Times New Roman;Times;Serif" w:hAnsi="Times New Roman;Times;Serif"/>
          <w:b w:val="false"/>
          <w:i w:val="false"/>
          <w:caps w:val="false"/>
          <w:smallCaps w:val="false"/>
          <w:sz w:val="20"/>
        </w:rPr>
        <w:t>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 xml:space="preserve">Without Consent of Holders. </w:t>
      </w:r>
      <w:r>
        <w:rPr>
          <w:rFonts w:ascii="Times New Roman;Times;Serif" w:hAnsi="Times New Roman;Times;Serif"/>
          <w:b w:val="false"/>
          <w:i w:val="false"/>
          <w:caps w:val="false"/>
          <w:smallCaps w:val="false"/>
          <w:sz w:val="20"/>
        </w:rPr>
        <w:t>The Company and the Trustee may amend or supplement this Indenture or the Securities of any series without notice to or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cure any ambiguity, defect or inconsistency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amendments or supplements shall not materially and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any requirements of the Commission in connection with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 or forms or terms of Securities of any series or of the coupons appertaining to such Securities as permitted by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does not materially and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 xml:space="preserve">With Consent of Holders. </w:t>
      </w:r>
      <w:r>
        <w:rPr>
          <w:rFonts w:ascii="Times New Roman;Times;Serif" w:hAnsi="Times New Roman;Times;Serif"/>
          <w:b w:val="false"/>
          <w:i w:val="false"/>
          <w:caps w:val="false"/>
          <w:smallCaps w:val="false"/>
          <w:sz w:val="20"/>
        </w:rPr>
        <w:t>Subject to Sections 6.04 and 6.07, without prior notice to any Holders, the Company and the Trustee may amend this Indenture and the Securities of any series with the written consent of the Holders of a majority in principal amount of the outstanding Securities of all series affected by such amendment (all such series voting as a separate class), and the Holders of a majority in principal amount of the outstanding Securities of all series affected thereby (all such series voting as a separate class) by written notice to the Trustee may waive future compliance by the Company with any provision of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any sinking fund obligation or any installment of interest on, such Holder’s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amount thereof or the rate of interest thereon (including any amount in respect of original issue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above stated percentage of outstanding Securities the consent of whose holders is necessary to modify or amend the Indenture with respect to the Securities of the relevant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 or of the coupons appertaining to such Securities.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caps w:val="false"/>
          <w:smallCaps w:val="false"/>
          <w:sz w:val="20"/>
        </w:rPr>
        <w:t xml:space="preserve">Revocation and Effect of Consent. </w:t>
      </w:r>
      <w:r>
        <w:rPr>
          <w:rFonts w:ascii="Times New Roman;Times;Serif" w:hAnsi="Times New Roman;Times;Serif"/>
          <w:b w:val="false"/>
          <w:i w:val="false"/>
          <w:caps w:val="false"/>
          <w:smallCaps w:val="false"/>
          <w:sz w:val="20"/>
        </w:rPr>
        <w:t>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caps w:val="false"/>
          <w:smallCaps w:val="false"/>
          <w:sz w:val="20"/>
        </w:rPr>
        <w:t xml:space="preserve">Notation on or Exchange of Securities. </w:t>
      </w:r>
      <w:r>
        <w:rPr>
          <w:rFonts w:ascii="Times New Roman;Times;Serif" w:hAnsi="Times New Roman;Times;Serif"/>
          <w:b w:val="false"/>
          <w:i w:val="false"/>
          <w:caps w:val="false"/>
          <w:smallCaps w:val="false"/>
          <w:sz w:val="20"/>
        </w:rPr>
        <w:t>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caps w:val="false"/>
          <w:smallCaps w:val="false"/>
          <w:sz w:val="20"/>
        </w:rPr>
        <w:t xml:space="preserve">Trustee to Sign Amendments, Etc. </w:t>
      </w:r>
      <w:r>
        <w:rPr>
          <w:rFonts w:ascii="Times New Roman;Times;Serif" w:hAnsi="Times New Roman;Times;Serif"/>
          <w:b w:val="false"/>
          <w:i w:val="false"/>
          <w:caps w:val="false"/>
          <w:smallCaps w:val="false"/>
          <w:sz w:val="20"/>
        </w:rPr>
        <w:t>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caps w:val="false"/>
          <w:smallCaps w:val="false"/>
          <w:sz w:val="20"/>
        </w:rPr>
        <w:t xml:space="preserve">Conformity with Trust Indenture Act. </w:t>
      </w:r>
      <w:r>
        <w:rPr>
          <w:rFonts w:ascii="Times New Roman;Times;Serif" w:hAnsi="Times New Roman;Times;Serif"/>
          <w:b w:val="false"/>
          <w:i w:val="false"/>
          <w:caps w:val="false"/>
          <w:smallCaps w:val="false"/>
          <w:sz w:val="20"/>
        </w:rPr>
        <w:t>Every supplemental indenture executed pursuant to this Article 9 shall conform to the requirements of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caps w:val="false"/>
          <w:smallCaps w:val="false"/>
          <w:sz w:val="20"/>
        </w:rPr>
        <w:t xml:space="preserve">Trust Indenture Act of 1939. </w:t>
      </w:r>
      <w:r>
        <w:rPr>
          <w:rFonts w:ascii="Times New Roman;Times;Serif" w:hAnsi="Times New Roman;Times;Serif"/>
          <w:b w:val="false"/>
          <w:i w:val="false"/>
          <w:caps w:val="false"/>
          <w:smallCaps w:val="false"/>
          <w:sz w:val="20"/>
        </w:rPr>
        <w:t>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w:t>
        <w:br/>
        <w:t>c/o Mobileye B.V.</w:t>
        <w:br/>
        <w:t>Har Hotzvim, Shlomo Momo HaLevi Street 1</w:t>
        <w:br/>
        <w:t>Jerusalem, Israel</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of any Unregistered Securities, by publication at least once in an Authorized Newspaper in The City of New York, or with respect to any Security the interest on which is based on the offered quotations in the interbank Eurodollar market for dollar deposits at least once in an Authorized Newspaper in London, and by mailing to the Holders thereof who have filed their names and addresses with the Trustee pursuant to Section 313(c)(2) of the Trust Indenture Act at such addresses as were so furnished to the Trustee and to Holders of Registered Securities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caps w:val="false"/>
          <w:smallCaps w:val="false"/>
          <w:sz w:val="20"/>
        </w:rPr>
        <w:t xml:space="preserve">Certificate and Opinion as to Conditions Precedent. </w:t>
      </w: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caps w:val="false"/>
          <w:smallCaps w:val="false"/>
          <w:sz w:val="20"/>
        </w:rPr>
        <w:t xml:space="preserve">Statements Required in Certificate or Opinion. </w:t>
      </w: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the certificate required by Section 4.04)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person signing such certificate or opinion has read such covenant or condition and the definitions herein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 or opinion contained in such certificate or opinion is based;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caps w:val="false"/>
          <w:smallCaps w:val="false"/>
          <w:sz w:val="20"/>
        </w:rPr>
        <w:t xml:space="preserve">Evidence of Ownership. </w:t>
      </w:r>
      <w:r>
        <w:rPr>
          <w:rFonts w:ascii="Times New Roman;Times;Serif" w:hAnsi="Times New Roman;Times;Serif"/>
          <w:b w:val="false"/>
          <w:i w:val="false"/>
          <w:caps w:val="false"/>
          <w:smallCaps w:val="false"/>
          <w:sz w:val="20"/>
        </w:rPr>
        <w:t>The Company, the Trustee and any agent of the Company or the Trustee may deem and treat the Holder of any Unregistered Security and the Holder of any coupon as the absolute owner of such Unregistered Security or coupon (whether or not such Unregistered Security or coupon shall be overdue) for the purpose of receiving payment thereof or on account thereof and for all other purposes, and neither the Company, the Trustee, nor any agent of the Company or the Trustee shall be affected by any notice to the contrary. The fact of the holding by any Holder of an Unregistered Security, and the identifying number of such Security and the date of his holding the same, may be proved by the production of such Security or by a certificate executed by any trust company, bank, banker or recognized securities dealer wherever situated satisfactory to the Trustee, if such certificate shall be deemed by the Trustee to be satisfactory. Each such certificate shall be dated and shall state that on the date thereof a Security bearing a specified identifying number was deposited with or exhibited to such trust company, bank, banker or recognized securities dealer by the person named in such certificate. Any such certificate may be issued in respect of one or more Unregistered Securities specified therein. The holding by the person named in any such certificate of any Unregistered Securities specified therein shall be presumed to continue for a period of one year from the date of such certificate unless at the time of any determination of such holding (1) another certificate bearing a later date issued in respect of the same Securities shall be produced or (2) the Security specified in such certificate shall be produced by some other Person, or (3) the Security specified in such certificate shall have ceased to be outstanding. Subject to Article 7, the fact and date of the execution of any such instrument and the amount and numbers of Securities held by the Person so executing such instrument may also be proven in accordance with such reasonable rules and regulations as may be prescribed by the Trustee or in any other manner which the Trustee may deem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any agent of the Company or the Trustee may deem and treat the person in whose name any Registered Security shall be registered upon the Security Register for such series as the absolute owner of such Registered Security (whether or not such Registered Security shall be overdue and notwithstanding any notation of ownership or other writing thereon) for the purpose of receiving payment of or on account of the Principal of and, subject to the provisions of this Indenture, interest on such Registered Security and for all other purposes; and neither the Company nor the Trustee nor any agent of the Company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caps w:val="false"/>
          <w:smallCaps w:val="false"/>
          <w:sz w:val="20"/>
        </w:rPr>
        <w:t xml:space="preserve">Rules by Trustee, Paying Agent or Registrar. </w:t>
      </w:r>
      <w:r>
        <w:rPr>
          <w:rFonts w:ascii="Times New Roman;Times;Serif" w:hAnsi="Times New Roman;Times;Serif"/>
          <w:b w:val="false"/>
          <w:i w:val="false"/>
          <w:caps w:val="false"/>
          <w:smallCaps w:val="false"/>
          <w:sz w:val="20"/>
        </w:rPr>
        <w:t>The Trustee may make rules for action by or at a meeting of Holders. The Paying Agent or Registrar may make rules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caps w:val="false"/>
          <w:smallCaps w:val="false"/>
          <w:sz w:val="20"/>
        </w:rPr>
        <w:t xml:space="preserve">Payment Date Other Than a Business Day. </w:t>
      </w:r>
      <w:r>
        <w:rPr>
          <w:rFonts w:ascii="Times New Roman;Times;Serif" w:hAnsi="Times New Roman;Times;Serif"/>
          <w:b w:val="false"/>
          <w:i w:val="false"/>
          <w:caps w:val="false"/>
          <w:smallCaps w:val="false"/>
          <w:sz w:val="20"/>
        </w:rPr>
        <w:t>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The laws of the State of New York shall govern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caps w:val="false"/>
          <w:smallCaps w:val="false"/>
          <w:sz w:val="20"/>
        </w:rPr>
        <w:t xml:space="preserve">No Adverse Interpretation of Other Agreements. </w:t>
      </w:r>
      <w:r>
        <w:rPr>
          <w:rFonts w:ascii="Times New Roman;Times;Serif" w:hAnsi="Times New Roman;Times;Serif"/>
          <w:b w:val="false"/>
          <w:i w:val="false"/>
          <w:caps w:val="false"/>
          <w:smallCaps w:val="false"/>
          <w:sz w:val="20"/>
        </w:rPr>
        <w:t>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caps w:val="false"/>
          <w:smallCaps w:val="false"/>
          <w:sz w:val="20"/>
        </w:rPr>
        <w:t xml:space="preserve">Successors. </w:t>
      </w:r>
      <w:r>
        <w:rPr>
          <w:rFonts w:ascii="Times New Roman;Times;Serif" w:hAnsi="Times New Roman;Times;Serif"/>
          <w:b w:val="false"/>
          <w:i w:val="false"/>
          <w:caps w:val="false"/>
          <w:smallCaps w:val="false"/>
          <w:sz w:val="20"/>
        </w:rPr>
        <w:t>All agreements of the Company in this Indenture and the Securities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caps w:val="false"/>
          <w:smallCaps w:val="false"/>
          <w:sz w:val="20"/>
        </w:rPr>
        <w:t xml:space="preserve">Duplicate Originals. </w:t>
      </w:r>
      <w:r>
        <w:rPr>
          <w:rFonts w:ascii="Times New Roman;Times;Serif" w:hAnsi="Times New Roman;Times;Serif"/>
          <w:b w:val="false"/>
          <w:i w:val="false"/>
          <w:caps w:val="false"/>
          <w:smallCaps w:val="false"/>
          <w:sz w:val="20"/>
        </w:rPr>
        <w:t>The parties may sign any number of copies of this Indenture. Each signed copy shall be an original, but all of them together represent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caps w:val="false"/>
          <w:smallCaps w:val="false"/>
          <w:sz w:val="20"/>
        </w:rPr>
        <w:t xml:space="preserve">Separability. </w:t>
      </w: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caps w:val="false"/>
          <w:smallCaps w:val="false"/>
          <w:sz w:val="20"/>
        </w:rPr>
        <w:t xml:space="preserve">Table of Contents, Headings, Etc. </w:t>
      </w: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w:t>
      </w:r>
      <w:r>
        <w:rPr>
          <w:rFonts w:ascii="Times New Roman;Times;Serif" w:hAnsi="Times New Roman;Times;Serif"/>
          <w:b w:val="false"/>
          <w:i/>
          <w:caps w:val="false"/>
          <w:smallCaps w:val="false"/>
          <w:sz w:val="20"/>
        </w:rPr>
        <w:t xml:space="preserve">Incorporators, Stockholders, Officers and Directors of Company Exempt from Individual Liability. </w:t>
      </w:r>
      <w:r>
        <w:rPr>
          <w:rFonts w:ascii="Times New Roman;Times;Serif" w:hAnsi="Times New Roman;Times;Serif"/>
          <w:b w:val="false"/>
          <w:i w:val="false"/>
          <w:caps w:val="false"/>
          <w:smallCaps w:val="false"/>
          <w:sz w:val="20"/>
        </w:rPr>
        <w:t>No recourse under or upon any obligation, covenant or agreement contained in this Indenture or any indenture supplemental hereto, or in any Security or any coupons appertaining thereto,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and the coupons appertaining thereto by the holders thereof and as part of the consideration for the issue of the Securities and the coupons appertaining thereto.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w:t>
      </w:r>
      <w:r>
        <w:rPr>
          <w:rFonts w:ascii="Times New Roman;Times;Serif" w:hAnsi="Times New Roman;Times;Serif"/>
          <w:b w:val="false"/>
          <w:i/>
          <w:caps w:val="false"/>
          <w:smallCaps w:val="false"/>
          <w:sz w:val="20"/>
        </w:rPr>
        <w:t xml:space="preserve">Judgment Currency. </w:t>
      </w: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Times;Serif" w:hAnsi="Times New Roman;Times;Serif"/>
          <w:b/>
          <w:i w:val="false"/>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Subordination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caps w:val="false"/>
          <w:smallCaps w:val="false"/>
          <w:sz w:val="20"/>
        </w:rPr>
        <w:t xml:space="preserve">Agreement to Subordinate. </w:t>
      </w:r>
      <w:r>
        <w:rPr>
          <w:rFonts w:ascii="Times New Roman;Times;Serif" w:hAnsi="Times New Roman;Times;Serif"/>
          <w:b w:val="false"/>
          <w:i w:val="false"/>
          <w:caps w:val="false"/>
          <w:smallCaps w:val="false"/>
          <w:sz w:val="20"/>
        </w:rPr>
        <w:t>The Company covenants and agrees, and each Holder of Securities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caps w:val="false"/>
          <w:smallCaps w:val="false"/>
          <w:sz w:val="20"/>
        </w:rPr>
        <w:t xml:space="preserve">Payments to Securityholders. </w:t>
      </w:r>
      <w:r>
        <w:rPr>
          <w:rFonts w:ascii="Times New Roman;Times;Serif" w:hAnsi="Times New Roman;Times;Serif"/>
          <w:b w:val="false"/>
          <w:i w:val="false"/>
          <w:caps w:val="false"/>
          <w:smallCaps w:val="false"/>
          <w:sz w:val="20"/>
        </w:rPr>
        <w:t>No payments on account of Principal of or interest on the Securities shall be made if at the time of such payment or immediately after giving effect thereto there shall exist a default in any payment with respect to any Senior Indebtedness, and such default shall not have been cured or waived or shall not have ceased to exist. In addition, during the continuance of any default (other than a payment default) with respect to Designated Senior Indebtedness pursuant to which the maturity thereof may be accelerated, from and after the date of receipt by the Trustee of written notice from the holders of such Designated Senior Indebtedness or from an agent of such holders, stating that such default has occurred and is continuing, no payments on account of Principal or interest in respect of the Securities may be made by the Company for a period (“</w:t>
      </w:r>
      <w:r>
        <w:rPr>
          <w:rFonts w:ascii="Times New Roman;Times;Serif" w:hAnsi="Times New Roman;Times;Serif"/>
          <w:b/>
          <w:i w:val="false"/>
          <w:caps w:val="false"/>
          <w:smallCaps w:val="false"/>
          <w:sz w:val="20"/>
        </w:rPr>
        <w:t>Payment Blockage Period</w:t>
      </w:r>
      <w:r>
        <w:rPr>
          <w:rFonts w:ascii="Times New Roman;Times;Serif" w:hAnsi="Times New Roman;Times;Serif"/>
          <w:b w:val="false"/>
          <w:i w:val="false"/>
          <w:caps w:val="false"/>
          <w:smallCaps w:val="false"/>
          <w:sz w:val="20"/>
        </w:rPr>
        <w:t>”) commencing on the date of delivery of such notice and ending 179 days thereafter (unless such Payment Blockage Period shall be terminated by written notice to the Trustee from the holders of such Designated Senior Indebtedness or from an agent of such holders, or such default has been cured or waived or has ceased to exist). Only one Payment Blockage Period may be commenced with respect to the Securities during any period of 360 consecutive days. No Event of Default which existed or was continuing on the date of the commencement of any Payment Blockage Period with respect to the Designated Senior Indebtedness initiating such Payment Blockage Period shall be or be made the basis for the commencement of any subsequent Payment Blockage Period by the holders of such Designated Senior Indebtedness, unless such Event of Default shall have been cured or waived for a period of not less than 90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Company of any kind or character, whether in cash, property or securities, to creditors upon any liquidation, dissolution, winding up, receivership, reorganization, assignment for the benefit of creditors, marshalling of assets and liabilities or any bankruptcy, insolvency or similar proceedings of the Company, all amounts due or to become due upon all Senior Indebtedness shall first be paid in full, in cash or cash equivalents, or payment thereof provided for in accordance with its terms, before any payment is made on account of the Principal of, or interest on the indebtedness evidenced by the Securities, and upon any such liquidation, dissolution, winding up, receivership, reorganization, assignment, marshalling or proceeding,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(including, without limitation, except to the extent, if any, prohibited by mandatory provisions of law, post-petition interest, in any such proceedings), after giving effect to any concurrent payment or distribution to or for the holders of Senior Indebtedness, before any payment or distribution is made to the holders of the indebtedness evidenced by the Securities or to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Company of any kind or character, whether in cash, property or securities, prohibited by the foregoing, shall be received by the Trustee under this Indenture or the Holders of the Securities before all Senior Indebtedness is paid in full or provision is made for such payment in accordance with its terms,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Article,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into, another corporation or the liquidation or dissolution of the Company following the sale, conveyance or transfer of all or substantially all of its property and assets to another corporation upon the terms and conditions provided in ‎Article 5 shall not be deemed a dissolution, winding-up, liquidation or reorganization for the purposes of this Section if such other corporation shall, as a part of such consolidation, merger, sale, conveyance or transfer, comply with the conditions stated in ‎Article 5. Nothing in this Section shall apply to claims of, or payments to, the Trustee under or pursuant to ‎Article 7. This Section shall be subject to the further provisions of ‎Section 11.05.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caps w:val="false"/>
          <w:smallCaps w:val="false"/>
          <w:sz w:val="20"/>
        </w:rPr>
        <w:t xml:space="preserve">Subrogation of Securities. </w:t>
      </w:r>
      <w:r>
        <w:rPr>
          <w:rFonts w:ascii="Times New Roman;Times;Serif" w:hAnsi="Times New Roman;Times;Serif"/>
          <w:b w:val="false"/>
          <w:i w:val="false"/>
          <w:caps w:val="false"/>
          <w:smallCaps w:val="false"/>
          <w:sz w:val="20"/>
        </w:rPr>
        <w:t>Subject to the payment in full of all Senior Indebtedness, the Holders of the Securities shall be subrogated to the rights of the holders of Senior Indebtedness to receive payments or distributions of cash, property or securities of the Company applicable to the Senior Indebtedness until the principal of and interest on the Securities shall be paid in full; and, for the purposes of such subrogation, no payments or distributions to the holders of the Senior Indebtedness of any cash, property or securities to which the Holders of the Securities or the Trustee on their behalf would be entitled except for the provisions of this Article, and no payment over pursuant to the provisions of this Article to the holders of Senior Indebtedness by Holders of the Securities or the Trustee on their behalf shall, as between the Company, its creditors other than holders of Senior Indebtedness and the Holders of the Securities, be deemed to be a payment by the Company to or on account of the Senior Indebtedness; and no payments or distributions of cash, property or securities to or for the benefit of the Securityholders pursuant to the subrogation provision of this Article, which would otherwise have been paid to the holders of Senior Indebtedness shall be deemed to be a payment by the Company to or for the account of the Securities. It is understood that the provisions of this Article are and are intended solely for the purpose of defining the relative rights of the holders of the Securities, on the one hand, and the Holders of the Senior Indebtedness, on the other hand.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or elsewhere in this Indenture or in the Securities is intended to or shall impair, as between the Company, its creditors other than the holders of Senior Indebtedness, and the Holders of the Securities, the obligation of the Company,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Company other than the holders of the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Company referred to in this Article, the Trustee, subject to the provisions of Sections ‎7.01 and ‎7.02, and the holders of the Securities shall be entitled to rely upon any order or decree made by any court of competent jurisdiction in which such liquidation, dissolution, winding up, receivership, reorganization, assignment or marshalling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caps w:val="false"/>
          <w:smallCaps w:val="false"/>
          <w:sz w:val="20"/>
        </w:rPr>
        <w:t xml:space="preserve">Authorization by Securityholders. </w:t>
      </w:r>
      <w:r>
        <w:rPr>
          <w:rFonts w:ascii="Times New Roman;Times;Serif" w:hAnsi="Times New Roman;Times;Serif"/>
          <w:b w:val="false"/>
          <w:i w:val="false"/>
          <w:caps w:val="false"/>
          <w:smallCaps w:val="false"/>
          <w:sz w:val="20"/>
        </w:rPr>
        <w:t>Each Holder of a Security by his acceptance thereof authorizes the Trustee in his behalf to take such action as may be necessary or appropriate to effectuate the subordination provided in this Article and appoints the Trustee his attorney-in-fact for any and all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caps w:val="false"/>
          <w:smallCaps w:val="false"/>
          <w:sz w:val="20"/>
        </w:rPr>
        <w:t xml:space="preserve">Notice to Trustee. </w:t>
      </w:r>
      <w:r>
        <w:rPr>
          <w:rFonts w:ascii="Times New Roman;Times;Serif" w:hAnsi="Times New Roman;Times;Serif"/>
          <w:b w:val="false"/>
          <w:i w:val="false"/>
          <w:caps w:val="false"/>
          <w:smallCaps w:val="false"/>
          <w:sz w:val="20"/>
        </w:rPr>
        <w:t>The Company shall give prompt written notice to the Trustee and to any paying agent of any fact known to the Company which would prohibit the making of any payment of moneys to or by the Trustee or any paying agent in respect of the Securities pursuant to the provisions of this Article or would end such prohibition.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moneys to or by the Trustee or which would end such prohibition, unless and until the Trustee shall have received notice in writing at its principal Corporate Trust Office to that effect signed by an officer of the Company, or by a holder or agent of a holder of Senior Indebtedness or by the trustee under any indenture pursuant to which Senior Indebtedness shall be outstanding, who shall have been certified by the Company or otherwise established to the reasonable satisfaction of the Trustee to be such holder or agent or trustee, and, prior to the receipt of any such written notice, the Trustee shall, subject to Sections 7.01 and 7.02, be entitled to assume that no such facts exist; provided that if on a date at least three Business Days prior to the date upon which by the terms hereof any such moneys shall become payable for any purpose (including, without limitation, the payment of the Principal of, or interest on any Security) the Trustee shall not have received with respect to such moneys the notice of prohibition provided for in this Section, then, regardless of anything herein to the contrary, the Trustee shall have full power and authority to receive such moneys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anything to the contrary herein, nothing shall prevent (a) any payment by the Company or the Trustee to the Securityholders of amounts in connection with a redemption of Securities if (i) notice of such redemption has been given pursuant to ‎Article 3 prior to the receipt by the Trustee of written notice of prohibition as aforesaid, and (ii) such notice of redemption is given not earlier than 60 days before the redemption date, or (b) any payment by the Trustee to the Securityholders of amounts deposited with it pursuant to Sections ‎8.01, ‎8.05 or ‎8.06.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entitled to rely on the delivery to it of a written notice by a Person representing himself to be a holder of Senior Indebtedness (or a trustee or agent on behalf of such holder) to establish that such notice has been given by a holder of Senior Indebtedness or a trustee or agent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caps w:val="false"/>
          <w:smallCaps w:val="false"/>
          <w:sz w:val="20"/>
        </w:rPr>
        <w:t xml:space="preserve">Trustee’s Relation to Senior Indebtedness. </w:t>
      </w:r>
      <w:r>
        <w:rPr>
          <w:rFonts w:ascii="Times New Roman;Times;Serif" w:hAnsi="Times New Roman;Times;Serif"/>
          <w:b w:val="false"/>
          <w:i w:val="false"/>
          <w:caps w:val="false"/>
          <w:smallCaps w:val="false"/>
          <w:sz w:val="20"/>
        </w:rPr>
        <w:t>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this Indenture shall deprive the Trustee or any such agent, of any of its rights as such holder. Nothing in this Article shall apply to claims of, or payments to, the Trustee under or pursuant to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 shall not be deemed to owe any fiduciary duty to the holders of Senior Indebtedness and, subject to the provisions of Sections ‎7.01 and ‎7.02, the Trustee shall not be liable to any holder of Senior Indebtedness if it shall pay over or deliver to Holders of Securities, the Company or any other Person moneys or assets to which any holder of Senior Indebtedness shall be entitled by virtue of this Article or otherwise.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caps w:val="false"/>
          <w:smallCaps w:val="false"/>
          <w:sz w:val="20"/>
        </w:rPr>
        <w:t xml:space="preserve">No Impairment of Subordination. </w:t>
      </w:r>
      <w:r>
        <w:rPr>
          <w:rFonts w:ascii="Times New Roman;Times;Serif" w:hAnsi="Times New Roman;Times;Serif"/>
          <w:b w:val="false"/>
          <w:i w:val="false"/>
          <w:caps w:val="false"/>
          <w:smallCaps w:val="false"/>
          <w:sz w:val="20"/>
        </w:rPr>
        <w:t>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19" w:type="dxa"/>
        <w:jc w:val="left"/>
        <w:tblInd w:w="0" w:type="dxa"/>
        <w:tblLayout w:type="fixed"/>
        <w:tblCellMar>
          <w:top w:w="0" w:type="dxa"/>
          <w:left w:w="0" w:type="dxa"/>
          <w:bottom w:w="0" w:type="dxa"/>
          <w:right w:w="0" w:type="dxa"/>
        </w:tblCellMar>
      </w:tblPr>
      <w:tblGrid>
        <w:gridCol w:w="635"/>
        <w:gridCol w:w="779"/>
        <w:gridCol w:w="1505"/>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br/>
              <w:t>Attest:</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MOBILEYE GLOBAL INC.</w:t>
              <w:br/>
              <w:t>as the Company</w:t>
            </w:r>
          </w:p>
        </w:tc>
      </w:tr>
      <w:tr>
        <w:trPr/>
        <w:tc>
          <w:tcPr>
            <w:tcW w:w="63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r>
      <w:tr>
        <w:trPr/>
        <w:tc>
          <w:tcPr>
            <w:tcW w:w="635"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r>
    </w:tbl>
    <w:p>
      <w:pPr>
        <w:pStyle w:val="TextBody"/>
        <w:bidi w:val="0"/>
        <w:spacing w:before="0" w:after="0"/>
        <w:ind w:left="0" w:right="0" w:firstLine="720"/>
        <w:jc w:val="left"/>
        <w:rPr>
          <w:caps w:val="false"/>
          <w:smallCaps w:val="false"/>
        </w:rPr>
      </w:pPr>
      <w:r>
        <w:rPr>
          <w:caps w:val="false"/>
          <w:smallCaps w:val="false"/>
        </w:rPr>
        <w:t> </w:t>
      </w:r>
    </w:p>
    <w:tbl>
      <w:tblPr>
        <w:tblW w:w="1779" w:type="dxa"/>
        <w:jc w:val="left"/>
        <w:tblInd w:w="0" w:type="dxa"/>
        <w:tblLayout w:type="fixed"/>
        <w:tblCellMar>
          <w:top w:w="0" w:type="dxa"/>
          <w:left w:w="0" w:type="dxa"/>
          <w:bottom w:w="0" w:type="dxa"/>
          <w:right w:w="0" w:type="dxa"/>
        </w:tblCellMar>
      </w:tblPr>
      <w:tblGrid>
        <w:gridCol w:w="635"/>
        <w:gridCol w:w="416"/>
        <w:gridCol w:w="728"/>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br/>
              <w:t>Attest:</w:t>
            </w:r>
          </w:p>
        </w:tc>
        <w:tc>
          <w:tcPr>
            <w:tcW w:w="11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w:t>
              <w:br/>
              <w:t>as the Trustee</w:t>
            </w:r>
          </w:p>
        </w:tc>
      </w:tr>
      <w:tr>
        <w:trPr/>
        <w:tc>
          <w:tcPr>
            <w:tcW w:w="635"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2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tab/>
            </w:r>
          </w:p>
        </w:tc>
      </w:tr>
      <w:tr>
        <w:trPr/>
        <w:tc>
          <w:tcPr>
            <w:tcW w:w="63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tab/>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48244d2_ex5-1.htm"/>
      <w:bookmarkStart w:id="23" w:name="kstm248244d2_ex5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1875"/>
        <w:gridCol w:w="2270"/>
        <w:gridCol w:w="60"/>
        <w:gridCol w:w="75"/>
      </w:tblGrid>
      <w:tr>
        <w:trPr/>
        <w:tc>
          <w:tcPr>
            <w:tcW w:w="1875" w:type="dxa"/>
            <w:tcBorders/>
            <w:vAlign w:val="center"/>
          </w:tcPr>
          <w:p>
            <w:pPr>
              <w:pStyle w:val="TableContents"/>
              <w:bidi w:val="0"/>
              <w:spacing w:before="0" w:after="283"/>
              <w:jc w:val="left"/>
              <w:rPr/>
            </w:pPr>
            <w:r>
              <w:rPr/>
              <w:drawing>
                <wp:inline distT="0" distB="0" distL="0" distR="0">
                  <wp:extent cx="1181100" cy="276225"/>
                  <wp:effectExtent l="0" t="0" r="0" b="0"/>
                  <wp:docPr id="1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 descr=""/>
                          <pic:cNvPicPr>
                            <a:picLocks noChangeAspect="1" noChangeArrowheads="1"/>
                          </pic:cNvPicPr>
                        </pic:nvPicPr>
                        <pic:blipFill>
                          <a:blip r:embed="rId5"/>
                          <a:stretch>
                            <a:fillRect/>
                          </a:stretch>
                        </pic:blipFill>
                        <pic:spPr bwMode="auto">
                          <a:xfrm>
                            <a:off x="0" y="0"/>
                            <a:ext cx="1181100" cy="276225"/>
                          </a:xfrm>
                          <a:prstGeom prst="rect">
                            <a:avLst/>
                          </a:prstGeom>
                        </pic:spPr>
                      </pic:pic>
                    </a:graphicData>
                  </a:graphic>
                </wp:inline>
              </w:drawing>
            </w:r>
          </w:p>
        </w:tc>
        <w:tc>
          <w:tcPr>
            <w:tcW w:w="22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 xml:space="preserve">Davis Polk &amp; Wardwell </w:t>
            </w:r>
            <w:r>
              <w:rPr>
                <w:rFonts w:ascii="Times New Roman;Times;Serif" w:hAnsi="Times New Roman;Times;Serif"/>
                <w:b w:val="false"/>
                <w:i w:val="false"/>
                <w:smallCaps/>
                <w:color w:val="000000"/>
                <w:sz w:val="20"/>
                <w:shd w:fill="FFFFFF" w:val="clear"/>
              </w:rPr>
              <w:t>llp</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450 Lexington Avenue</w:t>
              <w:br/>
              <w:t>New York, NY 10017</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davispolk.com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w:t>
        <w:br/>
        <w:t>c/o Mobileye B.V.</w:t>
        <w:br/>
        <w:t>Har Hotzvim, Shlomo Momo HaLevi Street 1</w:t>
        <w:br/>
        <w:t>Jerusalem 9777015,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Global Inc., a Delaware corporation (the “Company”), is filing with the Securities and Exchange Commission a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purpose of registering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  shares of Class A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(b ) shares of preferred stock, par value $0.01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of the Company; (c ) the Company’s senior debt securities and subordinated debt securities (collectively,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which may be issued pursuant to a senior debt indenture, between the Company and the trustee to be named therein (the “</w:t>
      </w:r>
      <w:r>
        <w:rPr>
          <w:rFonts w:ascii="Times New Roman;Times;Serif" w:hAnsi="Times New Roman;Times;Serif"/>
          <w:b/>
          <w:i w:val="false"/>
          <w:caps w:val="false"/>
          <w:smallCaps w:val="false"/>
          <w:sz w:val="20"/>
        </w:rPr>
        <w:t>Senior Debt Trustee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Senior Debt Indenture</w:t>
      </w:r>
      <w:r>
        <w:rPr>
          <w:rFonts w:ascii="Times New Roman;Times;Serif" w:hAnsi="Times New Roman;Times;Serif"/>
          <w:b w:val="false"/>
          <w:i w:val="false"/>
          <w:caps w:val="false"/>
          <w:smallCaps w:val="false"/>
          <w:sz w:val="20"/>
        </w:rPr>
        <w:t>”) and a subordinated debt indenture between the Company and the trustee to be named therein (the “</w:t>
      </w:r>
      <w:r>
        <w:rPr>
          <w:rFonts w:ascii="Times New Roman;Times;Serif" w:hAnsi="Times New Roman;Times;Serif"/>
          <w:b/>
          <w:i w:val="false"/>
          <w:caps w:val="false"/>
          <w:smallCaps w:val="false"/>
          <w:sz w:val="20"/>
        </w:rPr>
        <w:t>Subordinated Debt Trustee</w:t>
      </w:r>
      <w:r>
        <w:rPr>
          <w:rFonts w:ascii="Times New Roman;Times;Serif" w:hAnsi="Times New Roman;Times;Serif"/>
          <w:b w:val="false"/>
          <w:i w:val="false"/>
          <w:caps w:val="false"/>
          <w:smallCaps w:val="false"/>
          <w:sz w:val="20"/>
        </w:rPr>
        <w:t>” and, together with the Senior Debt Trustee, the “</w:t>
      </w:r>
      <w:r>
        <w:rPr>
          <w:rFonts w:ascii="Times New Roman;Times;Serif" w:hAnsi="Times New Roman;Times;Serif"/>
          <w:b/>
          <w:i w:val="false"/>
          <w:caps w:val="false"/>
          <w:smallCaps w:val="false"/>
          <w:sz w:val="20"/>
        </w:rPr>
        <w:t>Trustees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Subordinated Debt Indenture</w:t>
      </w:r>
      <w:r>
        <w:rPr>
          <w:rFonts w:ascii="Times New Roman;Times;Serif" w:hAnsi="Times New Roman;Times;Serif"/>
          <w:b w:val="false"/>
          <w:i w:val="false"/>
          <w:caps w:val="false"/>
          <w:smallCaps w:val="false"/>
          <w:sz w:val="20"/>
        </w:rPr>
        <w:t>,” and together with the Senior Debt Indenture, the “</w:t>
      </w:r>
      <w:r>
        <w:rPr>
          <w:rFonts w:ascii="Times New Roman;Times;Serif" w:hAnsi="Times New Roman;Times;Serif"/>
          <w:b/>
          <w:i w:val="false"/>
          <w:caps w:val="false"/>
          <w:smallCaps w:val="false"/>
          <w:sz w:val="20"/>
        </w:rPr>
        <w:t>Indentures</w:t>
      </w:r>
      <w:r>
        <w:rPr>
          <w:rFonts w:ascii="Times New Roman;Times;Serif" w:hAnsi="Times New Roman;Times;Serif"/>
          <w:b w:val="false"/>
          <w:i w:val="false"/>
          <w:caps w:val="false"/>
          <w:smallCaps w:val="false"/>
          <w:sz w:val="20"/>
        </w:rPr>
        <w:t>”); (d)  warrants of the Company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which may be issued under one or more warrant agreements (each, a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to be entered into between the Company and the warrant agent to be named therein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(e) purchase contracts (the “</w:t>
      </w:r>
      <w:r>
        <w:rPr>
          <w:rFonts w:ascii="Times New Roman;Times;Serif" w:hAnsi="Times New Roman;Times;Serif"/>
          <w:b/>
          <w:i w:val="false"/>
          <w:caps w:val="false"/>
          <w:smallCaps w:val="false"/>
          <w:sz w:val="20"/>
        </w:rPr>
        <w:t>Purchase Contracts</w:t>
      </w:r>
      <w:r>
        <w:rPr>
          <w:rFonts w:ascii="Times New Roman;Times;Serif" w:hAnsi="Times New Roman;Times;Serif"/>
          <w:b w:val="false"/>
          <w:i w:val="false"/>
          <w:caps w:val="false"/>
          <w:smallCaps w:val="false"/>
          <w:sz w:val="20"/>
        </w:rPr>
        <w:t>”) which may be issued under one or more purchase contract agreements (each, a “</w:t>
      </w:r>
      <w:r>
        <w:rPr>
          <w:rFonts w:ascii="Times New Roman;Times;Serif" w:hAnsi="Times New Roman;Times;Serif"/>
          <w:b/>
          <w:i w:val="false"/>
          <w:caps w:val="false"/>
          <w:smallCaps w:val="false"/>
          <w:sz w:val="20"/>
        </w:rPr>
        <w:t>Purchase Contract Agreement</w:t>
      </w:r>
      <w:r>
        <w:rPr>
          <w:rFonts w:ascii="Times New Roman;Times;Serif" w:hAnsi="Times New Roman;Times;Serif"/>
          <w:b w:val="false"/>
          <w:i w:val="false"/>
          <w:caps w:val="false"/>
          <w:smallCaps w:val="false"/>
          <w:sz w:val="20"/>
        </w:rPr>
        <w:t>”) to be entered into between the Company and the purchase contract agent to be named therein (the “</w:t>
      </w:r>
      <w:r>
        <w:rPr>
          <w:rFonts w:ascii="Times New Roman;Times;Serif" w:hAnsi="Times New Roman;Times;Serif"/>
          <w:b/>
          <w:i w:val="false"/>
          <w:caps w:val="false"/>
          <w:smallCaps w:val="false"/>
          <w:sz w:val="20"/>
        </w:rPr>
        <w:t>Purchase Contract Agent</w:t>
      </w:r>
      <w:r>
        <w:rPr>
          <w:rFonts w:ascii="Times New Roman;Times;Serif" w:hAnsi="Times New Roman;Times;Serif"/>
          <w:b w:val="false"/>
          <w:i w:val="false"/>
          <w:caps w:val="false"/>
          <w:smallCaps w:val="false"/>
          <w:sz w:val="20"/>
        </w:rPr>
        <w:t>”); (f) units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to be issued under one or more unit agreements to be entered into among the Company, a bank or trust company, as unit agent (the “</w:t>
      </w:r>
      <w:r>
        <w:rPr>
          <w:rFonts w:ascii="Times New Roman;Times;Serif" w:hAnsi="Times New Roman;Times;Serif"/>
          <w:b/>
          <w:i w:val="false"/>
          <w:caps w:val="false"/>
          <w:smallCaps w:val="false"/>
          <w:sz w:val="20"/>
        </w:rPr>
        <w:t>Unit Agent</w:t>
      </w:r>
      <w:r>
        <w:rPr>
          <w:rFonts w:ascii="Times New Roman;Times;Serif" w:hAnsi="Times New Roman;Times;Serif"/>
          <w:b w:val="false"/>
          <w:i w:val="false"/>
          <w:caps w:val="false"/>
          <w:smallCaps w:val="false"/>
          <w:sz w:val="20"/>
        </w:rPr>
        <w:t>”), and the holders from time to time of the Units (each such unit agreement, a “</w:t>
      </w:r>
      <w:r>
        <w:rPr>
          <w:rFonts w:ascii="Times New Roman;Times;Serif" w:hAnsi="Times New Roman;Times;Serif"/>
          <w:b/>
          <w:i w:val="false"/>
          <w:caps w:val="false"/>
          <w:smallCaps w:val="false"/>
          <w:sz w:val="20"/>
        </w:rPr>
        <w:t>Unit Agreement</w:t>
      </w:r>
      <w:r>
        <w:rPr>
          <w:rFonts w:ascii="Times New Roman;Times;Serif" w:hAnsi="Times New Roman;Times;Serif"/>
          <w:b w:val="false"/>
          <w:i w:val="false"/>
          <w:caps w:val="false"/>
          <w:smallCaps w:val="false"/>
          <w:sz w:val="20"/>
        </w:rPr>
        <w:t>”); and (g) depositary shares representing fractional interests in shares or multiple shares of the Preferred Stock (the “</w:t>
      </w:r>
      <w:r>
        <w:rPr>
          <w:rFonts w:ascii="Times New Roman;Times;Serif" w:hAnsi="Times New Roman;Times;Serif"/>
          <w:b/>
          <w:i w:val="false"/>
          <w:caps w:val="false"/>
          <w:smallCaps w:val="false"/>
          <w:sz w:val="20"/>
        </w:rPr>
        <w:t>Depositary Shares</w:t>
      </w:r>
      <w:r>
        <w:rPr>
          <w:rFonts w:ascii="Times New Roman;Times;Serif" w:hAnsi="Times New Roman;Times;Serif"/>
          <w:b w:val="false"/>
          <w:i w:val="false"/>
          <w:caps w:val="false"/>
          <w:smallCaps w:val="false"/>
          <w:sz w:val="20"/>
        </w:rPr>
        <w:t>”), which may be issued under one or more preferred stock depositary agreements (each, a “</w:t>
      </w:r>
      <w:r>
        <w:rPr>
          <w:rFonts w:ascii="Times New Roman;Times;Serif" w:hAnsi="Times New Roman;Times;Serif"/>
          <w:b/>
          <w:i w:val="false"/>
          <w:caps w:val="false"/>
          <w:smallCaps w:val="false"/>
          <w:sz w:val="20"/>
        </w:rPr>
        <w:t>Depositary Agreement</w:t>
      </w:r>
      <w:r>
        <w:rPr>
          <w:rFonts w:ascii="Times New Roman;Times;Serif" w:hAnsi="Times New Roman;Times;Serif"/>
          <w:b w:val="false"/>
          <w:i w:val="false"/>
          <w:caps w:val="false"/>
          <w:smallCaps w:val="false"/>
          <w:sz w:val="20"/>
        </w:rPr>
        <w:t>”) to be entered into between the Company and the preferred stock depositary to be named therein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81100" cy="276225"/>
            <wp:effectExtent l="0" t="0" r="0" b="0"/>
            <wp:docPr id="1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 descr=""/>
                    <pic:cNvPicPr>
                      <a:picLocks noChangeAspect="1" noChangeArrowheads="1"/>
                    </pic:cNvPicPr>
                  </pic:nvPicPr>
                  <pic:blipFill>
                    <a:blip r:embed="rId6"/>
                    <a:stretch>
                      <a:fillRect/>
                    </a:stretch>
                  </pic:blipFill>
                  <pic:spPr bwMode="auto">
                    <a:xfrm>
                      <a:off x="0" y="0"/>
                      <a:ext cx="1181100" cy="276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assumptions and qualifications set forth below, we advise you that, in our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left"/>
              <w:rPr/>
            </w:pPr>
            <w:r>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b/>
              </w:rPr>
              <w:t>Offered Security</w:t>
            </w:r>
            <w:r>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left"/>
              <w:rPr/>
            </w:pPr>
            <w:r>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3.</w:t>
            </w:r>
          </w:p>
        </w:tc>
        <w:tc>
          <w:tcPr>
            <w:tcW w:w="10025" w:type="dxa"/>
            <w:tcBorders/>
            <w:vAlign w:val="center"/>
          </w:tcPr>
          <w:p>
            <w:pPr>
              <w:pStyle w:val="TableContents"/>
              <w:bidi w:val="0"/>
              <w:spacing w:before="0" w:after="283"/>
              <w:jc w:val="left"/>
              <w:rPr/>
            </w:pPr>
            <w:r>
              <w:rPr/>
              <w:t>When the Indentures and any supplemental indenture to be entered into in connection with the issuance of any Debt Securities have been duly authorized, executed and delivered by the Trustees and the Company; the specific terms of a particular series of Debt Securities have been duly authorized and established in accordance with the Indentures;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lay, (y)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obligations or (z) the validity, legally binding effect or enforceability of any provision that permits holders to collect any portion of stated principal amount upon acceleration of the Debt Securities to the extent determined to constitute unearned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81100" cy="276225"/>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7"/>
                    <a:stretch>
                      <a:fillRect/>
                    </a:stretch>
                  </pic:blipFill>
                  <pic:spPr bwMode="auto">
                    <a:xfrm>
                      <a:off x="0" y="0"/>
                      <a:ext cx="1181100" cy="276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left"/>
              <w:rPr/>
            </w:pPr>
            <w:r>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5.</w:t>
            </w:r>
          </w:p>
        </w:tc>
        <w:tc>
          <w:tcPr>
            <w:tcW w:w="10022" w:type="dxa"/>
            <w:tcBorders/>
            <w:vAlign w:val="center"/>
          </w:tcPr>
          <w:p>
            <w:pPr>
              <w:pStyle w:val="TableContents"/>
              <w:bidi w:val="0"/>
              <w:spacing w:before="0" w:after="283"/>
              <w:jc w:val="left"/>
              <w:rPr/>
            </w:pPr>
            <w:r>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left"/>
              <w:rPr/>
            </w:pPr>
            <w:r>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7.</w:t>
            </w:r>
          </w:p>
        </w:tc>
        <w:tc>
          <w:tcPr>
            <w:tcW w:w="10022" w:type="dxa"/>
            <w:tcBorders/>
            <w:vAlign w:val="center"/>
          </w:tcPr>
          <w:p>
            <w:pPr>
              <w:pStyle w:val="TableContents"/>
              <w:bidi w:val="0"/>
              <w:spacing w:before="0" w:after="283"/>
              <w:jc w:val="left"/>
              <w:rPr/>
            </w:pPr>
            <w:r>
              <w:rPr/>
              <w:t>When the Depositary Agreement to be entered into in connection with the issuance of any Depositary Shares has been duly authorized, executed and delivered by the Depositary and the Company; the specific terms of the Depositary Shares have been duly authorized and established in accordance with the Depositary Agreement; and such Depositary Shares have been duly authorized, executed, issued and delivered in accordance with the Depositary Agreement and the applicable underwriting or other agreement against payment therefor, such Depositary Shares will constitute legal and valid interests in the corresponding shares of Preferred Stock, subject to applicable bankruptcy, insolvency and similar laws affecting creditors’ rights generally, concepts of reasonableness and equitable principles of general applicability.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81100" cy="276225"/>
            <wp:effectExtent l="0" t="0" r="0" b="0"/>
            <wp:docPr id="1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 descr=""/>
                    <pic:cNvPicPr>
                      <a:picLocks noChangeAspect="1" noChangeArrowheads="1"/>
                    </pic:cNvPicPr>
                  </pic:nvPicPr>
                  <pic:blipFill>
                    <a:blip r:embed="rId8"/>
                    <a:stretch>
                      <a:fillRect/>
                    </a:stretch>
                  </pic:blipFill>
                  <pic:spPr bwMode="auto">
                    <a:xfrm>
                      <a:off x="0" y="0"/>
                      <a:ext cx="1181100" cy="276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left"/>
              <w:rPr/>
            </w:pPr>
            <w:r>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is, and shall remain, validly existing as a corporation in good standing under the laws of the State of Delaware; (iii) the Registration Statement shall have become effective and such effectiveness shall not have been terminated or rescinded; and (iv) the Indentures, the Debt Securities, the Warrant Agreement, the Purchase Contract Agreement, the Unit Agreement, the Guarantees and the Depositary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any Warrant Agreement, Purchase Contract Agreement and Unit Agreement will be governed by the laws of the State of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the foregoing opinion is limited to the laws of the State of New York and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3118" w:type="dxa"/>
        <w:jc w:val="left"/>
        <w:tblInd w:w="0" w:type="dxa"/>
        <w:tblLayout w:type="fixed"/>
        <w:tblCellMar>
          <w:top w:w="0" w:type="dxa"/>
          <w:left w:w="0" w:type="dxa"/>
          <w:bottom w:w="28" w:type="dxa"/>
          <w:right w:w="0" w:type="dxa"/>
        </w:tblCellMar>
      </w:tblPr>
      <w:tblGrid>
        <w:gridCol w:w="3080"/>
        <w:gridCol w:w="38"/>
      </w:tblGrid>
      <w:tr>
        <w:trPr/>
        <w:tc>
          <w:tcPr>
            <w:tcW w:w="3080" w:type="dxa"/>
            <w:tcBorders>
              <w:bottom w:val="single" w:sz="8" w:space="0" w:color="000000"/>
            </w:tcBorders>
            <w:vAlign w:val="center"/>
          </w:tcPr>
          <w:p>
            <w:pPr>
              <w:pStyle w:val="TableContents"/>
              <w:bidi w:val="0"/>
              <w:spacing w:before="0" w:after="283"/>
              <w:jc w:val="left"/>
              <w:rPr/>
            </w:pPr>
            <w:r>
              <w:rPr/>
              <w:t>/s/ Davis Polk &amp; Wardwell LLP</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4" w:name="tm248244d2_ex23-2.htm"/>
      <w:bookmarkStart w:id="25" w:name="kstm248244d2_ex232"/>
      <w:bookmarkEnd w:id="24"/>
      <w:bookmarkEnd w:id="25"/>
      <w:r>
        <w:rPr/>
        <w:t> </w:t>
      </w:r>
      <w:r>
        <w:br w:type="page"/>
      </w:r>
    </w:p>
    <w:p>
      <w:pPr>
        <w:pStyle w:val="TextBody"/>
        <w:bidi w:val="0"/>
        <w:spacing w:before="0" w:after="0"/>
        <w:ind w:left="0" w:right="0" w:hanging="0"/>
        <w:jc w:val="right"/>
        <w:rPr>
          <w:b/>
        </w:rPr>
      </w:pPr>
      <w:r>
        <w:rPr>
          <w:b/>
        </w:rPr>
        <w:t>Exhibit 23.2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Mobileye Global Inc. of our report dated February 23, 2024 relating to the financial statements and the effectiveness of internal control over financial reporting, which appears in Mobileye Global Inc.'s Annual Report on Form 10-K for the year ended December 30, 2023.  We also consent to the reference to us under the heading “Experts” in such Registration Statemen</w:t>
      </w:r>
      <w:r>
        <w:rPr>
          <w:rFonts w:ascii="Times New Roman;Times;Serif" w:hAnsi="Times New Roman;Times;Serif"/>
          <w:b w:val="false"/>
          <w:i w:val="false"/>
          <w:caps w:val="false"/>
          <w:smallCaps w:val="false"/>
          <w:color w:val="222222"/>
          <w:sz w:val="20"/>
        </w:rPr>
        <w:t>t.</w:t>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shd w:fill="FFFFFF" w:val="clear"/>
        <w:tblLayout w:type="fixed"/>
        <w:tblCellMar>
          <w:top w:w="0" w:type="dxa"/>
          <w:left w:w="0" w:type="dxa"/>
          <w:bottom w:w="0" w:type="dxa"/>
          <w:right w:w="0" w:type="dxa"/>
        </w:tblCellMar>
      </w:tblPr>
      <w:tblGrid>
        <w:gridCol w:w="5285"/>
      </w:tblGrid>
      <w:tr>
        <w:trPr/>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Kesselman &amp; Kesselman</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Certified Public Accountants (Isr.)</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member firm of PricewaterhouseCoopers International Limited</w:t>
            </w:r>
          </w:p>
        </w:tc>
      </w:tr>
      <w:tr>
        <w:trPr/>
        <w:tc>
          <w:tcPr>
            <w:tcW w:w="5285" w:type="dxa"/>
            <w:tcBorders/>
            <w:shd w:fill="FFFF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tc>
      </w:tr>
      <w:tr>
        <w:trPr/>
        <w:tc>
          <w:tcPr>
            <w:tcW w:w="528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2024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bookmarkStart w:id="26" w:name="tm248244d2_ex-filingfees.htm"/>
      <w:bookmarkStart w:id="27" w:name="kstm248244d2_exfilingfees"/>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 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Securities and Carry Forward Securities</w:t>
      </w:r>
    </w:p>
    <w:p>
      <w:pPr>
        <w:pStyle w:val="TextBody"/>
        <w:bidi w:val="0"/>
        <w:spacing w:before="0" w:after="0"/>
        <w:ind w:left="0" w:right="0" w:hanging="0"/>
        <w:jc w:val="left"/>
        <w:rPr>
          <w:caps w:val="false"/>
          <w:smallCaps w:val="false"/>
        </w:rPr>
      </w:pPr>
      <w:r>
        <w:rPr>
          <w:caps w:val="false"/>
          <w:smallCaps w:val="false"/>
        </w:rPr>
        <w:t> </w:t>
      </w:r>
    </w:p>
    <w:tbl>
      <w:tblPr>
        <w:tblW w:w="11090" w:type="dxa"/>
        <w:jc w:val="left"/>
        <w:tblInd w:w="-10" w:type="dxa"/>
        <w:tblLayout w:type="fixed"/>
        <w:tblCellMar>
          <w:top w:w="40" w:type="dxa"/>
          <w:left w:w="40" w:type="dxa"/>
          <w:bottom w:w="40" w:type="dxa"/>
          <w:right w:w="40" w:type="dxa"/>
        </w:tblCellMar>
      </w:tblPr>
      <w:tblGrid>
        <w:gridCol w:w="905"/>
        <w:gridCol w:w="725"/>
        <w:gridCol w:w="905"/>
        <w:gridCol w:w="1010"/>
        <w:gridCol w:w="920"/>
        <w:gridCol w:w="905"/>
        <w:gridCol w:w="905"/>
        <w:gridCol w:w="410"/>
        <w:gridCol w:w="1070"/>
        <w:gridCol w:w="770"/>
        <w:gridCol w:w="770"/>
        <w:gridCol w:w="800"/>
        <w:gridCol w:w="99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Type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Class</w:t>
              <w:br/>
              <w:t>Title (1)</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Calculation</w:t>
              <w:br/>
              <w:t>or Carry</w:t>
              <w:br/>
              <w:t>Forward Rule</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br/>
              <w:t>Registered</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 Per</w:t>
              <w:br/>
              <w:t>Unit (2)</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w:t>
              <w:br/>
              <w:t>Price</w:t>
            </w:r>
          </w:p>
        </w:tc>
        <w:tc>
          <w:tcPr>
            <w:tcW w:w="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Rate</w:t>
            </w:r>
          </w:p>
        </w:tc>
        <w:tc>
          <w:tcPr>
            <w:tcW w:w="10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 (3)</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w:t>
              <w:br/>
              <w:t>Forward</w:t>
              <w:br/>
              <w:t>Form </w:t>
              <w:br/>
              <w:t>Type</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w:t>
              <w:br/>
              <w:t>Forward</w:t>
              <w:br/>
              <w:t>File</w:t>
              <w:br/>
              <w:t>Number</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w:t>
              <w:br/>
              <w:t>Forward</w:t>
              <w:br/>
              <w:t>Initial </w:t>
              <w:br/>
              <w:t>Effective Date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Fee</w:t>
              <w:br/>
              <w:t>Previously</w:t>
              <w:br/>
              <w:t>Paid In</w:t>
              <w:br/>
              <w:t>Connection</w:t>
              <w:br/>
              <w:t>With Unsold </w:t>
              <w:br/>
              <w:t>Securities</w:t>
              <w:br/>
              <w:t>to be Carried</w:t>
              <w:br/>
              <w:t>Forward</w:t>
            </w:r>
          </w:p>
        </w:tc>
      </w:tr>
      <w:tr>
        <w:trPr/>
        <w:tc>
          <w:tcPr>
            <w:tcW w:w="11090" w:type="dxa"/>
            <w:gridSpan w:val="1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Newly Registered Securities</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$0.01 par value per share</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Preferred Stock, $0.01 par value per share</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Debt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Debt Securities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Warrants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Depositary Shares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Rule 456(b) and</w:t>
            </w:r>
          </w:p>
          <w:p>
            <w:pPr>
              <w:pStyle w:val="TableContents"/>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Rule 457(r) (2)</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Purchase Contracts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Rule 456(b) and 457(r)</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Previously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1090" w:type="dxa"/>
            <w:gridSpan w:val="1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 Forward Securities</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N/A</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56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Offering Amounts</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56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Fees Previously Paid</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hd w:fill="FFFFFF" w:val="clear"/>
              </w:rPr>
            </w:pPr>
            <w:r>
              <w:rPr>
                <w:shd w:fill="FFFFFF" w:val="clear"/>
              </w:rPr>
              <w: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56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Fee Offsets</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9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56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 Fee Due</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7" w:type="dxa"/>
            <w:tcBorders/>
            <w:vAlign w:val="center"/>
          </w:tcPr>
          <w:p>
            <w:pPr>
              <w:pStyle w:val="TableContents"/>
              <w:bidi w:val="0"/>
              <w:spacing w:before="0" w:after="283"/>
              <w:jc w:val="left"/>
              <w:rPr/>
            </w:pPr>
            <w:r>
              <w:rPr/>
              <w:t>An indeterminate aggregate initial offering price and number or amount of securities of each identified class is being registered as may from time to time be issued at indeterminate prices and as may be issuable upon conversion, redemption, exchange, exercise or settlement of any securities registered hereunder. Any securities registered hereunder may be sold separately or together with other securities registered hereunder.</w:t>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283"/>
              <w:jc w:val="left"/>
              <w:rPr/>
            </w:pPr>
            <w:r>
              <w:rPr/>
              <w:t>The proposed maximum offering price per security will be determined from time to time by the Registrant in connection with the issuance by the Registrant of the securities registered hereunder.</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left"/>
              <w:rPr/>
            </w:pPr>
            <w:r>
              <w:rPr/>
              <w:t>In accordance with Rule 456(b) and 457(r) under the Securities Act, the Registrant is deferring payment of all registration fees, which will be paid from time to time in one or more offerings of securities to be made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10139/000110465922112427/tm227410d28_ex3-1.htm" TargetMode="External"/><Relationship Id="rId3" Type="http://schemas.openxmlformats.org/officeDocument/2006/relationships/hyperlink" Target="https://www.sec.gov/Archives/edgar/data/1910139/000110465922112427/tm227410d28_ex3-2.htm" TargetMode="External"/><Relationship Id="rId4" Type="http://schemas.openxmlformats.org/officeDocument/2006/relationships/hyperlink" Target="https://www.sec.gov/Archives/edgar/data/1910139/000110465923030588/mbly-20221231xex10d2.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77370</Words>
  <Characters>394947</Characters>
  <CharactersWithSpaces>475201</CharactersWithSpaces>
  <Paragraphs>4006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