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11724d2_def14a.htm"/>
        <w:bookmarkStart w:id="1" w:name="kstm2311724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80" w:before="120"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80" w:before="220" w:after="283"/>
        <w:jc w:val="center"/>
        <w:rPr>
          <w:rFonts w:ascii="Times New Roman;Times;serif" w:hAnsi="Times New Roman;Times;serif"/>
          <w:b/>
          <w:i w:val="false"/>
          <w:caps w:val="false"/>
          <w:smallCaps w:val="false"/>
          <w:color w:val="000000"/>
          <w:spacing w:val="-5"/>
          <w:sz w:val="24"/>
        </w:rPr>
      </w:pPr>
      <w:r>
        <w:rPr>
          <w:rFonts w:ascii="Times New Roman;Times;serif" w:hAnsi="Times New Roman;Times;serif"/>
          <w:b/>
          <w:i w:val="false"/>
          <w:caps w:val="false"/>
          <w:smallCaps w:val="false"/>
          <w:color w:val="000000"/>
          <w:spacing w:val="-5"/>
          <w:sz w:val="24"/>
        </w:rPr>
        <w:t xml:space="preserve">SCHEDULE 14A </w:t>
      </w:r>
    </w:p>
    <w:p>
      <w:pPr>
        <w:pStyle w:val="TextBody"/>
        <w:spacing w:lineRule="atLeast" w:line="22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(RULE 14a-101) </w:t>
        <w:br/>
        <w:t>SCHEDULE 14A INFORMATION</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w:t>
        <w:br/>
        <w:t>of the Securities Exchange Act of 1934</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w:t>
      </w:r>
      <w:r>
        <w:rPr>
          <w:rFonts w:ascii="Times New Roman;Times;serif" w:hAnsi="Times New Roman;Time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before="190" w:after="283"/>
        <w:jc w:val="center"/>
        <w:rPr>
          <w:caps w:val="false"/>
          <w:smallCaps w:val="false"/>
          <w:color w:val="000000"/>
        </w:rPr>
      </w:pPr>
      <w:r>
        <w:rPr>
          <w:caps w:val="false"/>
          <w:smallCaps w:val="false"/>
          <w:color w:val="000000"/>
        </w:rPr>
        <w:drawing>
          <wp:inline distT="0" distB="0" distL="0" distR="0">
            <wp:extent cx="1190625" cy="790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190625" cy="790575"/>
                    </a:xfrm>
                    <a:prstGeom prst="rect">
                      <a:avLst/>
                    </a:prstGeom>
                  </pic:spPr>
                </pic:pic>
              </a:graphicData>
            </a:graphic>
          </wp:inline>
        </w:drawing>
      </w:r>
      <w:r>
        <w:rPr>
          <w:caps w:val="false"/>
          <w:smallCaps w:val="false"/>
          <w:color w:val="000000"/>
        </w:rPr>
        <w:t xml:space="preserve"> </w:t>
      </w:r>
    </w:p>
    <w:p>
      <w:pPr>
        <w:pStyle w:val="TextBody"/>
        <w:spacing w:lineRule="atLeast" w:line="320" w:before="2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Mobileye Global Inc.</w:t>
      </w:r>
      <w:r>
        <w:rPr>
          <w:rFonts w:ascii="Times New Roman;Times;serif" w:hAnsi="Times New Roman;Times;serif"/>
          <w:b/>
          <w:i w:val="false"/>
          <w:caps w:val="false"/>
          <w:smallCaps w:val="false"/>
          <w:color w:val="000000"/>
          <w:sz w:val="28"/>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7"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8"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9"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991475" cy="100203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991475" cy="1002030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NOAS"/>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MOBILEYE GLOBAL INC.</w:t>
      </w:r>
      <w:r>
        <w:rPr>
          <w:rFonts w:ascii="Times New Roman;Times;serif" w:hAnsi="Times New Roman;Times;serif"/>
          <w:b/>
          <w:i w:val="false"/>
          <w:caps w:val="false"/>
          <w:smallCaps w:val="false"/>
          <w:color w:val="000000"/>
          <w:spacing w:val="-3"/>
          <w:sz w:val="15"/>
        </w:rPr>
        <w:t>1</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w:t>
        <w:br/>
        <w:t>2023 ANNUAL STOCKHOLDERS’ MEETING</w:t>
      </w:r>
      <w:r>
        <w:rPr>
          <w:rFonts w:ascii="Times New Roman;Times;serif" w:hAnsi="Times New Roman;Times;serif"/>
          <w:b/>
          <w:i w:val="false"/>
          <w:caps w:val="false"/>
          <w:smallCaps w:val="false"/>
          <w:color w:val="000000"/>
          <w:spacing w:val="4"/>
          <w:sz w:val="20"/>
        </w:rPr>
        <w:t xml:space="preserve"> </w:t>
      </w:r>
    </w:p>
    <w:tbl>
      <w:tblPr>
        <w:tblW w:w="8773" w:type="dxa"/>
        <w:jc w:val="left"/>
        <w:tblInd w:w="1393" w:type="dxa"/>
        <w:tblCellMar>
          <w:top w:w="0" w:type="dxa"/>
          <w:left w:w="0" w:type="dxa"/>
          <w:bottom w:w="0" w:type="dxa"/>
          <w:right w:w="0" w:type="dxa"/>
        </w:tblCellMar>
      </w:tblPr>
      <w:tblGrid>
        <w:gridCol w:w="124"/>
        <w:gridCol w:w="2031"/>
        <w:gridCol w:w="109"/>
        <w:gridCol w:w="109"/>
        <w:gridCol w:w="3203"/>
        <w:gridCol w:w="109"/>
        <w:gridCol w:w="109"/>
        <w:gridCol w:w="2825"/>
        <w:gridCol w:w="154"/>
      </w:tblGrid>
      <w:tr>
        <w:trPr/>
        <w:tc>
          <w:tcPr>
            <w:tcW w:w="124" w:type="dxa"/>
            <w:tcBorders/>
            <w:shd w:fill="auto" w:val="clear"/>
            <w:vAlign w:val="center"/>
          </w:tcPr>
          <w:p>
            <w:pPr>
              <w:pStyle w:val="TableContents"/>
              <w:spacing w:before="0" w:after="283"/>
              <w:rPr/>
            </w:pPr>
            <w:r>
              <w:rPr/>
              <w:t>​</w:t>
            </w:r>
          </w:p>
        </w:tc>
        <w:tc>
          <w:tcPr>
            <w:tcW w:w="2031" w:type="dxa"/>
            <w:tcBorders/>
            <w:shd w:fill="auto" w:val="clear"/>
            <w:vAlign w:val="center"/>
          </w:tcPr>
          <w:p>
            <w:pPr>
              <w:pStyle w:val="TableContents"/>
              <w:spacing w:before="0" w:after="283"/>
              <w:rPr/>
            </w:pPr>
            <w:r>
              <w:rPr>
                <w:spacing w:val="-4"/>
              </w:rPr>
              <w:t>Date</w:t>
            </w:r>
            <w:r>
              <w:rPr>
                <w:spacing w:val="4"/>
              </w:rPr>
              <w:t xml:space="preserve"> </w:t>
            </w:r>
            <w:r>
              <w:rPr>
                <w:b w:val="false"/>
                <w:spacing w:val="4"/>
              </w:rPr>
              <w:t xml:space="preserve">June 14, 2023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203" w:type="dxa"/>
            <w:tcBorders/>
            <w:shd w:fill="auto" w:val="clear"/>
            <w:vAlign w:val="center"/>
          </w:tcPr>
          <w:p>
            <w:pPr>
              <w:pStyle w:val="TableContents"/>
              <w:spacing w:before="0" w:after="283"/>
              <w:rPr/>
            </w:pPr>
            <w:r>
              <w:rPr>
                <w:spacing w:val="-4"/>
              </w:rPr>
              <w:t>Time</w:t>
            </w:r>
            <w:r>
              <w:rPr>
                <w:spacing w:val="4"/>
              </w:rPr>
              <w:t xml:space="preserve"> </w:t>
            </w:r>
            <w:r>
              <w:rPr>
                <w:b w:val="false"/>
                <w:spacing w:val="4"/>
              </w:rPr>
              <w:t xml:space="preserve">11:30 A.M. Eastern Time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825" w:type="dxa"/>
            <w:tcBorders/>
            <w:shd w:fill="auto" w:val="clear"/>
            <w:vAlign w:val="center"/>
          </w:tcPr>
          <w:p>
            <w:pPr>
              <w:pStyle w:val="TableContents"/>
              <w:spacing w:before="0" w:after="283"/>
              <w:rPr/>
            </w:pPr>
            <w:r>
              <w:rPr>
                <w:spacing w:val="-4"/>
              </w:rPr>
              <w:t>Record Date</w:t>
            </w:r>
            <w:r>
              <w:rPr>
                <w:spacing w:val="4"/>
              </w:rPr>
              <w:t xml:space="preserve"> </w:t>
            </w:r>
            <w:r>
              <w:rPr>
                <w:b w:val="false"/>
                <w:spacing w:val="4"/>
              </w:rPr>
              <w:t>April 24, 2023</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Recommendations of the Mobileye Board of Directors (the “Board”)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Proposals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431"/>
        <w:gridCol w:w="109"/>
        <w:gridCol w:w="109"/>
        <w:gridCol w:w="4687"/>
        <w:gridCol w:w="109"/>
        <w:gridCol w:w="109"/>
        <w:gridCol w:w="439"/>
        <w:gridCol w:w="109"/>
        <w:gridCol w:w="109"/>
        <w:gridCol w:w="1322"/>
        <w:gridCol w:w="155"/>
      </w:tblGrid>
      <w:tr>
        <w:trPr/>
        <w:tc>
          <w:tcPr>
            <w:tcW w:w="124" w:type="dxa"/>
            <w:tcBorders/>
            <w:shd w:fill="auto" w:val="clear"/>
            <w:vAlign w:val="center"/>
          </w:tcPr>
          <w:p>
            <w:pPr>
              <w:pStyle w:val="TableContents"/>
              <w:spacing w:before="0" w:after="283"/>
              <w:rPr/>
            </w:pPr>
            <w:r>
              <w:rPr/>
              <w:t>​</w:t>
            </w:r>
          </w:p>
        </w:tc>
        <w:tc>
          <w:tcPr>
            <w:tcW w:w="1431" w:type="dxa"/>
            <w:tcBorders/>
            <w:shd w:fill="auto" w:val="clear"/>
            <w:vAlign w:val="center"/>
          </w:tcPr>
          <w:p>
            <w:pPr>
              <w:pStyle w:val="TableContents"/>
              <w:spacing w:lineRule="atLeast" w:line="240" w:before="0" w:after="0"/>
              <w:rPr>
                <w:b/>
              </w:rPr>
            </w:pPr>
            <w:r>
              <w:rPr>
                <w:b/>
                <w:spacing w:val="-4"/>
              </w:rPr>
              <w:t>PROPOSAL 1</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687" w:type="dxa"/>
            <w:tcBorders/>
            <w:shd w:fill="auto" w:val="clear"/>
            <w:vAlign w:val="center"/>
          </w:tcPr>
          <w:p>
            <w:pPr>
              <w:pStyle w:val="TableContents"/>
              <w:spacing w:lineRule="atLeast" w:line="240" w:before="0" w:after="0"/>
              <w:rPr>
                <w:b/>
              </w:rPr>
            </w:pPr>
            <w:r>
              <w:rPr>
                <w:b/>
                <w:spacing w:val="-4"/>
              </w:rPr>
              <w:t>Election of the 8 director nominees named in this proxy statement</w:t>
            </w:r>
            <w:r>
              <w:rPr>
                <w:b/>
              </w:rPr>
              <w:t xml:space="preserve"> </w:t>
            </w:r>
          </w:p>
          <w:p>
            <w:pPr>
              <w:pStyle w:val="TableContents"/>
              <w:spacing w:lineRule="atLeast" w:line="240" w:before="120" w:after="283"/>
              <w:rPr>
                <w:spacing w:val="4"/>
              </w:rPr>
            </w:pPr>
            <w:r>
              <w:rPr>
                <w:spacing w:val="4"/>
              </w:rPr>
              <w:t xml:space="preserve">We have built a board that is highly engaged and possesses the necessary skills, experiences, qualifications, and diversity to effectively oversee the business and long-term interests of stockholders.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9" w:type="dxa"/>
            <w:tcBorders/>
            <w:shd w:fill="auto" w:val="clear"/>
            <w:vAlign w:val="center"/>
          </w:tcPr>
          <w:p>
            <w:pPr>
              <w:pStyle w:val="TableContents"/>
              <w:spacing w:before="0" w:after="0"/>
              <w:jc w:val="center"/>
              <w:rPr/>
            </w:pPr>
            <w:r>
              <w:rPr/>
              <w:drawing>
                <wp:inline distT="0" distB="0" distL="0" distR="0">
                  <wp:extent cx="219075" cy="1619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2" w:type="dxa"/>
            <w:tcBorders/>
            <w:shd w:fill="auto" w:val="clear"/>
            <w:vAlign w:val="center"/>
          </w:tcPr>
          <w:p>
            <w:pPr>
              <w:pStyle w:val="TableContents"/>
              <w:spacing w:lineRule="atLeast" w:line="240" w:before="0" w:after="0"/>
              <w:rPr>
                <w:b/>
              </w:rPr>
            </w:pPr>
            <w:r>
              <w:rPr>
                <w:b/>
                <w:spacing w:val="-4"/>
              </w:rPr>
              <w:t>Vote For Each Director Nominee</w:t>
            </w:r>
            <w:r>
              <w:rPr>
                <w:b/>
              </w:rPr>
              <w:t xml:space="preserve"> </w:t>
            </w:r>
          </w:p>
          <w:p>
            <w:pPr>
              <w:pStyle w:val="TableContents"/>
              <w:spacing w:lineRule="atLeast" w:line="240" w:before="120" w:after="283"/>
              <w:rPr/>
            </w:pPr>
            <w:r>
              <w:rPr>
                <w:b/>
                <w:spacing w:val="-4"/>
              </w:rPr>
              <w:t xml:space="preserve">See page </w:t>
            </w:r>
            <w:hyperlink w:anchor="tP1EO">
              <w:r>
                <w:rPr>
                  <w:rStyle w:val="InternetLink"/>
                  <w:b/>
                  <w:spacing w:val="-4"/>
                </w:rPr>
                <w:t>1</w:t>
              </w:r>
            </w:hyperlink>
            <w:r>
              <w:rPr>
                <w:b/>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1" w:type="dxa"/>
            <w:tcBorders/>
            <w:shd w:fill="auto" w:val="clear"/>
            <w:vAlign w:val="center"/>
          </w:tcPr>
          <w:p>
            <w:pPr>
              <w:pStyle w:val="TableContents"/>
              <w:spacing w:lineRule="atLeast" w:line="240" w:before="0" w:after="0"/>
              <w:rPr/>
            </w:pPr>
            <w:r>
              <w:rPr>
                <w:spacing w:val="-4"/>
              </w:rPr>
              <w:t>PROPOSAL 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687" w:type="dxa"/>
            <w:tcBorders/>
            <w:shd w:fill="auto" w:val="clear"/>
            <w:vAlign w:val="center"/>
          </w:tcPr>
          <w:p>
            <w:pPr>
              <w:pStyle w:val="TableContents"/>
              <w:spacing w:lineRule="atLeast" w:line="240" w:before="0" w:after="0"/>
              <w:rPr/>
            </w:pPr>
            <w:r>
              <w:rPr>
                <w:spacing w:val="-4"/>
              </w:rPr>
              <w:t>Ratification of selection of PricewaterhouseCoopers International Limited (“PwC”) as our independent registered public accounting firm for 2023</w:t>
            </w:r>
            <w:r>
              <w:rPr/>
              <w:t xml:space="preserve"> </w:t>
            </w:r>
          </w:p>
          <w:p>
            <w:pPr>
              <w:pStyle w:val="TableContents"/>
              <w:spacing w:lineRule="atLeast" w:line="240" w:before="120" w:after="283"/>
              <w:rPr>
                <w:b w:val="false"/>
                <w:spacing w:val="4"/>
              </w:rPr>
            </w:pPr>
            <w:r>
              <w:rPr>
                <w:b w:val="false"/>
                <w:spacing w:val="4"/>
              </w:rPr>
              <w:t xml:space="preserve">The Audit Committee is involved in the annual review and engagement of PwC and believes their continued retention is in the best interests of Mobileye and its stockholders.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9" w:type="dxa"/>
            <w:tcBorders/>
            <w:shd w:fill="auto" w:val="clear"/>
            <w:vAlign w:val="center"/>
          </w:tcPr>
          <w:p>
            <w:pPr>
              <w:pStyle w:val="TableContents"/>
              <w:spacing w:before="0" w:after="0"/>
              <w:jc w:val="center"/>
              <w:rPr/>
            </w:pPr>
            <w:r>
              <w:rPr/>
              <w:drawing>
                <wp:inline distT="0" distB="0" distL="0" distR="0">
                  <wp:extent cx="219075" cy="1619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2" w:type="dxa"/>
            <w:tcBorders/>
            <w:shd w:fill="auto" w:val="clear"/>
            <w:vAlign w:val="center"/>
          </w:tcPr>
          <w:p>
            <w:pPr>
              <w:pStyle w:val="TableContents"/>
              <w:spacing w:lineRule="atLeast" w:line="240" w:before="0" w:after="0"/>
              <w:rPr/>
            </w:pPr>
            <w:r>
              <w:rPr>
                <w:spacing w:val="-4"/>
              </w:rPr>
              <w:t>Vote For</w:t>
            </w:r>
            <w:r>
              <w:rPr/>
              <w:t xml:space="preserve"> </w:t>
            </w:r>
          </w:p>
          <w:p>
            <w:pPr>
              <w:pStyle w:val="TableContents"/>
              <w:spacing w:lineRule="atLeast" w:line="240" w:before="120" w:after="283"/>
              <w:rPr/>
            </w:pPr>
            <w:r>
              <w:rPr>
                <w:spacing w:val="-4"/>
              </w:rPr>
              <w:t xml:space="preserve">See page </w:t>
            </w:r>
            <w:hyperlink w:anchor="tP2RO">
              <w:r>
                <w:rPr>
                  <w:rStyle w:val="InternetLink"/>
                  <w:spacing w:val="-4"/>
                </w:rPr>
                <w:t>24</w:t>
              </w:r>
            </w:hyperlink>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1" w:type="dxa"/>
            <w:tcBorders/>
            <w:shd w:fill="auto" w:val="clear"/>
            <w:vAlign w:val="center"/>
          </w:tcPr>
          <w:p>
            <w:pPr>
              <w:pStyle w:val="TableContents"/>
              <w:spacing w:lineRule="atLeast" w:line="240" w:before="0" w:after="0"/>
              <w:rPr>
                <w:b/>
              </w:rPr>
            </w:pPr>
            <w:r>
              <w:rPr>
                <w:b/>
                <w:spacing w:val="-4"/>
              </w:rPr>
              <w:t>PROPOSAL 3</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687" w:type="dxa"/>
            <w:tcBorders/>
            <w:shd w:fill="auto" w:val="clear"/>
            <w:vAlign w:val="center"/>
          </w:tcPr>
          <w:p>
            <w:pPr>
              <w:pStyle w:val="TableContents"/>
              <w:spacing w:lineRule="atLeast" w:line="240" w:before="0" w:after="0"/>
              <w:rPr>
                <w:b/>
              </w:rPr>
            </w:pPr>
            <w:r>
              <w:rPr>
                <w:b/>
                <w:spacing w:val="-4"/>
              </w:rPr>
              <w:t>Advisory vote on executive compensation</w:t>
            </w:r>
            <w:r>
              <w:rPr>
                <w:b/>
              </w:rPr>
              <w:t xml:space="preserve"> </w:t>
            </w:r>
          </w:p>
          <w:p>
            <w:pPr>
              <w:pStyle w:val="TableContents"/>
              <w:spacing w:lineRule="atLeast" w:line="240" w:before="120" w:after="283"/>
              <w:rPr/>
            </w:pPr>
            <w:r>
              <w:rPr>
                <w:spacing w:val="4"/>
              </w:rPr>
              <w:t>Our executive compensation programs are intended to align interests of executives with those of stockholders through the use of measures we believe drive long-term success for the Company.</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9" w:type="dxa"/>
            <w:tcBorders/>
            <w:shd w:fill="auto" w:val="clear"/>
            <w:vAlign w:val="center"/>
          </w:tcPr>
          <w:p>
            <w:pPr>
              <w:pStyle w:val="TableContents"/>
              <w:spacing w:before="0" w:after="0"/>
              <w:jc w:val="center"/>
              <w:rPr/>
            </w:pPr>
            <w:r>
              <w:rPr/>
              <w:drawing>
                <wp:inline distT="0" distB="0" distL="0" distR="0">
                  <wp:extent cx="219075" cy="1619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2" w:type="dxa"/>
            <w:tcBorders/>
            <w:shd w:fill="auto" w:val="clear"/>
            <w:vAlign w:val="center"/>
          </w:tcPr>
          <w:p>
            <w:pPr>
              <w:pStyle w:val="TableContents"/>
              <w:spacing w:lineRule="atLeast" w:line="240" w:before="0" w:after="0"/>
              <w:rPr>
                <w:b/>
              </w:rPr>
            </w:pPr>
            <w:r>
              <w:rPr>
                <w:b/>
                <w:spacing w:val="-4"/>
              </w:rPr>
              <w:t>Vote For</w:t>
            </w:r>
            <w:r>
              <w:rPr>
                <w:b/>
              </w:rPr>
              <w:t xml:space="preserve"> </w:t>
            </w:r>
          </w:p>
          <w:p>
            <w:pPr>
              <w:pStyle w:val="TableContents"/>
              <w:spacing w:lineRule="atLeast" w:line="240" w:before="120" w:after="283"/>
              <w:rPr/>
            </w:pPr>
            <w:r>
              <w:rPr>
                <w:b/>
                <w:spacing w:val="-4"/>
              </w:rPr>
              <w:t xml:space="preserve">See page </w:t>
            </w:r>
            <w:hyperlink w:anchor="tP3AV">
              <w:r>
                <w:rPr>
                  <w:rStyle w:val="InternetLink"/>
                  <w:b/>
                  <w:spacing w:val="-4"/>
                </w:rPr>
                <w:t>27</w:t>
              </w:r>
            </w:hyperlink>
            <w:r>
              <w:rPr>
                <w:b/>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31" w:type="dxa"/>
            <w:tcBorders/>
            <w:shd w:fill="auto" w:val="clear"/>
            <w:vAlign w:val="center"/>
          </w:tcPr>
          <w:p>
            <w:pPr>
              <w:pStyle w:val="TableContents"/>
              <w:spacing w:lineRule="atLeast" w:line="240" w:before="0" w:after="0"/>
              <w:rPr/>
            </w:pPr>
            <w:r>
              <w:rPr>
                <w:spacing w:val="-4"/>
              </w:rPr>
              <w:t>PROPOSAL 4</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687" w:type="dxa"/>
            <w:tcBorders/>
            <w:shd w:fill="auto" w:val="clear"/>
            <w:vAlign w:val="center"/>
          </w:tcPr>
          <w:p>
            <w:pPr>
              <w:pStyle w:val="TableContents"/>
              <w:spacing w:lineRule="atLeast" w:line="240" w:before="0" w:after="0"/>
              <w:rPr/>
            </w:pPr>
            <w:r>
              <w:rPr>
                <w:spacing w:val="-4"/>
              </w:rPr>
              <w:t>Advisory vote on “say-on-pay”</w:t>
            </w:r>
            <w:r>
              <w:rPr>
                <w:spacing w:val="4"/>
              </w:rPr>
              <w:t xml:space="preserve"> </w:t>
            </w:r>
            <w:r>
              <w:rPr>
                <w:spacing w:val="-4"/>
              </w:rPr>
              <w:t>frequency</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9" w:type="dxa"/>
            <w:tcBorders/>
            <w:shd w:fill="auto" w:val="clear"/>
            <w:vAlign w:val="center"/>
          </w:tcPr>
          <w:p>
            <w:pPr>
              <w:pStyle w:val="TableContents"/>
              <w:spacing w:before="0" w:after="0"/>
              <w:jc w:val="center"/>
              <w:rPr/>
            </w:pPr>
            <w:r>
              <w:rPr/>
              <w:drawing>
                <wp:inline distT="0" distB="0" distL="0" distR="0">
                  <wp:extent cx="219075" cy="161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22" w:type="dxa"/>
            <w:tcBorders/>
            <w:shd w:fill="auto" w:val="clear"/>
            <w:vAlign w:val="center"/>
          </w:tcPr>
          <w:p>
            <w:pPr>
              <w:pStyle w:val="TableContents"/>
              <w:spacing w:lineRule="atLeast" w:line="240" w:before="0" w:after="0"/>
              <w:rPr/>
            </w:pPr>
            <w:r>
              <w:rPr>
                <w:spacing w:val="-4"/>
              </w:rPr>
              <w:t>Vote for One Year</w:t>
            </w:r>
            <w:r>
              <w:rPr/>
              <w:t xml:space="preserve"> </w:t>
            </w:r>
          </w:p>
          <w:p>
            <w:pPr>
              <w:pStyle w:val="TableContents"/>
              <w:spacing w:lineRule="atLeast" w:line="240" w:before="120" w:after="283"/>
              <w:rPr/>
            </w:pPr>
            <w:r>
              <w:rPr>
                <w:spacing w:val="-4"/>
              </w:rPr>
              <w:t xml:space="preserve">See page </w:t>
            </w:r>
            <w:hyperlink w:anchor="tP4AV">
              <w:r>
                <w:rPr>
                  <w:rStyle w:val="InternetLink"/>
                  <w:spacing w:val="-4"/>
                </w:rPr>
                <w:t>28</w:t>
              </w:r>
            </w:hyperlink>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Referred to herein as “Mobileye” or the “Company,” and, where the context requires, such terms refer to our historical operations.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largest"/>
                <wp:docPr id="15" name="Frame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3"/>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3"/>
                          <w:sz w:val="15"/>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949" w:type="dxa"/>
        <w:jc w:val="left"/>
        <w:tblInd w:w="1393" w:type="dxa"/>
        <w:tblCellMar>
          <w:top w:w="0" w:type="dxa"/>
          <w:left w:w="0" w:type="dxa"/>
          <w:bottom w:w="0" w:type="dxa"/>
          <w:right w:w="0" w:type="dxa"/>
        </w:tblCellMar>
      </w:tblPr>
      <w:tblGrid>
        <w:gridCol w:w="124"/>
        <w:gridCol w:w="1361"/>
        <w:gridCol w:w="109"/>
        <w:gridCol w:w="109"/>
        <w:gridCol w:w="611"/>
        <w:gridCol w:w="109"/>
        <w:gridCol w:w="109"/>
        <w:gridCol w:w="3804"/>
        <w:gridCol w:w="109"/>
        <w:gridCol w:w="109"/>
        <w:gridCol w:w="611"/>
        <w:gridCol w:w="109"/>
        <w:gridCol w:w="109"/>
        <w:gridCol w:w="1412"/>
        <w:gridCol w:w="154"/>
      </w:tblGrid>
      <w:tr>
        <w:trPr/>
        <w:tc>
          <w:tcPr>
            <w:tcW w:w="124" w:type="dxa"/>
            <w:tcBorders/>
            <w:shd w:fill="auto" w:val="clear"/>
            <w:vAlign w:val="center"/>
          </w:tcPr>
          <w:p>
            <w:pPr>
              <w:pStyle w:val="TableContents"/>
              <w:spacing w:before="0" w:after="283"/>
              <w:rPr/>
            </w:pPr>
            <w:r>
              <w:rPr/>
              <w:t>​</w:t>
            </w:r>
          </w:p>
        </w:tc>
        <w:tc>
          <w:tcPr>
            <w:tcW w:w="1361" w:type="dxa"/>
            <w:tcBorders/>
            <w:shd w:fill="auto" w:val="clear"/>
            <w:vAlign w:val="center"/>
          </w:tcPr>
          <w:p>
            <w:pPr>
              <w:pStyle w:val="TableContents"/>
              <w:spacing w:before="0" w:after="283"/>
              <w:rPr/>
            </w:pPr>
            <w:r>
              <w:rPr>
                <w:spacing w:val="-4"/>
              </w:rPr>
              <w:t>How to Vote</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1" w:type="dxa"/>
            <w:tcBorders/>
            <w:shd w:fill="auto" w:val="clear"/>
            <w:vAlign w:val="center"/>
          </w:tcPr>
          <w:p>
            <w:pPr>
              <w:pStyle w:val="TableContents"/>
              <w:spacing w:before="0" w:after="283"/>
              <w:rPr/>
            </w:pPr>
            <w:r>
              <w:rPr>
                <w:spacing w:val="-4"/>
              </w:rPr>
              <w:t>Vote</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0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75"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61" w:type="dxa"/>
            <w:vMerge w:val="restart"/>
            <w:tcBorders/>
            <w:shd w:fill="auto" w:val="clear"/>
            <w:vAlign w:val="center"/>
          </w:tcPr>
          <w:p>
            <w:pPr>
              <w:pStyle w:val="TableContents"/>
              <w:spacing w:lineRule="atLeast" w:line="240" w:before="0" w:after="0"/>
              <w:rPr/>
            </w:pPr>
            <w:r>
              <w:rPr>
                <w:spacing w:val="4"/>
              </w:rPr>
              <w:t xml:space="preserve">Please act as soon as possible to vote your shares, even if you plan to attend the annual meeting online. If you are a beneficial stockholder, your broker will NOT be able to vote your shares with respect to the election of directors and most of the other matters presented during the meeting unless you have given your broker specific instructions to do so. We strongly encourage you to vote. You may vote via the Internet, by telephone, or, if you have received a printed version of these proxy materials, by mail. For more information, see “Additional Meeting Information” on </w:t>
            </w:r>
            <w:r>
              <w:rPr>
                <w:b/>
                <w:spacing w:val="-4"/>
              </w:rPr>
              <w:t xml:space="preserve">page </w:t>
            </w:r>
            <w:hyperlink w:anchor="tAMI">
              <w:r>
                <w:rPr>
                  <w:rStyle w:val="InternetLink"/>
                  <w:b/>
                  <w:spacing w:val="-4"/>
                </w:rPr>
                <w:t>43</w:t>
              </w:r>
            </w:hyperlink>
            <w:r>
              <w:rPr>
                <w:b/>
                <w:spacing w:val="-4"/>
              </w:rPr>
              <w:t>.</w:t>
            </w:r>
            <w:r>
              <w:rPr>
                <w:spacing w:val="4"/>
              </w:rPr>
              <w:t xml:space="preserve"> ▶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11" w:type="dxa"/>
            <w:tcBorders/>
            <w:shd w:fill="auto" w:val="clear"/>
            <w:vAlign w:val="center"/>
          </w:tcPr>
          <w:p>
            <w:pPr>
              <w:pStyle w:val="TableContents"/>
              <w:spacing w:lineRule="atLeast" w:line="240" w:before="0" w:after="0"/>
              <w:rPr/>
            </w:pPr>
            <w:r>
              <w:rPr/>
              <w:drawing>
                <wp:inline distT="0" distB="0" distL="0" distR="0">
                  <wp:extent cx="333375" cy="33337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04" w:type="dxa"/>
            <w:tcBorders/>
            <w:shd w:fill="auto" w:val="clear"/>
            <w:vAlign w:val="center"/>
          </w:tcPr>
          <w:p>
            <w:pPr>
              <w:pStyle w:val="TableContents"/>
              <w:spacing w:lineRule="atLeast" w:line="240" w:before="0" w:after="0"/>
              <w:rPr>
                <w:b/>
              </w:rPr>
            </w:pPr>
            <w:r>
              <w:rPr>
                <w:b/>
                <w:spacing w:val="-4"/>
              </w:rPr>
              <w:t>ONLINE</w:t>
            </w:r>
            <w:r>
              <w:rPr>
                <w:b/>
                <w:spacing w:val="4"/>
              </w:rPr>
              <w:t xml:space="preserve"> </w:t>
            </w:r>
            <w:r>
              <w:rPr>
                <w:b w:val="false"/>
                <w:spacing w:val="4"/>
              </w:rPr>
              <w:t xml:space="preserve">at </w:t>
            </w:r>
            <w:r>
              <w:rPr>
                <w:b/>
              </w:rPr>
              <w:br/>
            </w:r>
            <w:r>
              <w:rPr>
                <w:b/>
                <w:spacing w:val="-4"/>
              </w:rPr>
              <w:t>www.proxyvote.com.</w:t>
            </w:r>
            <w:r>
              <w:rPr>
                <w:b/>
              </w:rPr>
              <w:t xml:space="preserve"> </w:t>
            </w:r>
          </w:p>
          <w:p>
            <w:pPr>
              <w:pStyle w:val="TableContents"/>
              <w:spacing w:lineRule="atLeast" w:line="240" w:before="120" w:after="283"/>
              <w:rPr/>
            </w:pPr>
            <w:r>
              <w:rPr>
                <w:spacing w:val="4"/>
              </w:rPr>
              <w:t>You may also attend the annual meeting online, including to vote and/or submit questions, at www.virtualshareholdermeeting.com/</w:t>
            </w:r>
            <w:r>
              <w:rPr/>
              <w:t>​</w:t>
            </w:r>
            <w:r>
              <w:rPr>
                <w:spacing w:val="4"/>
              </w:rPr>
              <w:t>MBLY2023</w:t>
            </w:r>
            <w:r>
              <w:rPr>
                <w:b/>
                <w:spacing w:val="-4"/>
              </w:rPr>
              <w:t>.</w:t>
            </w:r>
          </w:p>
        </w:tc>
        <w:tc>
          <w:tcPr>
            <w:tcW w:w="109" w:type="dxa"/>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611" w:type="dxa"/>
            <w:vMerge w:val="restart"/>
            <w:tcBorders/>
            <w:shd w:fill="auto" w:val="clear"/>
            <w:vAlign w:val="center"/>
          </w:tcPr>
          <w:p>
            <w:pPr>
              <w:pStyle w:val="TableContents"/>
              <w:spacing w:before="0" w:after="0"/>
              <w:rPr/>
            </w:pPr>
            <w:r>
              <w:rPr/>
              <w:drawing>
                <wp:inline distT="0" distB="0" distL="0" distR="0">
                  <wp:extent cx="333375" cy="3333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2" w:type="dxa"/>
            <w:tcBorders/>
            <w:shd w:fill="auto" w:val="clear"/>
            <w:vAlign w:val="center"/>
          </w:tcPr>
          <w:p>
            <w:pPr>
              <w:pStyle w:val="TableContents"/>
              <w:spacing w:lineRule="atLeast" w:line="240" w:before="0" w:after="0"/>
              <w:rPr/>
            </w:pPr>
            <w:r>
              <w:rPr>
                <w:b/>
                <w:spacing w:val="-4"/>
              </w:rPr>
              <w:t>BY PHONE</w:t>
            </w:r>
            <w:r>
              <w:rPr>
                <w:spacing w:val="4"/>
              </w:rPr>
              <w:t xml:space="preserve"> by calling the applicable number.</w:t>
            </w:r>
            <w:r>
              <w:rPr/>
              <w:t xml:space="preserve"> </w:t>
            </w:r>
          </w:p>
          <w:p>
            <w:pPr>
              <w:pStyle w:val="TableContents"/>
              <w:spacing w:lineRule="atLeast" w:line="240" w:before="120" w:after="283"/>
              <w:rPr>
                <w:b/>
              </w:rPr>
            </w:pPr>
            <w:r>
              <w:rPr>
                <w:b/>
                <w:spacing w:val="-4"/>
              </w:rPr>
              <w:t>For stockholders of record: 1-800-690-6903</w:t>
            </w:r>
            <w:r>
              <w:rPr>
                <w:b/>
              </w:rPr>
              <w:t xml:space="preserve"> </w:t>
            </w:r>
          </w:p>
          <w:p>
            <w:pPr>
              <w:pStyle w:val="TableContents"/>
              <w:spacing w:lineRule="atLeast" w:line="240" w:before="120" w:after="283"/>
              <w:rPr>
                <w:b/>
              </w:rPr>
            </w:pPr>
            <w:r>
              <w:rPr>
                <w:b/>
                <w:spacing w:val="-4"/>
              </w:rPr>
              <w:t>For beneficial stockholders: 1-800-690-6903</w:t>
            </w:r>
            <w:r>
              <w:rPr>
                <w:b/>
              </w:rPr>
              <w:t xml:space="preserve"> </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6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11" w:type="dxa"/>
            <w:tcBorders/>
            <w:shd w:fill="auto" w:val="clear"/>
            <w:vAlign w:val="center"/>
          </w:tcPr>
          <w:p>
            <w:pPr>
              <w:pStyle w:val="TableContents"/>
              <w:spacing w:before="0" w:after="0"/>
              <w:rPr/>
            </w:pPr>
            <w:r>
              <w:rPr/>
              <w:drawing>
                <wp:inline distT="0" distB="0" distL="0" distR="0">
                  <wp:extent cx="333375" cy="33337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04" w:type="dxa"/>
            <w:tcBorders/>
            <w:shd w:fill="auto" w:val="clear"/>
            <w:vAlign w:val="center"/>
          </w:tcPr>
          <w:p>
            <w:pPr>
              <w:pStyle w:val="TableContents"/>
              <w:spacing w:lineRule="atLeast" w:line="240" w:before="0" w:after="0"/>
              <w:rPr/>
            </w:pPr>
            <w:r>
              <w:rPr>
                <w:b/>
                <w:spacing w:val="-4"/>
              </w:rPr>
              <w:t>BY MAIL</w:t>
            </w:r>
            <w:r>
              <w:rPr>
                <w:spacing w:val="4"/>
              </w:rPr>
              <w:t xml:space="preserve"> if you have received a printed version of these proxy materials. </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61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412"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6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092" w:type="dxa"/>
            <w:gridSpan w:val="10"/>
            <w:tcBorders/>
            <w:shd w:fill="auto" w:val="clear"/>
            <w:vAlign w:val="center"/>
          </w:tcPr>
          <w:p>
            <w:pPr>
              <w:pStyle w:val="TableContents"/>
              <w:spacing w:before="0" w:after="283"/>
              <w:rPr/>
            </w:pPr>
            <w:r>
              <w:rPr>
                <w:spacing w:val="4"/>
              </w:rPr>
              <w:t xml:space="preserve">IMPORTANT NOTICE REGARDING THE INTERNET AVAILABILITY OF PROXY MATERIALS FOR THE ANNUAL MEETING TO BE HELD JUNE 14, 2023: The Notice of 2023 Annual Stockholders’ Meeting and Proxy Statement and the 2022 Annual Report on Form 10-K are available at </w:t>
            </w:r>
            <w:r>
              <w:rPr>
                <w:b/>
                <w:spacing w:val="-4"/>
              </w:rPr>
              <w:t>https://ir.mobileye.com/.</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solicits your proxy for the 2023 Annual Stockholders’ Meeting (and any postponement or adjournment of the meeting) for the matters set forth above. We made this proxy statement, the Notice of 2023 Annual Stockholders’ Meeting and the form of proxy available on the internet to stockholders beginning on April 28, 2023.</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3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7509"/>
        <w:gridCol w:w="144"/>
        <w:gridCol w:w="144"/>
        <w:gridCol w:w="144"/>
        <w:gridCol w:w="144"/>
        <w:gridCol w:w="387"/>
        <w:gridCol w:w="144"/>
        <w:gridCol w:w="196"/>
      </w:tblGrid>
      <w:tr>
        <w:trPr/>
        <w:tc>
          <w:tcPr>
            <w:tcW w:w="7509" w:type="dxa"/>
            <w:tcBorders>
              <w:bottom w:val="single" w:sz="2" w:space="0" w:color="FFFFFF"/>
            </w:tcBorders>
            <w:shd w:fill="auto" w:val="clear"/>
            <w:vAlign w:val="center"/>
          </w:tcPr>
          <w:p>
            <w:pPr>
              <w:pStyle w:val="TableContents"/>
              <w:spacing w:before="0" w:after="283"/>
              <w:rPr/>
            </w:pPr>
            <w:r>
              <w:rPr/>
              <w:t>​</w:t>
            </w:r>
          </w:p>
        </w:tc>
        <w:tc>
          <w:tcPr>
            <w:tcW w:w="144" w:type="dxa"/>
            <w:tcBorders>
              <w:bottom w:val="single" w:sz="2" w:space="0" w:color="FFFFFF"/>
            </w:tcBorders>
            <w:shd w:fill="auto" w:val="clear"/>
            <w:vAlign w:val="center"/>
          </w:tcPr>
          <w:p>
            <w:pPr>
              <w:pStyle w:val="TableContents"/>
              <w:spacing w:before="0" w:after="283"/>
              <w:rPr/>
            </w:pPr>
            <w:r>
              <w:rPr/>
              <w:t>​</w:t>
            </w:r>
          </w:p>
        </w:tc>
        <w:tc>
          <w:tcPr>
            <w:tcW w:w="144" w:type="dxa"/>
            <w:tcBorders>
              <w:bottom w:val="single" w:sz="2" w:space="0" w:color="FFFFFF"/>
            </w:tcBorders>
            <w:shd w:fill="auto" w:val="clear"/>
            <w:vAlign w:val="center"/>
          </w:tcPr>
          <w:p>
            <w:pPr>
              <w:pStyle w:val="TableContents"/>
              <w:spacing w:before="0" w:after="283"/>
              <w:rPr/>
            </w:pPr>
            <w:r>
              <w:rPr/>
              <w:t>​</w:t>
            </w:r>
          </w:p>
        </w:tc>
        <w:tc>
          <w:tcPr>
            <w:tcW w:w="819"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Page </w:t>
            </w:r>
          </w:p>
        </w:tc>
        <w:tc>
          <w:tcPr>
            <w:tcW w:w="196" w:type="dxa"/>
            <w:tcBorders>
              <w:bottom w:val="single" w:sz="2" w:space="0" w:color="FFFFFF"/>
            </w:tcBorders>
            <w:shd w:fill="auto" w:val="cle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283"/>
              <w:jc w:val="left"/>
              <w:rPr/>
            </w:pPr>
            <w:hyperlink w:anchor="tNOAS">
              <w:r>
                <w:rPr>
                  <w:rStyle w:val="InternetLink"/>
                </w:rPr>
                <w:t>Notice of 2023 Annual Stockholders’ Meeting</w:t>
              </w:r>
            </w:hyperlink>
            <w:r>
              <w:rPr/>
              <w:t xml:space="preserve"> </w:t>
            </w:r>
          </w:p>
        </w:tc>
        <w:tc>
          <w:tcPr>
            <w:tcW w:w="144" w:type="dxa"/>
            <w:tcBorders/>
            <w:shd w:fill="CCEEFF" w:val="clear"/>
            <w:tcMar>
              <w:bottom w:w="0" w:type="dxa"/>
            </w:tcMar>
            <w:vAlign w:val="center"/>
          </w:tcPr>
          <w:p>
            <w:pPr>
              <w:pStyle w:val="TableContents"/>
              <w:spacing w:before="0" w:after="283"/>
              <w:rPr/>
            </w:pPr>
            <w:hyperlink w:anchor="tNOAS">
              <w:r>
                <w:rPr>
                  <w:rStyle w:val="InternetLink"/>
                </w:rPr>
                <w:t>​</w:t>
              </w:r>
            </w:hyperlink>
            <w:r>
              <w:rPr/>
              <w:t xml:space="preserve"> </w:t>
            </w:r>
          </w:p>
        </w:tc>
        <w:tc>
          <w:tcPr>
            <w:tcW w:w="144" w:type="dxa"/>
            <w:tcBorders/>
            <w:shd w:fill="CCEEFF" w:val="clear"/>
            <w:tcMar>
              <w:bottom w:w="0" w:type="dxa"/>
            </w:tcMar>
            <w:vAlign w:val="center"/>
          </w:tcPr>
          <w:p>
            <w:pPr>
              <w:pStyle w:val="TableContents"/>
              <w:spacing w:before="0" w:after="283"/>
              <w:rPr/>
            </w:pPr>
            <w:hyperlink w:anchor="tNOAS">
              <w:r>
                <w:rPr>
                  <w:rStyle w:val="InternetLink"/>
                </w:rPr>
                <w:t>​</w:t>
              </w:r>
            </w:hyperlink>
            <w:r>
              <w:rPr/>
              <w:t xml:space="preserve"> </w:t>
            </w:r>
          </w:p>
        </w:tc>
        <w:tc>
          <w:tcPr>
            <w:tcW w:w="144" w:type="dxa"/>
            <w:tcBorders/>
            <w:shd w:fill="CCEEFF" w:val="clear"/>
            <w:tcMar>
              <w:bottom w:w="0" w:type="dxa"/>
            </w:tcMar>
            <w:vAlign w:val="center"/>
          </w:tcPr>
          <w:p>
            <w:pPr>
              <w:pStyle w:val="TableContents"/>
              <w:spacing w:before="0" w:after="283"/>
              <w:rPr/>
            </w:pPr>
            <w:hyperlink w:anchor="tNOAS">
              <w:r>
                <w:rPr>
                  <w:rStyle w:val="InternetLink"/>
                </w:rPr>
                <w:t>​</w:t>
              </w:r>
            </w:hyperlink>
            <w:r>
              <w:rPr/>
              <w:t xml:space="preserve"> </w:t>
            </w:r>
          </w:p>
        </w:tc>
        <w:tc>
          <w:tcPr>
            <w:tcW w:w="144" w:type="dxa"/>
            <w:tcBorders/>
            <w:shd w:fill="CCEEFF" w:val="clear"/>
            <w:tcMar>
              <w:bottom w:w="0" w:type="dxa"/>
            </w:tcMar>
            <w:vAlign w:val="center"/>
          </w:tcPr>
          <w:p>
            <w:pPr>
              <w:pStyle w:val="TableContents"/>
              <w:spacing w:before="0" w:after="283"/>
              <w:jc w:val="right"/>
              <w:rPr/>
            </w:pPr>
            <w:hyperlink w:anchor="tNOAS">
              <w:r>
                <w:rPr>
                  <w:rStyle w:val="InternetLink"/>
                </w:rPr>
                <w:t>​</w:t>
              </w:r>
            </w:hyperlink>
            <w:r>
              <w:rPr/>
              <w:t xml:space="preserve"> </w:t>
            </w:r>
          </w:p>
        </w:tc>
        <w:tc>
          <w:tcPr>
            <w:tcW w:w="387" w:type="dxa"/>
            <w:tcBorders/>
            <w:shd w:fill="CCEEFF" w:val="clear"/>
            <w:tcMar>
              <w:bottom w:w="0" w:type="dxa"/>
            </w:tcMar>
            <w:vAlign w:val="center"/>
          </w:tcPr>
          <w:p>
            <w:pPr>
              <w:pStyle w:val="TableContents"/>
              <w:spacing w:before="0" w:after="283"/>
              <w:jc w:val="right"/>
              <w:rPr/>
            </w:pPr>
            <w:hyperlink w:anchor="tNOAS">
              <w:r>
                <w:rPr>
                  <w:rStyle w:val="InternetLink"/>
                </w:rPr>
                <w:t>​</w:t>
              </w:r>
            </w:hyperlink>
            <w:r>
              <w:rPr/>
              <w:t xml:space="preserve"> </w:t>
            </w:r>
          </w:p>
        </w:tc>
        <w:tc>
          <w:tcPr>
            <w:tcW w:w="144" w:type="dxa"/>
            <w:tcBorders/>
            <w:shd w:fill="CCEEFF" w:val="clear"/>
            <w:tcMar>
              <w:bottom w:w="0" w:type="dxa"/>
            </w:tcMar>
            <w:vAlign w:val="center"/>
          </w:tcPr>
          <w:p>
            <w:pPr>
              <w:pStyle w:val="TableContents"/>
              <w:spacing w:before="0" w:after="283"/>
              <w:rPr/>
            </w:pPr>
            <w:hyperlink w:anchor="tNOAS">
              <w:r>
                <w:rPr>
                  <w:rStyle w:val="InternetLink"/>
                </w:rPr>
                <w:t>​</w:t>
              </w:r>
            </w:hyperlink>
            <w:r>
              <w:rPr/>
              <w:t xml:space="preserve"> </w:t>
            </w:r>
          </w:p>
        </w:tc>
        <w:tc>
          <w:tcPr>
            <w:tcW w:w="196" w:type="dxa"/>
            <w:tcBorders/>
            <w:shd w:fill="CCEEFF" w:val="clear"/>
            <w:tcMar>
              <w:bottom w:w="0" w:type="dxa"/>
            </w:tcMar>
            <w:vAlign w:val="center"/>
          </w:tcPr>
          <w:p>
            <w:pPr>
              <w:pStyle w:val="TableContents"/>
              <w:spacing w:before="0" w:after="283"/>
              <w:rPr/>
            </w:pPr>
            <w:hyperlink w:anchor="tNOAS">
              <w:r>
                <w:rPr>
                  <w:rStyle w:val="InternetLink"/>
                </w:rPr>
                <w:t>​</w:t>
              </w:r>
            </w:hyperlink>
            <w:r>
              <w:rPr/>
              <w:t xml:space="preserve"> </w:t>
            </w:r>
          </w:p>
        </w:tc>
      </w:tr>
      <w:tr>
        <w:trPr/>
        <w:tc>
          <w:tcPr>
            <w:tcW w:w="7509" w:type="dxa"/>
            <w:tcBorders/>
            <w:shd w:fill="auto" w:val="clear"/>
            <w:tcMar>
              <w:bottom w:w="0" w:type="dxa"/>
            </w:tcMar>
            <w:vAlign w:val="center"/>
          </w:tcPr>
          <w:p>
            <w:pPr>
              <w:pStyle w:val="TableContents"/>
              <w:spacing w:before="0" w:after="0"/>
              <w:jc w:val="left"/>
              <w:rPr/>
            </w:pPr>
            <w:hyperlink w:anchor="tBODM">
              <w:r>
                <w:rPr>
                  <w:rStyle w:val="InternetLink"/>
                  <w:spacing w:val="4"/>
                </w:rPr>
                <w:t xml:space="preserve">Board of Directors Matters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BODM">
              <w:r>
                <w:rPr>
                  <w:rStyle w:val="InternetLink"/>
                  <w:spacing w:val="4"/>
                </w:rPr>
                <w:t>1</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P1EO">
              <w:r>
                <w:rPr>
                  <w:rStyle w:val="InternetLink"/>
                  <w:spacing w:val="4"/>
                </w:rPr>
                <w:t xml:space="preserve">Proposal 1: Election of Directors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P1EO">
              <w:r>
                <w:rPr>
                  <w:rStyle w:val="InternetLink"/>
                  <w:spacing w:val="4"/>
                </w:rPr>
                <w:t>1</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DNP">
              <w:r>
                <w:rPr>
                  <w:rStyle w:val="InternetLink"/>
                  <w:spacing w:val="4"/>
                </w:rPr>
                <w:t xml:space="preserve">Director Nomination Process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DNP">
              <w:r>
                <w:rPr>
                  <w:rStyle w:val="InternetLink"/>
                  <w:spacing w:val="4"/>
                </w:rPr>
                <w:t>5</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DSEA">
              <w:r>
                <w:rPr>
                  <w:rStyle w:val="InternetLink"/>
                  <w:spacing w:val="4"/>
                </w:rPr>
                <w:t xml:space="preserve">Director Skills, Experience, and Background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DSEA">
              <w:r>
                <w:rPr>
                  <w:rStyle w:val="InternetLink"/>
                  <w:spacing w:val="4"/>
                </w:rPr>
                <w:t>5</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jc w:val="left"/>
              <w:rPr/>
            </w:pPr>
            <w:hyperlink w:anchor="tCGM">
              <w:r>
                <w:rPr>
                  <w:rStyle w:val="InternetLink"/>
                  <w:spacing w:val="4"/>
                </w:rPr>
                <w:t xml:space="preserve">Corporate Governance Matters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CGM">
              <w:r>
                <w:rPr>
                  <w:rStyle w:val="InternetLink"/>
                  <w:spacing w:val="4"/>
                </w:rPr>
                <w:t>7</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BLS">
              <w:r>
                <w:rPr>
                  <w:rStyle w:val="InternetLink"/>
                  <w:spacing w:val="4"/>
                </w:rPr>
                <w:t xml:space="preserve">Board Leadership Structure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BLS">
              <w:r>
                <w:rPr>
                  <w:rStyle w:val="InternetLink"/>
                  <w:spacing w:val="4"/>
                </w:rPr>
                <w:t>7</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BOCO">
              <w:r>
                <w:rPr>
                  <w:rStyle w:val="InternetLink"/>
                  <w:spacing w:val="4"/>
                </w:rPr>
                <w:t xml:space="preserve">Board Committees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BOCO">
              <w:r>
                <w:rPr>
                  <w:rStyle w:val="InternetLink"/>
                  <w:spacing w:val="4"/>
                </w:rPr>
                <w:t>9</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CRPT">
              <w:r>
                <w:rPr>
                  <w:rStyle w:val="InternetLink"/>
                  <w:spacing w:val="4"/>
                </w:rPr>
                <w:t>Certain Relationships and Related Party Transactions</w:t>
              </w:r>
            </w:hyperlink>
            <w:hyperlink w:anchor="tCRPT">
              <w:r>
                <w:rPr>
                  <w:rStyle w:val="InternetLink"/>
                </w:rPr>
                <w:t xml:space="preserve">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CRPT">
              <w:r>
                <w:rPr>
                  <w:rStyle w:val="InternetLink"/>
                  <w:spacing w:val="4"/>
                </w:rPr>
                <w:t>11</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SOOC">
              <w:r>
                <w:rPr>
                  <w:rStyle w:val="InternetLink"/>
                  <w:spacing w:val="4"/>
                </w:rPr>
                <w:t xml:space="preserve">Security Ownership of Certain Beneficial Owners and Management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SOOC">
              <w:r>
                <w:rPr>
                  <w:rStyle w:val="InternetLink"/>
                  <w:spacing w:val="4"/>
                </w:rPr>
                <w:t>21</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jc w:val="left"/>
              <w:rPr/>
            </w:pPr>
            <w:hyperlink w:anchor="tACM">
              <w:r>
                <w:rPr>
                  <w:rStyle w:val="InternetLink"/>
                  <w:spacing w:val="4"/>
                </w:rPr>
                <w:t xml:space="preserve">Audit Committee Matters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ACM">
              <w:r>
                <w:rPr>
                  <w:rStyle w:val="InternetLink"/>
                  <w:spacing w:val="4"/>
                </w:rPr>
                <w:t>24</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P2RO">
              <w:r>
                <w:rPr>
                  <w:rStyle w:val="InternetLink"/>
                  <w:spacing w:val="4"/>
                </w:rPr>
                <w:t xml:space="preserve">Proposal 2: Ratification of Selection of Independent Registered Public Accounting Firm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P2RO">
              <w:r>
                <w:rPr>
                  <w:rStyle w:val="InternetLink"/>
                  <w:spacing w:val="4"/>
                </w:rPr>
                <w:t>24</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ROTA">
              <w:r>
                <w:rPr>
                  <w:rStyle w:val="InternetLink"/>
                  <w:spacing w:val="4"/>
                </w:rPr>
                <w:t xml:space="preserve">Report of the Audit Committee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ROTA">
              <w:r>
                <w:rPr>
                  <w:rStyle w:val="InternetLink"/>
                  <w:spacing w:val="4"/>
                </w:rPr>
                <w:t>26</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jc w:val="left"/>
              <w:rPr/>
            </w:pPr>
            <w:hyperlink w:anchor="tLOCM">
              <w:r>
                <w:rPr>
                  <w:rStyle w:val="InternetLink"/>
                  <w:spacing w:val="4"/>
                </w:rPr>
                <w:t xml:space="preserve">Listed Officer Compensation Matters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LOCM">
              <w:r>
                <w:rPr>
                  <w:rStyle w:val="InternetLink"/>
                  <w:spacing w:val="4"/>
                </w:rPr>
                <w:t>27</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P3AV">
              <w:r>
                <w:rPr>
                  <w:rStyle w:val="InternetLink"/>
                  <w:spacing w:val="4"/>
                </w:rPr>
                <w:t xml:space="preserve">Proposal 3: Advisory Vote on Executive Compensation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P3AV">
              <w:r>
                <w:rPr>
                  <w:rStyle w:val="InternetLink"/>
                  <w:spacing w:val="4"/>
                </w:rPr>
                <w:t>27</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400" w:right="0" w:hanging="200"/>
              <w:jc w:val="left"/>
              <w:rPr/>
            </w:pPr>
            <w:hyperlink w:anchor="tP4AV">
              <w:r>
                <w:rPr>
                  <w:rStyle w:val="InternetLink"/>
                  <w:spacing w:val="4"/>
                </w:rPr>
                <w:t xml:space="preserve">Proposal 4: Advisory Vote to Determine the Frequency of Future Advisory Votes on Executive Compensation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P4AV">
              <w:r>
                <w:rPr>
                  <w:rStyle w:val="InternetLink"/>
                  <w:spacing w:val="4"/>
                </w:rPr>
                <w:t>28</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jc w:val="left"/>
              <w:rPr/>
            </w:pPr>
            <w:hyperlink w:anchor="tCDAA">
              <w:r>
                <w:rPr>
                  <w:rStyle w:val="InternetLink"/>
                  <w:spacing w:val="4"/>
                </w:rPr>
                <w:t xml:space="preserve">Compensation Discussion and Analysis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CDAA">
              <w:r>
                <w:rPr>
                  <w:rStyle w:val="InternetLink"/>
                  <w:spacing w:val="4"/>
                </w:rPr>
                <w:t>29</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RCCE">
              <w:r>
                <w:rPr>
                  <w:rStyle w:val="InternetLink"/>
                  <w:spacing w:val="4"/>
                </w:rPr>
                <w:t>Report of the Compensation Committee</w:t>
              </w:r>
            </w:hyperlink>
            <w:hyperlink w:anchor="tRCCE">
              <w:r>
                <w:rPr>
                  <w:rStyle w:val="InternetLink"/>
                </w:rPr>
                <w:t xml:space="preserve">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RCCE">
              <w:r>
                <w:rPr>
                  <w:rStyle w:val="InternetLink"/>
                  <w:spacing w:val="4"/>
                </w:rPr>
                <w:t>42</w:t>
              </w:r>
            </w:hyperlink>
            <w:hyperlink w:anchor="tRCCE">
              <w:r>
                <w:rPr>
                  <w:rStyle w:val="InternetLink"/>
                </w:rPr>
                <w:t xml:space="preserve"> </w:t>
              </w:r>
            </w:hyperlink>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jc w:val="left"/>
              <w:rPr/>
            </w:pPr>
            <w:hyperlink w:anchor="tAMI">
              <w:r>
                <w:rPr>
                  <w:rStyle w:val="InternetLink"/>
                  <w:spacing w:val="4"/>
                </w:rPr>
                <w:t xml:space="preserve">Additional Meeting Information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AMI">
              <w:r>
                <w:rPr>
                  <w:rStyle w:val="InternetLink"/>
                  <w:spacing w:val="4"/>
                </w:rPr>
                <w:t>43</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HWT2">
              <w:r>
                <w:rPr>
                  <w:rStyle w:val="InternetLink"/>
                  <w:spacing w:val="4"/>
                </w:rPr>
                <w:t xml:space="preserve">How will the 2023 Annual Stockholders’ Meeting be conducted?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HWT2">
              <w:r>
                <w:rPr>
                  <w:rStyle w:val="InternetLink"/>
                  <w:spacing w:val="4"/>
                </w:rPr>
                <w:t>43</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HDIA">
              <w:r>
                <w:rPr>
                  <w:rStyle w:val="InternetLink"/>
                  <w:spacing w:val="4"/>
                </w:rPr>
                <w:t xml:space="preserve">How do I attend the meeting?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HDIA">
              <w:r>
                <w:rPr>
                  <w:rStyle w:val="InternetLink"/>
                  <w:spacing w:val="4"/>
                </w:rPr>
                <w:t>43</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HDIV">
              <w:r>
                <w:rPr>
                  <w:rStyle w:val="InternetLink"/>
                  <w:spacing w:val="4"/>
                </w:rPr>
                <w:t xml:space="preserve">How do I vote?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HDIV">
              <w:r>
                <w:rPr>
                  <w:rStyle w:val="InternetLink"/>
                  <w:spacing w:val="4"/>
                </w:rPr>
                <w:t>44</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jc w:val="left"/>
              <w:rPr/>
            </w:pPr>
            <w:hyperlink w:anchor="tOTMA">
              <w:r>
                <w:rPr>
                  <w:rStyle w:val="InternetLink"/>
                  <w:spacing w:val="4"/>
                </w:rPr>
                <w:t xml:space="preserve">Other Matters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OTMA">
              <w:r>
                <w:rPr>
                  <w:rStyle w:val="InternetLink"/>
                  <w:spacing w:val="4"/>
                </w:rPr>
                <w:t>47</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2SPO">
              <w:r>
                <w:rPr>
                  <w:rStyle w:val="InternetLink"/>
                  <w:spacing w:val="4"/>
                </w:rPr>
                <w:t xml:space="preserve">2024 Stockholder Proposals or Nominations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2SPO">
              <w:r>
                <w:rPr>
                  <w:rStyle w:val="InternetLink"/>
                  <w:spacing w:val="4"/>
                </w:rPr>
                <w:t>47</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CWU">
              <w:r>
                <w:rPr>
                  <w:rStyle w:val="InternetLink"/>
                  <w:spacing w:val="4"/>
                </w:rPr>
                <w:t xml:space="preserve">Communicating with Us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CWU">
              <w:r>
                <w:rPr>
                  <w:rStyle w:val="InternetLink"/>
                  <w:spacing w:val="4"/>
                </w:rPr>
                <w:t>48</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r>
        <w:trPr/>
        <w:tc>
          <w:tcPr>
            <w:tcW w:w="7509" w:type="dxa"/>
            <w:tcBorders/>
            <w:shd w:fill="auto" w:val="clear"/>
            <w:tcMar>
              <w:bottom w:w="0" w:type="dxa"/>
            </w:tcMar>
            <w:vAlign w:val="center"/>
          </w:tcPr>
          <w:p>
            <w:pPr>
              <w:pStyle w:val="TableContents"/>
              <w:spacing w:before="0" w:after="0"/>
              <w:ind w:left="200" w:right="0" w:hanging="0"/>
              <w:jc w:val="left"/>
              <w:rPr/>
            </w:pPr>
            <w:hyperlink w:anchor="tDS1R">
              <w:r>
                <w:rPr>
                  <w:rStyle w:val="InternetLink"/>
                  <w:spacing w:val="4"/>
                </w:rPr>
                <w:t xml:space="preserve">Delinquent Section 16(a) Reports </w:t>
              </w:r>
            </w:hyperlink>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387" w:type="dxa"/>
            <w:tcBorders/>
            <w:shd w:fill="auto" w:val="clear"/>
            <w:tcMar>
              <w:bottom w:w="0" w:type="dxa"/>
            </w:tcMar>
            <w:vAlign w:val="center"/>
          </w:tcPr>
          <w:p>
            <w:pPr>
              <w:pStyle w:val="TableContents"/>
              <w:spacing w:before="0" w:after="283"/>
              <w:jc w:val="right"/>
              <w:rPr/>
            </w:pPr>
            <w:hyperlink w:anchor="tDS1R">
              <w:r>
                <w:rPr>
                  <w:rStyle w:val="InternetLink"/>
                  <w:spacing w:val="4"/>
                </w:rPr>
                <w:t>49</w:t>
              </w:r>
            </w:hyperlink>
            <w:r>
              <w:rPr/>
              <w:t xml:space="preserve"> </w:t>
            </w:r>
          </w:p>
        </w:tc>
        <w:tc>
          <w:tcPr>
            <w:tcW w:w="144"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r>
      <w:tr>
        <w:trPr/>
        <w:tc>
          <w:tcPr>
            <w:tcW w:w="7509" w:type="dxa"/>
            <w:tcBorders/>
            <w:shd w:fill="CCEEFF" w:val="clear"/>
            <w:tcMar>
              <w:bottom w:w="0" w:type="dxa"/>
            </w:tcMar>
            <w:vAlign w:val="center"/>
          </w:tcPr>
          <w:p>
            <w:pPr>
              <w:pStyle w:val="TableContents"/>
              <w:spacing w:before="0" w:after="0"/>
              <w:ind w:left="200" w:right="0" w:hanging="0"/>
              <w:jc w:val="left"/>
              <w:rPr/>
            </w:pPr>
            <w:hyperlink w:anchor="tSSTS">
              <w:r>
                <w:rPr>
                  <w:rStyle w:val="InternetLink"/>
                  <w:spacing w:val="4"/>
                </w:rPr>
                <w:t xml:space="preserve">Stockholders Sharing the Same Last Name and Address </w:t>
              </w:r>
            </w:hyperlink>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387" w:type="dxa"/>
            <w:tcBorders/>
            <w:shd w:fill="CCEEFF" w:val="clear"/>
            <w:tcMar>
              <w:bottom w:w="0" w:type="dxa"/>
            </w:tcMar>
            <w:vAlign w:val="center"/>
          </w:tcPr>
          <w:p>
            <w:pPr>
              <w:pStyle w:val="TableContents"/>
              <w:spacing w:before="0" w:after="283"/>
              <w:jc w:val="right"/>
              <w:rPr/>
            </w:pPr>
            <w:hyperlink w:anchor="tSSTS">
              <w:r>
                <w:rPr>
                  <w:rStyle w:val="InternetLink"/>
                  <w:spacing w:val="4"/>
                </w:rPr>
                <w:t>49</w:t>
              </w:r>
            </w:hyperlink>
            <w:r>
              <w:rPr/>
              <w:t xml:space="preserve"> </w:t>
            </w:r>
          </w:p>
        </w:tc>
        <w:tc>
          <w:tcPr>
            <w:tcW w:w="144"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DM"/>
      <w:bookmarkEnd w:id="4"/>
      <w:r>
        <w:rPr>
          <w:rFonts w:ascii="calibri;arial;sans-serif" w:hAnsi="calibri;arial;sans-serif"/>
          <w:b w:val="false"/>
          <w:i w:val="false"/>
          <w:caps w:val="false"/>
          <w:smallCaps w:val="false"/>
          <w:color w:val="000000"/>
          <w:sz w:val="16"/>
        </w:rPr>
        <w:t>​</w:t>
      </w:r>
      <w:bookmarkStart w:id="5" w:name="tP1EO"/>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405"/>
        <w:gridCol w:w="109"/>
        <w:gridCol w:w="109"/>
        <w:gridCol w:w="3934"/>
        <w:gridCol w:w="109"/>
        <w:gridCol w:w="109"/>
        <w:gridCol w:w="432"/>
        <w:gridCol w:w="109"/>
        <w:gridCol w:w="109"/>
        <w:gridCol w:w="2106"/>
        <w:gridCol w:w="157"/>
      </w:tblGrid>
      <w:tr>
        <w:trPr/>
        <w:tc>
          <w:tcPr>
            <w:tcW w:w="124" w:type="dxa"/>
            <w:tcBorders/>
            <w:shd w:fill="auto" w:val="clear"/>
            <w:vAlign w:val="center"/>
          </w:tcPr>
          <w:p>
            <w:pPr>
              <w:pStyle w:val="TableContents"/>
              <w:spacing w:before="0" w:after="283"/>
              <w:rPr/>
            </w:pPr>
            <w:r>
              <w:rPr/>
              <w:t>​</w:t>
            </w:r>
          </w:p>
        </w:tc>
        <w:tc>
          <w:tcPr>
            <w:tcW w:w="1405" w:type="dxa"/>
            <w:tcBorders/>
            <w:shd w:fill="auto" w:val="clear"/>
            <w:vAlign w:val="center"/>
          </w:tcPr>
          <w:p>
            <w:pPr>
              <w:pStyle w:val="TableContents"/>
              <w:spacing w:lineRule="atLeast" w:line="240" w:before="0" w:after="0"/>
              <w:jc w:val="center"/>
              <w:rPr>
                <w:b/>
              </w:rPr>
            </w:pPr>
            <w:r>
              <w:rPr>
                <w:b/>
                <w:spacing w:val="-4"/>
              </w:rPr>
              <w:t>PROPOSAL 1</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934" w:type="dxa"/>
            <w:tcBorders/>
            <w:shd w:fill="auto" w:val="clear"/>
            <w:vAlign w:val="center"/>
          </w:tcPr>
          <w:p>
            <w:pPr>
              <w:pStyle w:val="TableContents"/>
              <w:spacing w:lineRule="atLeast" w:line="240" w:before="0" w:after="0"/>
              <w:jc w:val="left"/>
              <w:rPr>
                <w:b/>
              </w:rPr>
            </w:pPr>
            <w:r>
              <w:rPr>
                <w:b/>
                <w:spacing w:val="-4"/>
              </w:rPr>
              <w:t>Election of Directors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2" w:type="dxa"/>
            <w:tcBorders/>
            <w:shd w:fill="auto" w:val="clear"/>
            <w:vAlign w:val="center"/>
          </w:tcPr>
          <w:p>
            <w:pPr>
              <w:pStyle w:val="TableContents"/>
              <w:spacing w:before="0" w:after="0"/>
              <w:jc w:val="center"/>
              <w:rPr/>
            </w:pPr>
            <w:r>
              <w:rPr/>
              <w:drawing>
                <wp:inline distT="0" distB="0" distL="0" distR="0">
                  <wp:extent cx="219075" cy="16192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06" w:type="dxa"/>
            <w:tcBorders/>
            <w:shd w:fill="auto" w:val="clear"/>
            <w:vAlign w:val="center"/>
          </w:tcPr>
          <w:p>
            <w:pPr>
              <w:pStyle w:val="TableContents"/>
              <w:spacing w:lineRule="atLeast" w:line="240" w:before="0" w:after="0"/>
              <w:jc w:val="left"/>
              <w:rPr>
                <w:b/>
              </w:rPr>
            </w:pPr>
            <w:r>
              <w:rPr>
                <w:b/>
                <w:spacing w:val="-4"/>
              </w:rPr>
              <w:t>Recommendation of the Board</w:t>
            </w:r>
            <w:r>
              <w:rPr>
                <w:b/>
              </w:rPr>
              <w:t xml:space="preserve"> </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40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934" w:type="dxa"/>
            <w:tcBorders/>
            <w:shd w:fill="auto" w:val="clear"/>
            <w:vAlign w:val="center"/>
          </w:tcPr>
          <w:p>
            <w:pPr>
              <w:pStyle w:val="TableContents"/>
              <w:spacing w:before="0" w:after="0"/>
              <w:rPr/>
            </w:pPr>
            <w:r>
              <w:rPr>
                <w:spacing w:val="4"/>
              </w:rPr>
              <w:t>Upon the recommendation of our Nominating and Corporate Governance Committee, our Board has nominated the 8 individuals listed below to serve as directors. Our nominees include four independent directors, as defined in the rules for companies traded on the Nasdaq Global Select Market* (“Nasdaq”), and one Mobileye officer: Professor Amnon Shashua. Patrick P. Gelsinger has served as the Chair of the Board since September 2022.</w:t>
            </w:r>
            <w:r>
              <w:rPr/>
              <w:t xml:space="preserve"> </w:t>
            </w:r>
          </w:p>
          <w:p>
            <w:pPr>
              <w:pStyle w:val="TableContents"/>
              <w:spacing w:before="120" w:after="283"/>
              <w:rPr/>
            </w:pPr>
            <w:r>
              <w:rPr>
                <w:spacing w:val="4"/>
              </w:rPr>
              <w:t>Each of our director nominees currently serves on the Board and was elected upon the consummation of our initial public offering in October 2022, except for Professor Amnon Shashua, who has served as a director since our original founding in 1999, and Patrick P. Gelsinger, who was appointed the chair of our Board in September 2022.</w:t>
            </w:r>
            <w:r>
              <w:rPr/>
              <w:t xml:space="preserve"> </w:t>
            </w:r>
          </w:p>
          <w:p>
            <w:pPr>
              <w:pStyle w:val="TableContents"/>
              <w:spacing w:before="120" w:after="283"/>
              <w:rPr/>
            </w:pPr>
            <w:r>
              <w:rPr>
                <w:b/>
                <w:spacing w:val="-4"/>
              </w:rPr>
              <w:t>Term &amp; Service.</w:t>
            </w:r>
            <w:r>
              <w:rPr>
                <w:spacing w:val="4"/>
              </w:rPr>
              <w:t>   Each director’s term runs from the date of their election until our next annual stockholders’ meeting and until their successor (if any) is elected or appointed. If any director nominee is unable or unwilling to serve as a nominee at the time of the annual meeting, the individuals named as proxies may vote for a substitute nominee chosen by the present Board to fill the vacancy. Alternatively, the Board may reduce the size of the Board, or the proxies may vote just for the remaining nominees, leaving a vacancy that the Board may fill at a later date. However, we have no reason to believe that any of the nominees will be unwilling or unable to serve if elected as a director.</w:t>
            </w:r>
            <w:r>
              <w:rPr/>
              <w:t xml:space="preserve"> </w:t>
            </w:r>
          </w:p>
          <w:p>
            <w:pPr>
              <w:pStyle w:val="TableContents"/>
              <w:spacing w:before="120" w:after="283"/>
              <w:rPr/>
            </w:pPr>
            <w:r>
              <w:rPr>
                <w:b/>
                <w:spacing w:val="-4"/>
              </w:rPr>
              <w:t>Voting and Election.</w:t>
            </w:r>
            <w:r>
              <w:rPr>
                <w:spacing w:val="4"/>
              </w:rPr>
              <w:t xml:space="preserve">   Our Amended and Restated Bylaws (“Bylaws”) provide that a director nominee is elected only if they receive a plurality of the votes cast with respect to their election. As a result, any shares not voted “FOR” a particular candidate, whether as a result of a “WITHHOLD” vote or broker non-vote, will not be counted in such candidate’s favor and will have no effect on the election results. For more information, see “Additional Meeting Information; How do I vote?” on </w:t>
            </w:r>
            <w:r>
              <w:rPr>
                <w:b/>
                <w:spacing w:val="-4"/>
              </w:rPr>
              <w:t xml:space="preserve">page </w:t>
            </w:r>
            <w:hyperlink w:anchor="tHDIV">
              <w:r>
                <w:rPr>
                  <w:rStyle w:val="InternetLink"/>
                  <w:b/>
                  <w:spacing w:val="-4"/>
                </w:rPr>
                <w:t>44</w:t>
              </w:r>
            </w:hyperlink>
            <w:r>
              <w:rPr>
                <w:b/>
                <w:spacing w:val="-4"/>
              </w:rPr>
              <w:t>.</w:t>
            </w:r>
            <w:r>
              <w:rPr>
                <w:spacing w:val="4"/>
              </w:rPr>
              <w:t xml:space="preserve"> If a nominee who currently serves as a director is not re-elected, Delaware law provides that the director would continue to serve on the Board as a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06" w:type="dxa"/>
            <w:tcBorders/>
            <w:shd w:fill="auto" w:val="clear"/>
            <w:vAlign w:val="center"/>
          </w:tcPr>
          <w:p>
            <w:pPr>
              <w:pStyle w:val="TableContents"/>
              <w:spacing w:before="0" w:after="0"/>
              <w:rPr/>
            </w:pPr>
            <w:r>
              <w:rPr>
                <w:spacing w:val="4"/>
              </w:rPr>
              <w:t>The Board recommends that you vote “FOR” the election of each of the following nominees.</w:t>
            </w:r>
            <w:r>
              <w:rPr/>
              <w:t xml:space="preserve"> </w:t>
            </w:r>
          </w:p>
          <w:p>
            <w:pPr>
              <w:pStyle w:val="TableContents"/>
              <w:spacing w:lineRule="atLeast" w:line="240" w:before="160" w:after="0"/>
              <w:ind w:left="200" w:right="0" w:hanging="0"/>
              <w:jc w:val="left"/>
              <w:rPr/>
            </w:pPr>
            <w:r>
              <w:rPr>
                <w:spacing w:val="4"/>
              </w:rPr>
              <w:t>Director nominees with diverse leadership, industry, and technology experience</w:t>
            </w:r>
            <w:r>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20"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Four of our eight director-nominees are independent</w:t>
            </w:r>
            <w:r>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largest"/>
                      <wp:docPr id="21" name="Frame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109"/>
        <w:gridCol w:w="109"/>
        <w:gridCol w:w="7553"/>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53" w:type="dxa"/>
            <w:tcBorders/>
            <w:shd w:fill="auto" w:val="clear"/>
            <w:vAlign w:val="center"/>
          </w:tcPr>
          <w:p>
            <w:pPr>
              <w:pStyle w:val="TableContents"/>
              <w:spacing w:before="0" w:after="0"/>
              <w:rPr/>
            </w:pPr>
            <w:r>
              <w:rPr>
                <w:spacing w:val="4"/>
              </w:rPr>
              <w:t>“</w:t>
            </w:r>
            <w:r>
              <w:rPr>
                <w:spacing w:val="4"/>
              </w:rPr>
              <w:t>holdover director.”</w:t>
            </w:r>
            <w:r>
              <w:rPr/>
              <w:t xml:space="preserve"> </w:t>
            </w:r>
          </w:p>
          <w:p>
            <w:pPr>
              <w:pStyle w:val="TableContents"/>
              <w:spacing w:before="120" w:after="283"/>
              <w:rPr/>
            </w:pPr>
            <w:r>
              <w:rPr>
                <w:b/>
                <w:spacing w:val="-4"/>
              </w:rPr>
              <w:t>Biographical Information.</w:t>
            </w:r>
            <w:r>
              <w:rPr>
                <w:spacing w:val="4"/>
              </w:rPr>
              <w:t xml:space="preserve">   For each of the 8 director nominees standing for election, the following pages set forth certain biographical information, including a description of their principal occupation, business experience, and the primary qualifications that the Nominating and Corporate Governance Committee considered in recommending them as director nominees, as well as the Board committees on which each director nominee will serve as of the 2023 Annual Stockholders’ Meeting.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396"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NOMINEES</w:t>
      </w:r>
      <w:r>
        <w:rPr>
          <w:rFonts w:ascii="Times New Roman;Times;serif" w:hAnsi="Times New Roman;Times;serif"/>
          <w:b/>
          <w:i w:val="false"/>
          <w:caps w:val="false"/>
          <w:smallCaps w:val="false"/>
          <w:color w:val="000000"/>
          <w:spacing w:val="4"/>
          <w:sz w:val="20"/>
        </w:rPr>
        <w:t xml:space="preserve"> </w:t>
      </w:r>
    </w:p>
    <w:tbl>
      <w:tblPr>
        <w:tblW w:w="6074" w:type="dxa"/>
        <w:jc w:val="left"/>
        <w:tblInd w:w="1393" w:type="dxa"/>
        <w:tblCellMar>
          <w:top w:w="0" w:type="dxa"/>
          <w:left w:w="0" w:type="dxa"/>
          <w:bottom w:w="0" w:type="dxa"/>
          <w:right w:w="0" w:type="dxa"/>
        </w:tblCellMar>
      </w:tblPr>
      <w:tblGrid>
        <w:gridCol w:w="124"/>
        <w:gridCol w:w="3753"/>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3753" w:type="dxa"/>
            <w:tcBorders/>
            <w:shd w:fill="auto" w:val="clear"/>
            <w:vAlign w:val="center"/>
          </w:tcPr>
          <w:p>
            <w:pPr>
              <w:pStyle w:val="TableContents"/>
              <w:spacing w:before="0" w:after="283"/>
              <w:rPr/>
            </w:pPr>
            <w:r>
              <w:rPr>
                <w:b/>
                <w:spacing w:val="-4"/>
              </w:rPr>
              <w:t>Amnon Shashua</w:t>
            </w:r>
            <w:r>
              <w:rPr>
                <w:spacing w:val="4"/>
              </w:rPr>
              <w:t xml:space="preserve"> </w:t>
            </w:r>
            <w:r>
              <w:rPr>
                <w:b/>
                <w:i/>
                <w:spacing w:val="-4"/>
              </w:rPr>
              <w:t>CEO and President</w:t>
            </w:r>
            <w:r>
              <w:rPr/>
              <w:t xml:space="preserve"> </w:t>
              <w:br/>
            </w:r>
            <w:r>
              <w:rPr>
                <w:spacing w:val="4"/>
              </w:rPr>
              <w:t xml:space="preserve">Age: 62 </w:t>
              <w:br/>
              <w:t xml:space="preserve">Director Since: 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None</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Amnon Shashua is our co-founder and has been serving as our Chief Executive Officer and President since 2017 and as our director since our original founding in 1999. He served as a Senior Vice President at Intel Corporation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 We believe Professor Shashua’s perspective and experience as our co-founder and Chief Executive Officer, as well as his insight and proficiency in computer vision and machine learning, make him well qualified to serve as a director. </w:t>
      </w:r>
    </w:p>
    <w:tbl>
      <w:tblPr>
        <w:tblW w:w="5081" w:type="dxa"/>
        <w:jc w:val="left"/>
        <w:tblInd w:w="1393" w:type="dxa"/>
        <w:tblCellMar>
          <w:top w:w="0" w:type="dxa"/>
          <w:left w:w="0" w:type="dxa"/>
          <w:bottom w:w="0" w:type="dxa"/>
          <w:right w:w="0" w:type="dxa"/>
        </w:tblCellMar>
      </w:tblPr>
      <w:tblGrid>
        <w:gridCol w:w="124"/>
        <w:gridCol w:w="2760"/>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760" w:type="dxa"/>
            <w:tcBorders/>
            <w:shd w:fill="auto" w:val="clear"/>
            <w:vAlign w:val="center"/>
          </w:tcPr>
          <w:p>
            <w:pPr>
              <w:pStyle w:val="TableContents"/>
              <w:spacing w:before="0" w:after="283"/>
              <w:rPr/>
            </w:pPr>
            <w:r>
              <w:rPr>
                <w:b/>
                <w:spacing w:val="-4"/>
              </w:rPr>
              <w:t>Patrick P. Gelsinger</w:t>
            </w:r>
            <w:r>
              <w:rPr>
                <w:spacing w:val="4"/>
              </w:rPr>
              <w:t xml:space="preserve"> </w:t>
            </w:r>
            <w:r>
              <w:rPr>
                <w:b/>
                <w:i/>
                <w:spacing w:val="-4"/>
              </w:rPr>
              <w:t>Chair</w:t>
            </w:r>
            <w:r>
              <w:rPr/>
              <w:t xml:space="preserve"> </w:t>
              <w:br/>
            </w:r>
            <w:r>
              <w:rPr>
                <w:spacing w:val="4"/>
              </w:rPr>
              <w:t xml:space="preserve">Age: 62 </w:t>
              <w:br/>
              <w:t xml:space="preserve">Director Since: 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None</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Patrick P. Gelsinger has been the chair of our board of directors since September 2022. He has been 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Vice President and Co-General Manager of the Digital Enterprise Group from 2005 to 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 We believe Mr. Gelsinger’s above-described experiences make him well qualified to serve as a director. </w:t>
      </w:r>
    </w:p>
    <w:tbl>
      <w:tblPr>
        <w:tblW w:w="4512" w:type="dxa"/>
        <w:jc w:val="left"/>
        <w:tblInd w:w="1393" w:type="dxa"/>
        <w:tblCellMar>
          <w:top w:w="0" w:type="dxa"/>
          <w:left w:w="0" w:type="dxa"/>
          <w:bottom w:w="0" w:type="dxa"/>
          <w:right w:w="0" w:type="dxa"/>
        </w:tblCellMar>
      </w:tblPr>
      <w:tblGrid>
        <w:gridCol w:w="124"/>
        <w:gridCol w:w="2191"/>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191" w:type="dxa"/>
            <w:tcBorders/>
            <w:shd w:fill="auto" w:val="clear"/>
            <w:vAlign w:val="center"/>
          </w:tcPr>
          <w:p>
            <w:pPr>
              <w:pStyle w:val="TableContents"/>
              <w:spacing w:before="0" w:after="283"/>
              <w:rPr/>
            </w:pPr>
            <w:r>
              <w:rPr>
                <w:b/>
                <w:spacing w:val="-4"/>
              </w:rPr>
              <w:t>Eyal Desheh</w:t>
            </w:r>
            <w:r>
              <w:rPr/>
              <w:t xml:space="preserve"> </w:t>
              <w:br/>
            </w:r>
            <w:r>
              <w:rPr>
                <w:spacing w:val="4"/>
              </w:rPr>
              <w:t xml:space="preserve">Age: 71 </w:t>
              <w:br/>
              <w:t>Director Since: 2022</w:t>
            </w:r>
            <w:r>
              <w:rPr/>
              <w:t xml:space="preserve"> </w:t>
              <w:br/>
            </w:r>
            <w:r>
              <w:rPr>
                <w:b/>
                <w:spacing w:val="-4"/>
              </w:rPr>
              <w:t>INDEPENDENT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A (Chair) and C</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Eyal Desheh has served as a director of Mobileye since October 2022. Mr. Desheh 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We believe Mr. Desheh’s extensive financial expertise, experience on a public company audit committee, and leadership experience as Chief Financial Officer make him well qualified to serve as a director. </w:t>
      </w:r>
    </w:p>
    <w:tbl>
      <w:tblPr>
        <w:tblW w:w="5062" w:type="dxa"/>
        <w:jc w:val="left"/>
        <w:tblInd w:w="1393" w:type="dxa"/>
        <w:tblCellMar>
          <w:top w:w="0" w:type="dxa"/>
          <w:left w:w="0" w:type="dxa"/>
          <w:bottom w:w="0" w:type="dxa"/>
          <w:right w:w="0" w:type="dxa"/>
        </w:tblCellMar>
      </w:tblPr>
      <w:tblGrid>
        <w:gridCol w:w="124"/>
        <w:gridCol w:w="2741"/>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741" w:type="dxa"/>
            <w:tcBorders/>
            <w:shd w:fill="auto" w:val="clear"/>
            <w:vAlign w:val="center"/>
          </w:tcPr>
          <w:p>
            <w:pPr>
              <w:pStyle w:val="TableContents"/>
              <w:spacing w:before="0" w:after="283"/>
              <w:rPr/>
            </w:pPr>
            <w:r>
              <w:rPr>
                <w:b/>
                <w:spacing w:val="-4"/>
              </w:rPr>
              <w:t>Jon M. Huntsman, Jr.</w:t>
            </w:r>
            <w:r>
              <w:rPr/>
              <w:t xml:space="preserve"> </w:t>
              <w:br/>
            </w:r>
            <w:r>
              <w:rPr>
                <w:b/>
                <w:i/>
                <w:spacing w:val="-4"/>
              </w:rPr>
              <w:t>Lead Independent Director</w:t>
            </w:r>
            <w:r>
              <w:rPr/>
              <w:t xml:space="preserve"> </w:t>
              <w:br/>
            </w:r>
            <w:r>
              <w:rPr>
                <w:spacing w:val="4"/>
              </w:rPr>
              <w:t xml:space="preserve">Age: 63 </w:t>
              <w:br/>
              <w:t>Director Since: 2022</w:t>
            </w:r>
            <w:r>
              <w:rPr/>
              <w:t xml:space="preserve"> </w:t>
              <w:br/>
            </w:r>
            <w:r>
              <w:rPr>
                <w:b/>
                <w:spacing w:val="-4"/>
              </w:rPr>
              <w:t>INDEPENDENT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G</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56"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 M. Huntsman, Jr. has served as a director of Mobileye since October 2022. Governor Huntsman has been serving as Vice Chair, Policy at Ford Motor Company (NYSE: F) (“Ford”) since 2021 and as a director of Ford since 2020. He previously also served as a director of Ford from 2012 to 2017. We currently supply our solutions to Ford through our Tier 1 customers.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We believe Governor Huntsman’s extensive global policy experience, which brings a well-informed and international perspective to Board deliberations, and his extensive experience in government service, which provides our board of directors with important insight on government relations at the state, federal, and international levels, makes him well qualified to serve as a director. </w:t>
      </w:r>
    </w:p>
    <w:tbl>
      <w:tblPr>
        <w:tblW w:w="4512" w:type="dxa"/>
        <w:jc w:val="left"/>
        <w:tblInd w:w="1393" w:type="dxa"/>
        <w:tblCellMar>
          <w:top w:w="0" w:type="dxa"/>
          <w:left w:w="0" w:type="dxa"/>
          <w:bottom w:w="0" w:type="dxa"/>
          <w:right w:w="0" w:type="dxa"/>
        </w:tblCellMar>
      </w:tblPr>
      <w:tblGrid>
        <w:gridCol w:w="124"/>
        <w:gridCol w:w="2191"/>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191" w:type="dxa"/>
            <w:tcBorders/>
            <w:shd w:fill="auto" w:val="clear"/>
            <w:vAlign w:val="center"/>
          </w:tcPr>
          <w:p>
            <w:pPr>
              <w:pStyle w:val="TableContents"/>
              <w:spacing w:before="0" w:after="283"/>
              <w:rPr/>
            </w:pPr>
            <w:r>
              <w:rPr>
                <w:b/>
                <w:spacing w:val="-4"/>
              </w:rPr>
              <w:t>Claire C. McCaskill</w:t>
            </w:r>
            <w:r>
              <w:rPr/>
              <w:t xml:space="preserve"> </w:t>
              <w:br/>
            </w:r>
            <w:r>
              <w:rPr>
                <w:spacing w:val="4"/>
              </w:rPr>
              <w:t xml:space="preserve">Age: 69 </w:t>
              <w:br/>
              <w:t>Director Since: 2022</w:t>
            </w:r>
            <w:r>
              <w:rPr/>
              <w:t xml:space="preserve"> </w:t>
              <w:br/>
            </w:r>
            <w:r>
              <w:rPr>
                <w:b/>
                <w:spacing w:val="-4"/>
              </w:rPr>
              <w:t>INDEPENDENT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A</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Claire C. McCaskill has served as a director of Mobileye since October 2022. 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We believe Senator McCaskill’s extensive experience in government as an elected official, which provides our board of directors with important insight on government relations at the state, federal, and international levels, and her legal background, make her well qualified to serve as a director. </w:t>
      </w:r>
    </w:p>
    <w:tbl>
      <w:tblPr>
        <w:tblW w:w="4639" w:type="dxa"/>
        <w:jc w:val="left"/>
        <w:tblInd w:w="1393" w:type="dxa"/>
        <w:tblCellMar>
          <w:top w:w="0" w:type="dxa"/>
          <w:left w:w="0" w:type="dxa"/>
          <w:bottom w:w="0" w:type="dxa"/>
          <w:right w:w="0" w:type="dxa"/>
        </w:tblCellMar>
      </w:tblPr>
      <w:tblGrid>
        <w:gridCol w:w="124"/>
        <w:gridCol w:w="2318"/>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318" w:type="dxa"/>
            <w:tcBorders/>
            <w:shd w:fill="auto" w:val="clear"/>
            <w:vAlign w:val="center"/>
          </w:tcPr>
          <w:p>
            <w:pPr>
              <w:pStyle w:val="TableContents"/>
              <w:spacing w:before="0" w:after="283"/>
              <w:rPr/>
            </w:pPr>
            <w:r>
              <w:rPr>
                <w:b/>
                <w:spacing w:val="-4"/>
              </w:rPr>
              <w:t>Christine Pambianchi</w:t>
            </w:r>
            <w:r>
              <w:rPr/>
              <w:t xml:space="preserve"> </w:t>
              <w:br/>
            </w:r>
            <w:r>
              <w:rPr>
                <w:spacing w:val="4"/>
              </w:rPr>
              <w:t xml:space="preserve">Age: 54 </w:t>
              <w:br/>
              <w:t xml:space="preserve">Director Since: 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C (Chair) and G</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Christine Pambianchi has served as a director of Mobileye since October 2022. 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 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We believe Ms. Pambianchi’s extensive human capital experience and senior leadership positions with public companies in the technology and manufacturing sectors make her well qualified to serve as a director. </w:t>
      </w:r>
    </w:p>
    <w:tbl>
      <w:tblPr>
        <w:tblW w:w="4512" w:type="dxa"/>
        <w:jc w:val="left"/>
        <w:tblInd w:w="1393" w:type="dxa"/>
        <w:tblCellMar>
          <w:top w:w="0" w:type="dxa"/>
          <w:left w:w="0" w:type="dxa"/>
          <w:bottom w:w="0" w:type="dxa"/>
          <w:right w:w="0" w:type="dxa"/>
        </w:tblCellMar>
      </w:tblPr>
      <w:tblGrid>
        <w:gridCol w:w="124"/>
        <w:gridCol w:w="2191"/>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191" w:type="dxa"/>
            <w:tcBorders/>
            <w:shd w:fill="auto" w:val="clear"/>
            <w:vAlign w:val="center"/>
          </w:tcPr>
          <w:p>
            <w:pPr>
              <w:pStyle w:val="TableContents"/>
              <w:spacing w:before="0" w:after="283"/>
              <w:rPr/>
            </w:pPr>
            <w:r>
              <w:rPr>
                <w:b/>
                <w:spacing w:val="-4"/>
              </w:rPr>
              <w:t>Frank D. Yeary</w:t>
            </w:r>
            <w:r>
              <w:rPr/>
              <w:t xml:space="preserve"> </w:t>
              <w:br/>
            </w:r>
            <w:r>
              <w:rPr>
                <w:spacing w:val="4"/>
              </w:rPr>
              <w:t xml:space="preserve">Age: 59 </w:t>
              <w:br/>
              <w:t>Director Since: 2022</w:t>
            </w:r>
            <w:r>
              <w:rPr/>
              <w:t xml:space="preserve"> </w:t>
              <w:br/>
            </w:r>
            <w:r>
              <w:rPr>
                <w:b/>
                <w:spacing w:val="-4"/>
              </w:rPr>
              <w:t>INDEPENDENT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A and C</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4"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D. Yeary has served as a director of Mobileye since October 2022. Mr. Yeary has been serving as Managing Member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as chair of the board of directors of Intel. Mr. Yeary earned his B.A. from the University of California, Berkeley. We believe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DNP"/>
      <w:bookmarkEnd w:id="6"/>
      <w:r>
        <w:rPr>
          <w:rFonts w:ascii="calibri;arial;sans-serif" w:hAnsi="calibri;arial;sans-serif"/>
          <w:b w:val="false"/>
          <w:i w:val="false"/>
          <w:caps w:val="false"/>
          <w:smallCaps w:val="false"/>
          <w:color w:val="000000"/>
          <w:sz w:val="16"/>
        </w:rPr>
        <w:t>​</w:t>
      </w:r>
      <w:bookmarkStart w:id="7" w:name="tDSEA"/>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Yeary’s extensive financial strategy and global M&amp;A expertise, including expertise in financial reporting, make him well qualified to serve as a director. </w:t>
      </w:r>
    </w:p>
    <w:tbl>
      <w:tblPr>
        <w:tblW w:w="4883" w:type="dxa"/>
        <w:jc w:val="left"/>
        <w:tblInd w:w="1393" w:type="dxa"/>
        <w:tblCellMar>
          <w:top w:w="0" w:type="dxa"/>
          <w:left w:w="0" w:type="dxa"/>
          <w:bottom w:w="0" w:type="dxa"/>
          <w:right w:w="0" w:type="dxa"/>
        </w:tblCellMar>
      </w:tblPr>
      <w:tblGrid>
        <w:gridCol w:w="124"/>
        <w:gridCol w:w="2562"/>
        <w:gridCol w:w="109"/>
        <w:gridCol w:w="109"/>
        <w:gridCol w:w="1825"/>
        <w:gridCol w:w="154"/>
      </w:tblGrid>
      <w:tr>
        <w:trPr/>
        <w:tc>
          <w:tcPr>
            <w:tcW w:w="124" w:type="dxa"/>
            <w:tcBorders/>
            <w:shd w:fill="auto" w:val="clear"/>
            <w:vAlign w:val="center"/>
          </w:tcPr>
          <w:p>
            <w:pPr>
              <w:pStyle w:val="TableContents"/>
              <w:spacing w:before="0" w:after="283"/>
              <w:rPr/>
            </w:pPr>
            <w:r>
              <w:rPr/>
              <w:t>​</w:t>
            </w:r>
          </w:p>
        </w:tc>
        <w:tc>
          <w:tcPr>
            <w:tcW w:w="2562" w:type="dxa"/>
            <w:tcBorders/>
            <w:shd w:fill="auto" w:val="clear"/>
            <w:vAlign w:val="center"/>
          </w:tcPr>
          <w:p>
            <w:pPr>
              <w:pStyle w:val="TableContents"/>
              <w:spacing w:before="0" w:after="283"/>
              <w:rPr/>
            </w:pPr>
            <w:r>
              <w:rPr>
                <w:b/>
                <w:spacing w:val="-4"/>
              </w:rPr>
              <w:t>Saf Yeboah-Amankwah</w:t>
            </w:r>
            <w:r>
              <w:rPr/>
              <w:t xml:space="preserve"> </w:t>
              <w:br/>
            </w:r>
            <w:r>
              <w:rPr>
                <w:spacing w:val="4"/>
              </w:rPr>
              <w:t xml:space="preserve">Age: 52 </w:t>
              <w:br/>
              <w:t xml:space="preserve">Director Since: 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25" w:type="dxa"/>
            <w:tcBorders/>
            <w:shd w:fill="auto" w:val="clear"/>
            <w:vAlign w:val="center"/>
          </w:tcPr>
          <w:p>
            <w:pPr>
              <w:pStyle w:val="TableContents"/>
              <w:spacing w:before="0" w:after="0"/>
              <w:rPr>
                <w:b/>
              </w:rPr>
            </w:pPr>
            <w:r>
              <w:rPr>
                <w:b/>
                <w:spacing w:val="-4"/>
              </w:rPr>
              <w:t>COMMITTEES</w:t>
            </w:r>
            <w:r>
              <w:rPr>
                <w:b/>
              </w:rPr>
              <w:t xml:space="preserve"> </w:t>
              <w:br/>
            </w:r>
            <w:r>
              <w:rPr>
                <w:b w:val="false"/>
                <w:spacing w:val="4"/>
              </w:rPr>
              <w:t>G (Chair)</w:t>
            </w:r>
            <w:r>
              <w:rPr>
                <w:b/>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Saf Yeboah-Amankwah has served as a director of Mobileye since October 2022. 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We believe Mr. Yeboah-Amankwah’s extensive experience advising tech companies on transformation, growth and operations and his experience with mergers and acquisitions make him well qualified to serve as a director.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Committee names are abbreviated as follows: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xml:space="preserve"> = Audit,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xml:space="preserve"> = Compensation and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xml:space="preserve"> = Nominating and Corporate Governance.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 Process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 Process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The Nominating and Corporate Governance Committee establishes procedures for Board nominations and recommends candidates for election to the Board. Consideration of new Board candidates typically involves a series of internal discussions, review of candidate information, and interviews with selected candidates. In addition to candidates identified by Board members, the committee may consider candidates proposed by stockholders and others as it deems appropriate. A stockholder who wishes to suggest a candidate for the committee’s consideration should send the candidate’s name and qualifications to our Secretary. Although our Board does not maintain a specific policy with respect to board diversity, pursuant to our Corporate Governance Guidelines, our Board seeks to have directors that collectively reflect a wide range of backgrounds, which may include factors such as experience, expertise, gender and race or ethnicity, and the Nominating and Corporate Governance Committee considers a broad range of backgrounds and experiences. Director nominations by stockholders must also satisfy certain other requirements specified in our bylaws. The Secretary’s contact information can be found in this proxy statement under the heading “Other Matters; Communicating with Us” on </w:t>
      </w:r>
      <w:r>
        <w:rPr>
          <w:rFonts w:ascii="Times New Roman;Times;serif" w:hAnsi="Times New Roman;Times;serif"/>
          <w:b/>
          <w:i w:val="false"/>
          <w:caps w:val="false"/>
          <w:smallCaps w:val="false"/>
          <w:color w:val="000000"/>
          <w:spacing w:val="-4"/>
          <w:sz w:val="20"/>
        </w:rPr>
        <w:t xml:space="preserve">page </w:t>
      </w:r>
      <w:hyperlink w:anchor="tCWU">
        <w:r>
          <w:rPr>
            <w:rStyle w:val="InternetLink"/>
          </w:rPr>
          <w:t>48</w:t>
        </w:r>
      </w:hyperlink>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Skills, Experience, and Background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As we discuss below under “Board Committees” on </w:t>
      </w:r>
      <w:r>
        <w:rPr>
          <w:rFonts w:ascii="Times New Roman;Times;serif" w:hAnsi="Times New Roman;Times;serif"/>
          <w:b/>
          <w:i w:val="false"/>
          <w:caps w:val="false"/>
          <w:smallCaps w:val="false"/>
          <w:color w:val="000000"/>
          <w:spacing w:val="-4"/>
          <w:sz w:val="20"/>
        </w:rPr>
        <w:t xml:space="preserve">page </w:t>
      </w:r>
      <w:hyperlink w:anchor="tBOCO">
        <w:r>
          <w:rPr>
            <w:rStyle w:val="InternetLink"/>
          </w:rPr>
          <w:t>9</w:t>
        </w:r>
      </w:hyperlink>
      <w:r>
        <w:rPr>
          <w:rFonts w:ascii="Times New Roman;Times;serif" w:hAnsi="Times New Roman;Times;serif"/>
          <w:b w:val="false"/>
          <w:i w:val="false"/>
          <w:caps w:val="false"/>
          <w:smallCaps w:val="false"/>
          <w:color w:val="000000"/>
          <w:spacing w:val="4"/>
          <w:sz w:val="20"/>
        </w:rPr>
        <w:t xml:space="preserve">, the Nominating and Corporate Governance Committee is responsible for assessing with the Board the appropriate skills, experience, and background that we seek in Board members in the context of our business and the existing composition of the Board. This assessment includes numerous diverse factors, such as independence; understanding of and experience in manufacturing, technology, finance, and marketing; senior leadership experience; international experience; mix of ages; and gender, racial, geographic, and ethnic diversity. The Board then determines whether a nominee’s background, experience, personal characteristics, and skills will advance the Board’s goal of creating and sustaining a Board with a diversity of perspectives and viewpoints that can support and oversee the company’s complex activities.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our Corporate Governance Guidelines, the Nominating and Corporate Governance Committee and the Board periodically review and assess the effectiveness of these practices for considering potential director candidates.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77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Matrix</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Listed below is detailed information regarding Board diversity required by Nasdaq’s listing standards. </w:t>
      </w:r>
    </w:p>
    <w:tbl>
      <w:tblPr>
        <w:tblW w:w="8812" w:type="dxa"/>
        <w:jc w:val="left"/>
        <w:tblInd w:w="1393" w:type="dxa"/>
        <w:tblCellMar>
          <w:top w:w="0" w:type="dxa"/>
          <w:left w:w="0" w:type="dxa"/>
          <w:bottom w:w="28" w:type="dxa"/>
          <w:right w:w="0" w:type="dxa"/>
        </w:tblCellMar>
      </w:tblPr>
      <w:tblGrid>
        <w:gridCol w:w="3680"/>
        <w:gridCol w:w="109"/>
        <w:gridCol w:w="109"/>
        <w:gridCol w:w="160"/>
        <w:gridCol w:w="160"/>
        <w:gridCol w:w="334"/>
        <w:gridCol w:w="163"/>
        <w:gridCol w:w="109"/>
        <w:gridCol w:w="109"/>
        <w:gridCol w:w="120"/>
        <w:gridCol w:w="120"/>
        <w:gridCol w:w="250"/>
        <w:gridCol w:w="123"/>
        <w:gridCol w:w="109"/>
        <w:gridCol w:w="109"/>
        <w:gridCol w:w="1257"/>
        <w:gridCol w:w="109"/>
        <w:gridCol w:w="109"/>
        <w:gridCol w:w="1416"/>
        <w:gridCol w:w="157"/>
      </w:tblGrid>
      <w:tr>
        <w:trPr/>
        <w:tc>
          <w:tcPr>
            <w:tcW w:w="36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1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57"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6"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Gender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283"/>
              <w:jc w:val="left"/>
              <w:rPr/>
            </w:pPr>
            <w:r>
              <w:rPr>
                <w:spacing w:val="-4"/>
              </w:rPr>
              <w:t>Gender Diversity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680"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4" w:type="dxa"/>
            <w:tcBorders/>
            <w:shd w:fill="auto" w:val="clear"/>
            <w:tcMar>
              <w:bottom w:w="0" w:type="dxa"/>
            </w:tcMar>
            <w:vAlign w:val="center"/>
          </w:tcPr>
          <w:p>
            <w:pPr>
              <w:pStyle w:val="TableContents"/>
              <w:spacing w:before="0" w:after="283"/>
              <w:jc w:val="right"/>
              <w:rPr/>
            </w:pPr>
            <w:r>
              <w:rPr/>
              <w:t>2</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jc w:val="right"/>
              <w:rPr/>
            </w:pPr>
            <w:r>
              <w:rPr/>
              <w:t>6</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283"/>
              <w:jc w:val="left"/>
              <w:rPr/>
            </w:pPr>
            <w:r>
              <w:rPr>
                <w:spacing w:val="-4"/>
              </w:rPr>
              <w:t>Racial/Ethnic/Nationality/Other Forms of Diversity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680" w:type="dxa"/>
            <w:tcBorders/>
            <w:shd w:fill="auto" w:val="clear"/>
            <w:tcMar>
              <w:bottom w:w="0" w:type="dxa"/>
            </w:tcMar>
            <w:vAlign w:val="center"/>
          </w:tcPr>
          <w:p>
            <w:pPr>
              <w:pStyle w:val="TableContents"/>
              <w:spacing w:before="0" w:after="0"/>
              <w:jc w:val="left"/>
              <w:rPr>
                <w:spacing w:val="4"/>
              </w:rPr>
            </w:pPr>
            <w:r>
              <w:rPr>
                <w:spacing w:val="4"/>
              </w:rPr>
              <w:t xml:space="preserve">African American/Black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4"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jc w:val="right"/>
              <w:rPr/>
            </w:pPr>
            <w:r>
              <w:rPr/>
              <w:t>1</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0"/>
              <w:jc w:val="left"/>
              <w:rPr>
                <w:spacing w:val="4"/>
              </w:rPr>
            </w:pPr>
            <w:r>
              <w:rPr>
                <w:spacing w:val="4"/>
              </w:rPr>
              <w:t xml:space="preserve">Alaskan Native/Native American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680" w:type="dxa"/>
            <w:tcBorders/>
            <w:shd w:fill="auto" w:val="clear"/>
            <w:tcMar>
              <w:bottom w:w="0" w:type="dxa"/>
            </w:tcMar>
            <w:vAlign w:val="center"/>
          </w:tcPr>
          <w:p>
            <w:pPr>
              <w:pStyle w:val="TableContents"/>
              <w:spacing w:before="0" w:after="0"/>
              <w:jc w:val="left"/>
              <w:rPr>
                <w:spacing w:val="4"/>
              </w:rPr>
            </w:pPr>
            <w:r>
              <w:rPr>
                <w:spacing w:val="4"/>
              </w:rPr>
              <w:t xml:space="preserve">Asian/South Asian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4"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0"/>
              <w:jc w:val="left"/>
              <w:rPr>
                <w:spacing w:val="4"/>
              </w:rPr>
            </w:pPr>
            <w:r>
              <w:rPr>
                <w:spacing w:val="4"/>
              </w:rPr>
              <w:t xml:space="preserve">Hispanic/Latinx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680" w:type="dxa"/>
            <w:tcBorders/>
            <w:shd w:fill="auto" w:val="clear"/>
            <w:tcMar>
              <w:bottom w:w="0" w:type="dxa"/>
            </w:tcMar>
            <w:vAlign w:val="center"/>
          </w:tcPr>
          <w:p>
            <w:pPr>
              <w:pStyle w:val="TableContents"/>
              <w:spacing w:before="0" w:after="0"/>
              <w:jc w:val="left"/>
              <w:rPr>
                <w:spacing w:val="4"/>
              </w:rPr>
            </w:pPr>
            <w:r>
              <w:rPr>
                <w:spacing w:val="4"/>
              </w:rPr>
              <w:t xml:space="preserve">Native Hawaiian/Pacific Islander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4"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0"/>
              <w:jc w:val="left"/>
              <w:rPr>
                <w:spacing w:val="4"/>
              </w:rPr>
            </w:pPr>
            <w:r>
              <w:rPr>
                <w:spacing w:val="4"/>
              </w:rPr>
              <w:t xml:space="preserve">White/Caucasian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2</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5</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3680" w:type="dxa"/>
            <w:tcBorders/>
            <w:shd w:fill="auto" w:val="clear"/>
            <w:tcMar>
              <w:bottom w:w="0" w:type="dxa"/>
            </w:tcMar>
            <w:vAlign w:val="center"/>
          </w:tcPr>
          <w:p>
            <w:pPr>
              <w:pStyle w:val="TableContents"/>
              <w:spacing w:before="0" w:after="0"/>
              <w:jc w:val="left"/>
              <w:rPr>
                <w:spacing w:val="4"/>
              </w:rPr>
            </w:pPr>
            <w:r>
              <w:rPr>
                <w:spacing w:val="4"/>
              </w:rPr>
              <w:t xml:space="preserve">LGBTQ+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334"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3680" w:type="dxa"/>
            <w:tcBorders/>
            <w:shd w:fill="CCEEFF" w:val="clear"/>
            <w:tcMar>
              <w:bottom w:w="0" w:type="dxa"/>
            </w:tcMar>
            <w:vAlign w:val="center"/>
          </w:tcPr>
          <w:p>
            <w:pPr>
              <w:pStyle w:val="TableContents"/>
              <w:spacing w:before="0" w:after="0"/>
              <w:jc w:val="left"/>
              <w:rPr>
                <w:spacing w:val="4"/>
              </w:rPr>
            </w:pPr>
            <w:r>
              <w:rPr>
                <w:spacing w:val="4"/>
              </w:rPr>
              <w:t xml:space="preserve">Did Not Disclose Demographics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334" w:type="dxa"/>
            <w:tcBorders/>
            <w:shd w:fill="CCEEFF" w:val="clear"/>
            <w:tcMar>
              <w:bottom w:w="0" w:type="dxa"/>
            </w:tcMar>
            <w:vAlign w:val="center"/>
          </w:tcPr>
          <w:p>
            <w:pPr>
              <w:pStyle w:val="TableContents"/>
              <w:spacing w:before="0" w:after="283"/>
              <w:jc w:val="right"/>
              <w:rPr/>
            </w:pPr>
            <w:r>
              <w:rPr/>
              <w:t>​</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jc w:val="right"/>
              <w:rPr/>
            </w:pPr>
            <w:r>
              <w:rPr/>
              <w:t>​</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GM"/>
      <w:bookmarkEnd w:id="8"/>
      <w:r>
        <w:rPr>
          <w:rFonts w:ascii="calibri;arial;sans-serif" w:hAnsi="calibri;arial;sans-serif"/>
          <w:b w:val="false"/>
          <w:i w:val="false"/>
          <w:caps w:val="false"/>
          <w:smallCaps w:val="false"/>
          <w:color w:val="000000"/>
          <w:sz w:val="16"/>
        </w:rPr>
        <w:t>​</w:t>
      </w:r>
      <w:bookmarkStart w:id="9" w:name="tBLS"/>
      <w:bookmarkEnd w:id="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currently chaired by Mr. Gelsinger. As is provided in our published Corporate Governance Guidelines, the Board does not require the separation of the offices of Board Chair and CEO and it is free to choose its Chair in any way that it deems best for the Company at any given point in time. However, if the Chair is not an independent director, our independent directors will designate one of the independent directors on the Board to serve as a lead independent director. Jon M. Huntsman, Jr. has been designated as our lead independent director. Our lead independent director’s duties, among others, include the following: </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 the agenda for each Board meeting in consultation with the CEO and the Chair; </w:t>
      </w:r>
      <w:r>
        <mc:AlternateContent>
          <mc:Choice Requires="wps">
            <w:drawing>
              <wp:anchor behindDoc="0" distT="8255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largest"/>
                <wp:docPr id="22" name="Frame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call and preside over executive sessions of the independent directors of the Board as deemed appropriate; </w:t>
      </w:r>
      <w:r>
        <mc:AlternateContent>
          <mc:Choice Requires="wps">
            <w:drawing>
              <wp:anchor behindDoc="0" distT="8255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23" name="Frame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regularly meet with the Chair and CEO for discussions of matters arising from executive sessions of the independent directors; </w:t>
      </w:r>
      <w:r>
        <mc:AlternateContent>
          <mc:Choice Requires="wps">
            <w:drawing>
              <wp:anchor behindDoc="0" distT="8255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largest"/>
                <wp:docPr id="24" name="Frame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requested, communicate with external constituencies, including stockholders; </w:t>
      </w:r>
      <w:r>
        <mc:AlternateContent>
          <mc:Choice Requires="wps">
            <w:drawing>
              <wp:anchor behindDoc="0" distT="8255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largest"/>
                <wp:docPr id="25"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the current board leadership structure provides effective independent oversight of management while allowing our Board and management to benefit from Mr. Gelsinger’s extensive executive leadership and operational experience. Our Board believes that our current leadership structure is appropriate at this time. The independent directors periodically assess the Board’s leadership structure and will continue to evaluate and implement the leadership structure that they conclude most effectively supports the Board in fulfilling its responsibilities.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Role in Risk Oversight</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important function of the Board is oversight of risk management at Mobileye. Risk is inherent in business, and the Board’s oversight, assessment, and decisions regarding risks occur in the context of and in conjunction with the other activities of the Board and its committees. The Board believes that its current governance structure facilitates its risk oversight responsibilities.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management consider “risk” to be the possibility that an undesired event could occur that might adversely affect the achievement of our objectives. Risks vary in many ways, including the ability of the company to anticipate and understand the risk, the types of adverse impacts that could result if the undesired event occurs, the likelihood that an undesired event and a particular adverse impact would occur, and the ability of the company to control the risk and the potential adverse impacts.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manages risk by overseeing the integrity of the Company’s financial statements and internal controls; the qualifications, independence and performance of the Company’s independent auditor; the performance of the Company’s internal audit function; and the Company’s compliance with legal and regulatory requirements. The Audit Committee reviews and discusses with the Board and with management the Company’s major financial risk exposures and steps taken to monitor and control such exposures.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manages risk by reviewing and evaluating the size, composition, function and duties of the Board consistent with its needs; overseeing the succession process in the event the Board determines that a new Chief Executive Officer should be hired; making recommendations to the Board as to determinations of director independence; and developing and recommending to the Board the Corporate Governance Guidelines, reviewing and reassessing the Code of Business Conduct and Ethics for the Company and overseeing compliance with such Guidelines and Code.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manages risk by reviewing and assessing risks arising from the Company’s employee compensation policies and practices and whether any such risks are reasonably likely to have a material adverse effect on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Regarding Hedging, Derivatives and Pledging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prohibit directors, officers, and all other employees from engaging in short sales of Mobileye’s securities, transactions involving options on Mobileye’s securities, such as puts, calls and other derivative securities, whether on an exchange or in any other market, or any hedging transactions that serve to insulate or mitigate against a potential change in Mobileye’s stock price, including through the use of financial instruments such as collars, equity swaps, exchange funds and forward sale contracts. This policy does not restrict ownership of company-granted awards, such as RSUs and options to purchase Mobileye stock, and does not apply to the vesting of RSUs or the exercise of options to purchase Mobileye stock. With some exceptions, holding Mobileye stock in a margin account and pledging Mobileye stock as collateral for a loan is prohibited for directors, officers, and all other employees.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DIRECTOR INDEPENDENCE AND TRANSACTIONS CONSIDERED </w:t>
        <w:br/>
        <w:t>IN INDEPENDENCE DETERMINATIONS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Controlled Company Exemption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our initial public offering we have a board that is composed of a majority of “independent directors,” as defined under the rules, and a compensation committee and a nominating and corporate governance committee that are composed entirely of independent directors. Ms. Pambianchi, who is not an independent director, serves on our Compensation Committee as the chair and as a member of our Nominating and Corporate Governance Committee, and Mr. Yeboah-Amankwah, who is not an independent director, serves as a member of our Nominating and Corporate Governance Committee. Even though we are a controlled company, we are required to comply with the rules of the SEC and Nasdaq relating to the membership, qualifications, and operations of the audit committee, as discussed below.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Nasdaq define a “controlled company” as a company of which more than 50% of the voting power for the election of directors is held by an individual, a group or another company. As of the completion of our initial public offering, Intel beneficially owns all of the outstanding shares of our Class B common stock, representing approximately 99.3% of the voting power of our common stock as of April 21, 2023. Through its control of shares of common stock representing a majority of the votes entitled to be cast in the election of directors, Intel has the ability to control the vote to elect all of our directors. Accordingly, we qualify as a “controlled company” under the listing requirements of Nasdaq and are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guidelines for director independence conform to the independence requirements in the published listing requirements of Nasdaq. The Board considers all relevant facts and circumstances in determining independence.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and, as applicable, the SEC rules and regulations relating to independence standards for members of audit and compensation committees.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CO"/>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of less than $120,000. Additionally, our board of directors considered that Mr. Yeary, who serves as an independent director on Intel’s board of directors, was appointed the independent Chair of Intel’s board of directors in January 2023.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Attendance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6725"/>
        <w:gridCol w:w="109"/>
        <w:gridCol w:w="109"/>
        <w:gridCol w:w="1590"/>
        <w:gridCol w:w="155"/>
      </w:tblGrid>
      <w:tr>
        <w:trPr/>
        <w:tc>
          <w:tcPr>
            <w:tcW w:w="124" w:type="dxa"/>
            <w:tcBorders/>
            <w:shd w:fill="auto" w:val="clear"/>
            <w:vAlign w:val="center"/>
          </w:tcPr>
          <w:p>
            <w:pPr>
              <w:pStyle w:val="TableContents"/>
              <w:spacing w:before="0" w:after="283"/>
              <w:rPr/>
            </w:pPr>
            <w:r>
              <w:rPr/>
              <w:t>​</w:t>
            </w:r>
          </w:p>
        </w:tc>
        <w:tc>
          <w:tcPr>
            <w:tcW w:w="6725" w:type="dxa"/>
            <w:tcBorders/>
            <w:shd w:fill="auto" w:val="clear"/>
            <w:vAlign w:val="center"/>
          </w:tcPr>
          <w:p>
            <w:pPr>
              <w:pStyle w:val="TableContents"/>
              <w:spacing w:before="0" w:after="283"/>
              <w:ind w:left="400" w:right="0" w:hanging="0"/>
              <w:rPr>
                <w:spacing w:val="4"/>
              </w:rPr>
            </w:pPr>
            <w:r>
              <w:rPr>
                <w:spacing w:val="4"/>
              </w:rPr>
              <w:t xml:space="preserve">The Board held 1 regularly scheduled meeting and 0 special meetings in 2022. As discussed in “Board Committees” below, standing committees of the Board collectively held a total of 1 meeting during 2022, with the Audit Committee holding a regularly scheduled meeting. We held a limited number of Board and Committee meetings in 2022 as neither the Board as currently constituted nor any of the Committees were appointed until October 26, 2022. We expect each director to attend every meeting of the Board and the committees on which the director serves. Each director attended at least 75% of the meetings of the Board and each committee on which the director served in 2022 (held during the period in which the director served), and on average directors attended 100% of their respective Board and committee meetings. The Board’s policy is that directors should endeavor to attend the annual stockholders’ meeting. We did not hold a 2022 annual meeting of stockholders because we were not a publicly traded company prior to October 26, 2022.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90" w:type="dxa"/>
            <w:tcBorders/>
            <w:shd w:fill="auto" w:val="clear"/>
            <w:vAlign w:val="center"/>
          </w:tcPr>
          <w:p>
            <w:pPr>
              <w:pStyle w:val="TableContents"/>
              <w:spacing w:before="0" w:after="0"/>
              <w:rPr>
                <w:b/>
              </w:rPr>
            </w:pPr>
            <w:r>
              <w:rPr>
                <w:b w:val="false"/>
                <w:spacing w:val="4"/>
              </w:rPr>
              <w:t>100%</w:t>
            </w:r>
            <w:r>
              <w:rPr>
                <w:b/>
              </w:rPr>
              <w:t xml:space="preserve"> </w:t>
              <w:br/>
            </w:r>
            <w:r>
              <w:rPr>
                <w:b/>
                <w:spacing w:val="-4"/>
              </w:rPr>
              <w:t>Average attendance of directors as a group at Board and committee meetings during 2022</w:t>
            </w:r>
            <w:r>
              <w:rPr>
                <w:b/>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36"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assigns responsibilities and delegates authority to its committees, and the committees regularly report on their activities and actions to the full Board. As of the end of 2022, the Board had three standing committees: Audit, Compensation, and Nominating and Corporate Governance. Each committee has the authority to engage outside experts, advisors, and counsel to assist the committee in its work.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committee has a written charter approved by the Board. We post each charter in the Corporate Governance section of our website at </w:t>
      </w:r>
      <w:r>
        <w:rPr>
          <w:rFonts w:ascii="Times New Roman;Times;serif" w:hAnsi="Times New Roman;Times;serif"/>
          <w:b/>
          <w:i w:val="false"/>
          <w:caps w:val="false"/>
          <w:smallCaps w:val="false"/>
          <w:color w:val="000000"/>
          <w:spacing w:val="-4"/>
          <w:sz w:val="20"/>
        </w:rPr>
        <w:t>https://ir.mobileye.com/corporate-governance/governance-overview</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information contained in, or that can be accessed through, our website is not incorporated by reference in, and is not part of, this proxy statement.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each member of the Audit Committee is an independent director in accordance with Nasdaq standards.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among other things, has the following responsibilities: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the audit plans and findings of our independent registered public accounting firm and our internal audit and risk review staff, as well as the results of regulatory examinations, and track management’s corrective action plans where necessary;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largest"/>
                <wp:docPr id="26" name="Frame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combined financial statements, including any significant financial items and/or changes in accounting policies, with our senior management and independent registered public accounting firm;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largest"/>
                <wp:docPr id="27"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financial risk and control procedures, compliance programs and significant tax, legal and regulatory matters;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largest"/>
                <wp:docPr id="28" name="Frame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the sole discretion to appoint annually our independent registered public accounting firm, evaluate its independence and performance and set clear hiring policies for employees or former employees of the independent registered public accounting firm; and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29" name="Frame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in advance any proposed related person transactions.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largest"/>
                <wp:docPr id="30"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audit committee are Mr. Desheh, Senator McCaskill, and Mr. Yeary. Mr. Desheh is the chair of our audit committee. Our board of directors has determined that Mr. Desheh, Senator McCaskill, and Mr. Yeary meet the definition of “independent director” for purposes of serving on our audit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under Rule 10A-3 of the Securities Exchange Act of 1934, as amended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held 1 meeting during the 2022 fiscal year. We held a limited number of meetings for the Audit Committee in 2022 because we were not a publicly traded company prior to October 26, 2022 and the committee was not appointed prior to that date.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among other things, has the following responsibilities: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or recommend that our board of directors approve, the compensation of our executive officers;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31"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recommend to our board of directors the compensation of our directors; </w:t>
      </w:r>
      <w:r>
        <mc:AlternateContent>
          <mc:Choice Requires="wps">
            <w:drawing>
              <wp:anchor behindDoc="0" distT="863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32" name="Frame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 our equity incentive plan; </w:t>
      </w:r>
      <w:r>
        <mc:AlternateContent>
          <mc:Choice Requires="wps">
            <w:drawing>
              <wp:anchor behindDoc="0" distT="863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largest"/>
                <wp:docPr id="33" name="Frame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equity grants under our equity incentive plan to employees and consultants and recommend such grants to directors for approval by our board of directors; </w:t>
      </w:r>
      <w:r>
        <mc:AlternateContent>
          <mc:Choice Requires="wps">
            <w:drawing>
              <wp:anchor behindDoc="0" distT="876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34" name="Frame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or make recommendations to our board of directors with respect to, incentive compensation and equity plans; and </w:t>
      </w:r>
      <w:r>
        <mc:AlternateContent>
          <mc:Choice Requires="wps">
            <w:drawing>
              <wp:anchor behindDoc="0" distT="876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35"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overall compensation philosophy. </w:t>
      </w:r>
      <w:r>
        <mc:AlternateContent>
          <mc:Choice Requires="wps">
            <w:drawing>
              <wp:anchor behindDoc="0" distT="876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36"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compensation committee are Mr. Desheh, Ms. Pambianchi, and Mr. Yeary. Ms. Pambianchi is the chair of our compensation committee. Each member of this committee is a non-employee director, as defined by Rule 16b-3 promulgated under the Exchange Act.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delegate any of its responsibilities to subcommittees of the committee, and may delegate to a subcommittee the ability to make grants of equity awards to individuals who are not executive officers or non-employee directors of the Company, as it deems appropriate.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information with respect to the use of compensation consultants and a description of the role of our executive officers in determining or recommending the amount or form of executive and director compensation, see “Compensation Discussion and Analysis — Determination of Compensation.”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held no meetings during the 2022 fiscal year because we were not a publicly traded company prior to October 26, 2022 and the committee was not appointed prior to that date.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among other things, has the following responsibilities: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evaluate, and recommend to our board of directors to select as nominees individuals qualified to become new directors, consistent with criteria approved by our board of directors;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37"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the qualifications of incumbent directors to determine whether to recommend them for reelection at our next annual meeting of the stockholders; </w:t>
      </w:r>
      <w:r>
        <mc:AlternateContent>
          <mc:Choice Requires="wps">
            <w:drawing>
              <wp:anchor behindDoc="0" distT="876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38"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evaluate, and recommend to our board of directors to appoint those directors that are qualified to serve on any committee of our board of directors; </w:t>
      </w:r>
      <w:r>
        <mc:AlternateContent>
          <mc:Choice Requires="wps">
            <w:drawing>
              <wp:anchor behindDoc="0" distT="876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largest"/>
                <wp:docPr id="39"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recommend to our board of directors corporate governance principles applicable to us; and </w:t>
      </w:r>
      <w:r>
        <mc:AlternateContent>
          <mc:Choice Requires="wps">
            <w:drawing>
              <wp:anchor behindDoc="0" distT="876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largest"/>
                <wp:docPr id="40"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 the evaluation of our board of directors. </w:t>
      </w:r>
      <w:r>
        <mc:AlternateContent>
          <mc:Choice Requires="wps">
            <w:drawing>
              <wp:anchor behindDoc="0" distT="876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largest"/>
                <wp:docPr id="41"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RPT"/>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Nominating and Corporate Governance Committee are Governor Huntsman, Ms. Pambianchi, and Mr. Yeboah-Amankwah. Mr. Yeboah-Amankwah is the chair of our Nominating and Corporate Governance Committee.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held no meetings during the 2022 fiscal year because we were not a publicly traded company prior to October 26, 2022 and the committee was not appointed prior to that date..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Committee Interlocks and Insider Participation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2022, Mr. Desheh, Ms. Pambianchi and Mr. Yeary served on the Compensation Committee. None of our executive officers, employees or persons having a relationship requiring disclosure under Item 404 of Regulation S-K has served as a member of our compensation committee. None of our executive officers has served on the compensation committee (or committee performing similar functions) or as a director of another entity that has one or more executive officers serving on our board of directors or Compensation Committee.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Stockholders to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stockholders initiate communications with the Board, the Chair of the Board, or any Board committee by writing to our Secretary. You can find the address in the “Other Matters” section of this proxy statement. This process assists the Board in reviewing and responding to stockholder communications. The Board has instructed our Secretary to review correspondence directed to the Board and, at the Secretary’s discretion, to forward items that she deems to be appropriate for the Board’s consideration.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director, director nominee and executive officer compensation arrangements discussed under “Compensation Discussion and Analysis,” this section describes transactions, or series of related transactions, since the beginning of our last fiscal year or as currently proposed, to which we were a party or will be a party, in which: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involved exceeded or will exceed $120,000; and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largest"/>
                <wp:docPr id="42"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directors, director nominees, executive officers, or beneficial owners of more than 5% of any class of our capital stock, or any members of the immediate family of and any entity affiliated with any such person, had or will have a direct or indirect material interest.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3"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Loan Arrangements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 series of bilateral lending/borrowing arrangements with Intel. The purposes of the facilities were to enable bilateral cash movements between the parties. The arrangements were denominated in U.S dollars.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2017, we and Intel entered into a bilateral lending/borrowing arrangement (“Arrangement 1”) to make available to either party up to an aggregate principal amount of $1.5 billion. Arrangement 1 had a mechanism of automatic renewal for additional periods of one year. In 2021, Arrangement 1 was amended to increase the capacity from $1.5 billion to $1.8 billion, and was automatically renewed to December 2022. On October 25, 2022, Arrangement 1 was terminated.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2017, we and Intel entered into a bilateral lending/borrowing arrangement (“Arrangement 2”) to make cash available to either party up to an aggregate principal amount of $750 million. Arrangement 2 had a mechanism for automatic renewal for additional periods of one year each. In March 2022, Arrangement 2 was amended to increase the aggregate principal amount from $750 million to $1.0 billion and the maturity date was extended to March 2023. On March 7, 2023, Arrangement 2 was terminated.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we and Intel entered into a bilateral lending/borrowing arrangement (“Arrangement 3” and, together with Arrangement 1 and Arrangement 2, the “Bilateral Loan Arrangements”) to make cash available to either party up to an aggregate principal amount of $100 million. Arrangement 3 had a maturity date of July 2022 with a mechanism for automatic renewal for additional periods of one year. In March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On October 25, 2022, Arrangement 3 was terminated.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outstanding balance under the Bilateral Loan Arrangements was zero and $1.3 billion as of December 31, 2022 and December 25, 2021, respectively. Interest income recognized by us related to the Bilateral Loan Arrangements totaled $18 million, $3 million and $6 million for the year ended December 31, 2022, December 25, 2021 and December 26, 2020, respectively.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Note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21, 2022, we and Intel signed a loan agreement whereby we agreed to issue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would also be payable upon any prepayment, whether in whole or in part, to the extent accrued on the amount being prepaid and upon maturity. Under the Dividend Note, we had the right, at our option, on any business day, to prepay the loan, including principal and any accrued interest thereon, in whole or in part without premium or penalty. In November 2022, we used approximately $0.9 billion out of the net proceeds from the Mobileye IPO to repay a portion of the indebtedness under the Dividend Note and Intel contributed to us the remaining portion of the Dividend Note (plus related accrued interest) in the amount of $2.6 billion, such that no amounts under the Dividend Note remain owed by us to Intel as of December 31, 2022. Interest expense recognized by us totaled $24 million for the year ended December 31, 2022. </w:t>
      </w:r>
    </w:p>
    <w:p>
      <w:pPr>
        <w:pStyle w:val="TextBody"/>
        <w:spacing w:lineRule="atLeast" w:line="240" w:before="240" w:after="283"/>
        <w:ind w:left="17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and Capital Distribution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Reorganization, on May 12, 2022, we declared and paid a dividend in an aggregate amount of $336 million to Intel, net of $14 million of cash paid to tax authorities to settle related tax obligations. In addition, prior to the Mobileye IPO in October 2022, we made a capital distribution to Intel in the amount of $1.1 million.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Compensation Recharge Agreement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8, 2017, we entered into a stock compensation recharge agreement with Intel, which requires us to reimburse Intel for certain amounts relating to the value of share-based compensation provided to our employees for RSUs or stock options exercisable in Intel stock. The reimbursement amounts recorded as an adjustment to additional paid-in capital in the consolidated statements of equity were $118 million, $162 million and $78 million for 2022, 2021 and 2020, respectively.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Hedging Services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beginning of 2021, we entered into a hedging services agreement with Intel, according to which we were entitled to a certain allocation of the gains and obligated to a certain allocation of the losses arising from the execution of hedging contracts entered into by Intel to hedge its forecasted cash flow exposure to changes in the U.S. Dollar / New Israeli Shekel exchange rate. In October 2022, we de-designated our outstanding hedge instruments and stopped participating in the hedging services agreement with Intel. The payments to Intel for these services were immaterial. As of October 25, 2022, Mobileye is no longer a party to this agreement.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 Services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historically relied on Intel to provide certain development services, including research, technical work on technology, products and solutions, construction and ancillary administrative services. The Company paid for these services on a quarterly basis. Following our recruitment of certain employees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ECP"/>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relating to the Mobileye business from Intel during 2022, and the intercompany agreements that came into effect upon consummation of the Mobileye IPO, the agreement for development services was terminated on October 25, 2022.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Travel Related Expenses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reimbursed our Chief Executive Officer for reasonable travel related expenses incurred while conducting business on behalf of our company. For 2022, 2021 and 2020, travel related reimbursements were $1.0 million, $1.1 million and $0.5 million, respectively.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Cross-License Agreement</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an agreement with Intel (which we refer to herein as the Cross-License Agreement)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Entered into in Connection with our Initial Public Offering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Transfers of Assets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Reorganization, we acquired from Intel in a series of transfers in 2022 certain assets related to our business for an aggregate amount of approximately $8 million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$900 million that was paid in December 2022 to Intel using cash that we concurrently received from Intel’s payment of such amount it owes us under the Bilateral Loan Arrangements.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Facilities Arrangements</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lease arrangements with Intel, we lease office space in Intel’s buildings in certain locations, including in Israel, the United States, Germany and China. The leasing costs for the years ended December 31, 2022, December 25, 2021 and December 26, 2020 were $3 million, $1.5 million and $1.5 million, respectively.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Contribution and Subscription Agreement</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Intercompany Agreements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Mobileye IPO, we entered into the following intercompany agreements (the “Intercompany Agreements”) with Intel that provides a framework for our ongoing relationship with Intel.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Master Transaction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Master Transaction Agreement contains key provisions relating to our ongoing relationship with Intel. The Master Transaction Agreement also contains agreements relating to the conduct of the Mobileye IPO and future transactions, and will govern the relationship between Intel and us subsequent to the Mobileye IPO.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Registration Rights</w:t>
      </w:r>
      <w:r>
        <w:rPr>
          <w:rFonts w:ascii="Times New Roman;Times;serif" w:hAnsi="Times New Roman;Times;serif"/>
          <w:b w:val="false"/>
          <w:i w:val="false"/>
          <w:caps w:val="false"/>
          <w:smallCaps w:val="false"/>
          <w:color w:val="000000"/>
          <w:spacing w:val="4"/>
          <w:sz w:val="20"/>
        </w:rPr>
        <w:t xml:space="preserve">.   We have provided Intel, after the date that is 180 days after the closing of the Mobileye IPO or such earlier date as provided in the Master Transaction Agreement, with certain registration rights to register our common stock, because the shares of our common stock held by Intel after the Mobileye IPO are deemed “restricted securities” as defined in Rule 144 under the Securities Act of 1933, as amended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the Mobileye IPO, or subsequently acquired, for public sale under the Securities Act on a registration statement on Form S-1 or any similar long form registration statement (a “Long-Form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Future Distributions</w:t>
      </w:r>
      <w:r>
        <w:rPr>
          <w:rFonts w:ascii="Times New Roman;Times;serif" w:hAnsi="Times New Roman;Times;serif"/>
          <w:b w:val="false"/>
          <w:i w:val="false"/>
          <w:caps w:val="false"/>
          <w:smallCaps w:val="false"/>
          <w:color w:val="000000"/>
          <w:spacing w:val="4"/>
          <w:sz w:val="20"/>
        </w:rPr>
        <w:t xml:space="preserve">.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Most Favored Status</w:t>
      </w:r>
      <w:r>
        <w:rPr>
          <w:rFonts w:ascii="Times New Roman;Times;serif" w:hAnsi="Times New Roman;Times;serif"/>
          <w:b w:val="false"/>
          <w:i w:val="false"/>
          <w:caps w:val="false"/>
          <w:smallCaps w:val="false"/>
          <w:color w:val="000000"/>
          <w:spacing w:val="4"/>
          <w:sz w:val="20"/>
        </w:rPr>
        <w:t>.   So long as Intel beneficially owns at least 20% of our common stock, we will sell Intel our commercially available products, including EyeQ</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Anti-Dilution Option</w:t>
      </w:r>
      <w:r>
        <w:rPr>
          <w:rFonts w:ascii="Times New Roman;Times;serif" w:hAnsi="Times New Roman;Times;serif"/>
          <w:b w:val="false"/>
          <w:i w:val="false"/>
          <w:caps w:val="false"/>
          <w:smallCaps w:val="false"/>
          <w:color w:val="000000"/>
          <w:spacing w:val="4"/>
          <w:sz w:val="20"/>
        </w:rPr>
        <w:t xml:space="preserve">.   We have granted Intel a continuing right to purchase from us shares of Class A common stock or Class B common stock as is necessary for Intel to maintain an aggregate ownership interest of our common stock representing at least 80.1% of our common stock outstanding. This option may be exercised by Intel in connection with any issuance by us of common stock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Indemnification</w:t>
      </w:r>
      <w:r>
        <w:rPr>
          <w:rFonts w:ascii="Times New Roman;Times;serif" w:hAnsi="Times New Roman;Times;serif"/>
          <w:b w:val="false"/>
          <w:i w:val="false"/>
          <w:caps w:val="false"/>
          <w:smallCaps w:val="false"/>
          <w:color w:val="000000"/>
          <w:spacing w:val="4"/>
          <w:sz w:val="20"/>
        </w:rPr>
        <w:t xml:space="preserve">.   We and Intel have agreed to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a prospectus or the registration statement of which it is a part relating to an offering of our shares by Intel, except for misstatements or omissions of material fact relating to information that Intel provided to us specifically for inclusion in such prospectus or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the Mobileye IPO,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a prospectus or the registration statement of which it forms a part relating to an offering of our shares by Intel, to the extent that such information pertains to Intel or Intel’s business. Intel will also indemnify us against liabilities arising from information Intel provides to us specifically for inclusion in our annual or quarterly reports following the completion of the Mobileye IPO,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Release</w:t>
      </w:r>
      <w:r>
        <w:rPr>
          <w:rFonts w:ascii="Times New Roman;Times;serif" w:hAnsi="Times New Roman;Times;serif"/>
          <w:b w:val="false"/>
          <w:i w:val="false"/>
          <w:caps w:val="false"/>
          <w:smallCaps w:val="false"/>
          <w:color w:val="000000"/>
          <w:spacing w:val="4"/>
          <w:sz w:val="20"/>
        </w:rPr>
        <w:t xml:space="preserve">.   The Master Transaction Agreement contains a general release for liabilities arising from events occurring on or before the time of the Mobileye IPO. Under this provision, we agreed to release Intel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its subsidiaries, successors and assigns, and Intel agreed to release us and our subsidiaries, successors and assigns, from any liabilities arising from past events between us on the one hand, and Intel on the other hand, occurring on or before the time of the Mobileye IPO, including in connection with the activities to implement the Mobileye IPO. The general release does not apply to liabilities allocated between the parties under the Master Transaction Agreement or other Intercompany Agreements or to specified ongoing contractual arrangements.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Accounting Matters</w:t>
      </w:r>
      <w:r>
        <w:rPr>
          <w:rFonts w:ascii="Times New Roman;Times;serif" w:hAnsi="Times New Roman;Times;serif"/>
          <w:b w:val="false"/>
          <w:i w:val="false"/>
          <w:caps w:val="false"/>
          <w:smallCaps w:val="false"/>
          <w:color w:val="000000"/>
          <w:spacing w:val="4"/>
          <w:sz w:val="20"/>
        </w:rPr>
        <w:t xml:space="preserve">.   For so long as Intel provides us with accounting and financial services under the Administrative Services Agreement that we have entered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Policies</w:t>
      </w:r>
      <w:r>
        <w:rPr>
          <w:rFonts w:ascii="Times New Roman;Times;serif" w:hAnsi="Times New Roman;Times;serif"/>
          <w:b w:val="false"/>
          <w:i w:val="false"/>
          <w:caps w:val="false"/>
          <w:smallCaps w:val="false"/>
          <w:color w:val="000000"/>
          <w:spacing w:val="4"/>
          <w:sz w:val="20"/>
        </w:rPr>
        <w:t xml:space="preserve">.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Non-Solicitation</w:t>
      </w:r>
      <w:r>
        <w:rPr>
          <w:rFonts w:ascii="Times New Roman;Times;serif" w:hAnsi="Times New Roman;Times;serif"/>
          <w:b w:val="false"/>
          <w:i w:val="false"/>
          <w:caps w:val="false"/>
          <w:smallCaps w:val="false"/>
          <w:color w:val="000000"/>
          <w:spacing w:val="4"/>
          <w:sz w:val="20"/>
        </w:rPr>
        <w:t xml:space="preserv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Remaining Intel Awards.</w:t>
      </w:r>
      <w:r>
        <w:rPr>
          <w:rFonts w:ascii="Times New Roman;Times;serif" w:hAnsi="Times New Roman;Times;serif"/>
          <w:b w:val="false"/>
          <w:i w:val="false"/>
          <w:caps w:val="false"/>
          <w:smallCaps w:val="false"/>
          <w:color w:val="000000"/>
          <w:spacing w:val="4"/>
          <w:sz w:val="20"/>
        </w:rPr>
        <w:t xml:space="preserve">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Minimum Cash Requirement</w:t>
      </w:r>
      <w:r>
        <w:rPr>
          <w:rFonts w:ascii="Times New Roman;Times;serif" w:hAnsi="Times New Roman;Times;serif"/>
          <w:b w:val="false"/>
          <w:i w:val="false"/>
          <w:caps w:val="false"/>
          <w:smallCaps w:val="false"/>
          <w:color w:val="000000"/>
          <w:spacing w:val="4"/>
          <w:sz w:val="20"/>
        </w:rPr>
        <w:t xml:space="preserve">.   Immediately after completion of the Mobileye IPO and on a pro forma basis after all expenses of the offering have been paid (and after giving effect to any repayment of any indebtedness by us to Intel and any other transactions contemplated to occur substantially concurrently with the Mobileye IPO), Intel agreed to ensure that we would have $1.0 billion cash, cash equivalents, or marketable securities.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Notifiable Transactions</w:t>
      </w:r>
      <w:r>
        <w:rPr>
          <w:rFonts w:ascii="Times New Roman;Times;serif" w:hAnsi="Times New Roman;Times;serif"/>
          <w:b w:val="false"/>
          <w:i w:val="false"/>
          <w:caps w:val="false"/>
          <w:smallCaps w:val="false"/>
          <w:color w:val="000000"/>
          <w:spacing w:val="4"/>
          <w:sz w:val="20"/>
        </w:rPr>
        <w:t xml:space="preserve">.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Administrative Services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Administrative Services Agreement, Intel provides us with administrative, financial, legal, tax, and other services. Intel provides such services to us with substantially the same degree of skill and care as such services have been provided to us during the twelve months prior to the date of the Mobileye IPO. We will pay fees to Intel for the services rendered based on pricing per service agreed between us and Intel.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term of the Administrative Services Agreement will expire two years from the completion of the Mobileye IPO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incurred under this agreement for the year ended December 31, 2022 were $3 million.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Matters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Employee Matters Agreement allocates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Technology and Services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Technology and Services Agreement provides a framework for the collaboration on technology projects and services between us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for which the LiDAR Product Collaboration Agreement will apply. Pursuant to the Technology and Services Agreement, we and Intel will agree to statements of work with additional terms for Technology Projects.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falls within a defined field related to Intel’s business (including technology related to certain semiconductor, radar, lidar,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 owns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radar technology created by our personnel prior to the completion of the Mobileye IPO, primarily related to their work on certain radar technology. Intel will assign back to us certain intellectual property rights to a certain subset of radar technology created by our employees after the completion of the Mobileye IPO. Intel will grant us worldwide, perpetual, irrevocable, royalty-free licenses under certain intellectual property rights to certain radar technology for the purpose of our development and manufacturing of certain types of external environment-sensing radar sensor products for ADAS and AV in automobiles.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has a term of two years, and will automatically renew for one-year renewal periods, unless the agreement is terminated for a party’s material breach, a party’s bankruptcy or insolvency, or advance notice of non-renewal is given.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incurred under this agreement for the year ended December 31, 2022 was $0.4 million.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LiDAR Product Collaboration Agreement</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provides the terms that will apply to our collaboration with Intel for the development and manufacture of a lidar sensor system for ADAS and AV in automobiles (“LiDAR Projects”). On some of the LiDAR Projects joint funding will apply between Intel and Mobileye until the end of 2027, so Mobileye will bear its own Lidar sensor system development costs up to the first $40 million per year and Intel will bear up to $20 million per year of Mobileye’s Lidar sensor system development costs that are greater than $40 million per year.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further provides that Intel will manufacture certain components (silicon photonics integrated circuits and grating and mirrors) for us to market and sell as part of a frequency-modulated continuous wave (“FMCW”)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 The price for the components Intel will manufacture for us will be based on a cost-plus model. In addition, the agreement also includes a profit-sharing model under which Mobileye will pay Intel a share of the gross profit for each LiDAR sensor system or components thereof, based on Intel technology, sold by Mobileye.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LiDAR Product Collaboration Agreement, Intel has granted us a worldwide, royalty- free license under certain trade secret rights and copyrights for certain identified lidar technology for internal development of an external environment-sensing FMCW lidar sensor system for ADAS and AV solely for a LiDAR Project and subject to certain project restrictions. We will own the intellectual property rights to certain new system technology for FMCW lidar sensor systems created solely by our personnel under the LiDAR Product Collaboration Agreement that is developed after the completion of the Mobileye IPO, and will grant to Intel a worldwide, royalty-free license under certain trade secret rights and copyrights for the system technology to use, copy and modify the system technology solely for a LiDAR Project. Intel will own all other new technology created during the term of the LiDAR Product Collaboration Agreement which falls into a defined category of lidar and other technology, and we will assign to Intel our intellectual property rights in this technology and certain lidar technology which our personnel created before the completion of the Mobileye IPO (primarily technology based on Intel’s own technology). Intellectual property rights in other technology developed under LiDAR Projects will be solely owned if the technology was solely created by a party, and for any jointly created intellectual property rights the parties will jointly own copyright and trade secrets, and allocate and license patent rights between them.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includes confidentiality restrictions with respect to LiDAR Projects and related technology and a limited Intel non-compete with respect to certain lidar technology for a period of up to five years from the effective date of the agreement. Except with respect 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claims of infringement of intellectual property rights, breaches of a license or confidentiality obligations, or any liability which cannot be limited under applicable law, any liability of the parties to one another under the LiDAR Product Collaboration Agreement will be capped to the aggregate amounts paid or payable by us to Intel under the agreement for any development services. The LiDAR Product Collaboration Agreement will have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amounts received or receivable from Intel under this agreement for the year ended December 31, 2022.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Sharing Agreement</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previously included in the Consolidated Group and in certain other Combined Groups. Pursuant to the Tax Sharing Agreement, we will generally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a written calculation in reasonable detail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 will be primarily responsible for controlling and contesting any audit or other tax proceeding. Disputes arising between the parties relating to matters covered by the Tax Sharing Agreement are subject to resolution through specific dispute resolution provisions.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included in the Consolidated Group for the most recent annual period. It is expected that we will be included in the Consolidated Group going forward.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Intel have agreed to set forth our respective rights, responsibilities and obligations with respect to any possible spin-off in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PRP"/>
      <w:bookmarkEnd w:id="13"/>
      <w:r>
        <w:rPr>
          <w:rFonts w:ascii="calibri;arial;sans-serif" w:hAnsi="calibri;arial;sans-serif"/>
          <w:b w:val="false"/>
          <w:i w:val="false"/>
          <w:caps w:val="false"/>
          <w:smallCaps w:val="false"/>
          <w:color w:val="000000"/>
          <w:sz w:val="16"/>
        </w:rPr>
        <w:t>​</w:t>
      </w:r>
      <w:bookmarkStart w:id="14" w:name="tIDAO"/>
      <w:bookmarkEnd w:id="14"/>
      <w:r>
        <w:rPr>
          <w:rFonts w:ascii="calibri;arial;sans-serif" w:hAnsi="calibri;arial;sans-serif"/>
          <w:b w:val="false"/>
          <w:i w:val="false"/>
          <w:caps w:val="false"/>
          <w:smallCaps w:val="false"/>
          <w:color w:val="000000"/>
          <w:sz w:val="16"/>
        </w:rPr>
        <w:t>​</w:t>
      </w:r>
      <w:bookmarkStart w:id="15" w:name="tCBCE"/>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2022, the related party payable to Intel pursuant to the tax sharing agreement was $34 million.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for Related Person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adopted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entered into indemnification agreements with each of our directors and executive officers in connection with the Mobileye IPO, which, among other things, require us to indemnify each director and executive officer to the fullest extent permitted by applicable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Directed Share Program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our initial public offering, at our request, the underwriters reserved up to 2,050,000 shares of Class A common stock, or 5% of the shares offered thereto, for sale at the initial public offering price of $21.00 per share to our directors and to the directors, executive officers, and certain employees of Intel. Shares sold under the directed share program are not subject to a lock-up restriction, except in the case of shares purchased by any of our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is available on our website. The information contained in, or that can be accessed through, our website is not incorporated by reference in, and is not part of, this proxy statement.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OOC"/>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our common stock as of April 21, 2023 by: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the outstanding shares of any class of our common stock;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4"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director nominees and named executive officers individually;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5"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director nominees and executive officers as a group.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6"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April 21, 2023 are considered outstanding, although these shares are not considered outstanding for purposes of computing the percentage ownership of any other person. As of April 21, 2023, there were 51,912,143 shares of our Class A common stock and 750,000,000 shares of our Class B common stock outstanding. Each of the stockholders listed has sole voting and investment power with respect to the shares beneficially owned by the stockholder unless noted otherwise, subject to community property laws where applicable.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47"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9001" w:type="dxa"/>
        <w:jc w:val="left"/>
        <w:tblInd w:w="1393" w:type="dxa"/>
        <w:tblCellMar>
          <w:top w:w="0" w:type="dxa"/>
          <w:left w:w="0" w:type="dxa"/>
          <w:bottom w:w="28" w:type="dxa"/>
          <w:right w:w="0" w:type="dxa"/>
        </w:tblCellMar>
      </w:tblPr>
      <w:tblGrid>
        <w:gridCol w:w="2112"/>
        <w:gridCol w:w="109"/>
        <w:gridCol w:w="109"/>
        <w:gridCol w:w="109"/>
        <w:gridCol w:w="109"/>
        <w:gridCol w:w="1186"/>
        <w:gridCol w:w="109"/>
        <w:gridCol w:w="109"/>
        <w:gridCol w:w="109"/>
        <w:gridCol w:w="109"/>
        <w:gridCol w:w="109"/>
        <w:gridCol w:w="526"/>
        <w:gridCol w:w="109"/>
        <w:gridCol w:w="109"/>
        <w:gridCol w:w="109"/>
        <w:gridCol w:w="109"/>
        <w:gridCol w:w="109"/>
        <w:gridCol w:w="1306"/>
        <w:gridCol w:w="109"/>
        <w:gridCol w:w="109"/>
        <w:gridCol w:w="109"/>
        <w:gridCol w:w="109"/>
        <w:gridCol w:w="109"/>
        <w:gridCol w:w="466"/>
        <w:gridCol w:w="109"/>
        <w:gridCol w:w="109"/>
        <w:gridCol w:w="109"/>
        <w:gridCol w:w="109"/>
        <w:gridCol w:w="109"/>
        <w:gridCol w:w="526"/>
        <w:gridCol w:w="109"/>
        <w:gridCol w:w="154"/>
      </w:tblGrid>
      <w:tr>
        <w:trPr/>
        <w:tc>
          <w:tcPr>
            <w:tcW w:w="2112"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8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Class A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4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Class B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853"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 of </w:t>
              <w:br/>
              <w:t xml:space="preserve">Total </w:t>
              <w:br/>
              <w:t xml:space="preserve">Voting </w:t>
              <w:br/>
              <w:t xml:space="preserve">Power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2112"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Name of Beneficial Owner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of Class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 of Class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853" w:type="dxa"/>
            <w:gridSpan w:val="4"/>
            <w:vMerge w:val="continue"/>
            <w:tcBorders>
              <w:bottom w:val="single" w:sz="2" w:space="0" w:color="000000"/>
            </w:tcBorders>
            <w:shd w:fill="auto" w:val="clear"/>
            <w:tcMar>
              <w:bottom w:w="50"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2112" w:type="dxa"/>
            <w:tcBorders/>
            <w:shd w:fill="CCEEFF" w:val="clear"/>
            <w:tcMar>
              <w:bottom w:w="0" w:type="dxa"/>
            </w:tcMar>
            <w:vAlign w:val="center"/>
          </w:tcPr>
          <w:p>
            <w:pPr>
              <w:pStyle w:val="TableContents"/>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pPr>
            <w:r>
              <w:rPr>
                <w:spacing w:val="4"/>
              </w:rPr>
              <w:t>Intel Corporation</w:t>
            </w:r>
            <w:r>
              <w:rPr>
                <w:spacing w:val="3"/>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750,000,000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100%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99.3%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Baillie Gifford &amp; Co.</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6,190,476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11.9%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pPr>
            <w:r>
              <w:rPr>
                <w:spacing w:val="4"/>
              </w:rPr>
              <w:t>FMR LLC</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2,631,819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General Atlantic, L.P.</w:t>
            </w:r>
            <w:r>
              <w:rPr>
                <w:spacing w:val="3"/>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4,761,905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pPr>
            <w:r>
              <w:rPr>
                <w:spacing w:val="4"/>
              </w:rPr>
              <w:t>Norges Bank (the Central Bank of Norway)</w:t>
            </w:r>
            <w:r>
              <w:rPr>
                <w:spacing w:val="3"/>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12,085,900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23.3%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Prudential Financial Inc. and affiliates</w:t>
            </w:r>
            <w:r>
              <w:rPr>
                <w:spacing w:val="3"/>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8,710,759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16.8%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283"/>
              <w:jc w:val="left"/>
              <w:rPr/>
            </w:pPr>
            <w:r>
              <w:rPr>
                <w:spacing w:val="-4"/>
              </w:rPr>
              <w:t>Named Executive Officers and Directors</w:t>
            </w:r>
            <w:r>
              <w:rPr>
                <w:spacing w:val="-3"/>
                <w:sz w:val="13"/>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Amnon Shashua</w:t>
            </w:r>
            <w:r>
              <w:rPr>
                <w:spacing w:val="3"/>
                <w:sz w:val="13"/>
              </w:rPr>
              <w:t>(8)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746,667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Patrick P. Gelsinger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Anat Heller</w:t>
            </w:r>
            <w:r>
              <w:rPr>
                <w:spacing w:val="3"/>
                <w:sz w:val="13"/>
              </w:rPr>
              <w:t>(9)</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61,169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pPr>
            <w:r>
              <w:rPr>
                <w:spacing w:val="4"/>
              </w:rPr>
              <w:t>Gavriel Hayon</w:t>
            </w:r>
            <w:r>
              <w:rPr>
                <w:spacing w:val="3"/>
                <w:sz w:val="13"/>
              </w:rPr>
              <w:t>(10)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43,515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pPr>
            <w:r>
              <w:rPr>
                <w:spacing w:val="4"/>
              </w:rPr>
              <w:t>Shai Shalev-Shwartz</w:t>
            </w:r>
            <w:r>
              <w:rPr>
                <w:spacing w:val="3"/>
                <w:sz w:val="13"/>
              </w:rPr>
              <w:t>(11)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190,476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pPr>
            <w:r>
              <w:rPr>
                <w:spacing w:val="4"/>
              </w:rPr>
              <w:t>Nimrod Nehushtan</w:t>
            </w:r>
            <w:r>
              <w:rPr>
                <w:spacing w:val="3"/>
                <w:sz w:val="13"/>
              </w:rPr>
              <w:t>(12)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30,878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Eyal Desheh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Jon M. Huntsman Jr.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Claire McCaskill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Christine Pambianchi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70,000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jc w:val="left"/>
              <w:rPr>
                <w:spacing w:val="4"/>
              </w:rPr>
            </w:pPr>
            <w:r>
              <w:rPr>
                <w:spacing w:val="4"/>
              </w:rPr>
              <w:t xml:space="preserve">Frank D. Yeary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27,500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2" w:type="dxa"/>
            <w:tcBorders/>
            <w:shd w:fill="auto" w:val="clear"/>
            <w:tcMar>
              <w:bottom w:w="0" w:type="dxa"/>
            </w:tcMar>
            <w:vAlign w:val="center"/>
          </w:tcPr>
          <w:p>
            <w:pPr>
              <w:pStyle w:val="TableContents"/>
              <w:spacing w:before="0" w:after="0"/>
              <w:jc w:val="left"/>
              <w:rPr>
                <w:spacing w:val="4"/>
              </w:rPr>
            </w:pPr>
            <w:r>
              <w:rPr>
                <w:spacing w:val="4"/>
              </w:rPr>
              <w:t xml:space="preserve">Saf Yeboah-Amankwah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47,519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2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2" w:type="dxa"/>
            <w:tcBorders/>
            <w:shd w:fill="CCEEFF" w:val="clear"/>
            <w:tcMar>
              <w:bottom w:w="0" w:type="dxa"/>
            </w:tcMar>
            <w:vAlign w:val="center"/>
          </w:tcPr>
          <w:p>
            <w:pPr>
              <w:pStyle w:val="TableContents"/>
              <w:spacing w:before="0" w:after="0"/>
              <w:ind w:left="200" w:right="0" w:hanging="200"/>
              <w:jc w:val="left"/>
              <w:rPr/>
            </w:pPr>
            <w:r>
              <w:rPr>
                <w:spacing w:val="4"/>
              </w:rPr>
              <w:t>All executive officers, directors, and director nominees as a group (12 persons)</w:t>
            </w:r>
            <w:r>
              <w:rPr>
                <w:spacing w:val="3"/>
                <w:szCs w:val="13"/>
              </w:rPr>
              <w:t>﻿</w:t>
            </w:r>
            <w:r>
              <w:rPr>
                <w:spacing w:val="3"/>
                <w:sz w:val="13"/>
              </w:rPr>
              <w:t>(13)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1,388,724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30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779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largest"/>
                <wp:docPr id="48" name="Frame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 </w:t>
      </w:r>
      <w:r>
        <mc:AlternateContent>
          <mc:Choice Requires="wps">
            <w:drawing>
              <wp:anchor behindDoc="0" distT="4699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largest"/>
                <wp:docPr id="49" name="Frame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Baillie Gifford &amp; Co. (Scottish Partnership) filed a Schedule 13G/A with the SEC on January 25, 2023 to report beneficial ownership of 6,190,476 shares of our Class A common stock. Baillie Gifford &amp; Co. (Scottish Partnership) reports that it has sole power to dispose of 6,190,476 shares and has sole power to vote with respect to 6,190,476 shares. The address of Baillie Gifford &amp; Co. (Scottish Partnership) is Calton Square, 1 Greenside Row, Edinburgh EH1 3AN, Scotland, UK. Information regarding beneficial ownership of our Class A common stock by Baillie Gifford &amp; Co. (Scottish Partnership) is included herein in reliance on the aforementioned Schedule 13G/A. </w:t>
      </w:r>
      <w:r>
        <mc:AlternateContent>
          <mc:Choice Requires="wps">
            <w:drawing>
              <wp:anchor behindDoc="0" distT="4826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largest"/>
                <wp:docPr id="50" name="Frame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FMR LLC filed a Schedule 13G with the SEC on February 9, 2023 to report beneficial ownership of 2,631,819 shares of our Class A common stock. FMR LLC reports that it has sole power to dispose of 2,631,819 shares and has sole power to vote with respect to 2,631,819 shares. The address of FMR LLC is 245 Summer Street, Boston, Massachusetts 02210. Information regarding beneficial ownership of our Class A common stock by FMR LLC is included herein in reliance on the aforementioned Schedule 13G. </w:t>
      </w:r>
      <w:r>
        <mc:AlternateContent>
          <mc:Choice Requires="wps">
            <w:drawing>
              <wp:anchor behindDoc="0" distT="4826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largest"/>
                <wp:docPr id="51" name="Frame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Atlantic, L.P. (“GA LP”), General Atlantic Partners 100, L.P. (“GAP 100”), General Atlantic Partners (Bermuda) EU, L.P. (“GAP Bermuda EU”), GAP Coinvestments III, LLC (“GAPCO III”), GAP Coinvestments IV, LLC (“GAPCO IV”), GAP Coinvestments V, LLC (“GAPCO V”), GAP Coinvestments CDA, L.P. (“GAPCO CDA”), General Atlantic (SPV) GP, LLC (“GA SPV”), General Atlantic GenPar (Bermuda), L.P. (“GenPar Bermuda”), General Atlantic GenPar, L.P. (“GA GenPar”), General Atlantic (ME), L.P. (“GA ME”), GAP (Bermuda) L.P. (“GAP Bermuda”), General Atlantic (Lux) S.à.r.l. (“GA Lux”), General Atlantic GenPar (Lux) SCSp (“GA GenPar Lux”), and General Atlantic Partners (Lux) SCSp (“GAP Lux”) (collectively, the “GA Entities”) filed a Schedule 13G with the SEC on November 7, 2022 to report beneficial ownership of 4,761,905 shares of our Class A common stock. Each of the GA Entities may be deemed to have sole voting power and sole dispositive power with respect to 4,761,905 shares and also shared voting power and shared dispositive power with respect to 4,761,905 shares. 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Luxembourg is 412F, Route d’Esch, L-1471 Luxembourg. Information regarding beneficial ownership of our Class A common stock by General Atlantic, L.P. and the other GA Entities is included herein in reliance on the aforementioned Schedule 13G. </w:t>
      </w:r>
      <w:r>
        <mc:AlternateContent>
          <mc:Choice Requires="wps">
            <w:drawing>
              <wp:anchor behindDoc="0" distT="4826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largest"/>
                <wp:docPr id="52" name="Frame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Norges Bank (the Central Bank of Norway) (“Norges Bank”) filed a Schedule 13G/A with the SEC on February 14, 2023 to report beneficial ownership of 12,085,900 shares of our Class A common stock. Norges Bank reports that it has sole power to dispose of 12,085,900 shares and has sole power to vote with respect to 12,085,900 shares. The address of Norges Bank is Bankplassen 2, PO Box 1179 Sentrum NO 0107, Oslo, Norway. Information regarding beneficial ownership of our Class A common stock by Norges Bank is included herein in reliance on the aforementioned Schedule 13G/A. </w:t>
      </w:r>
      <w:r>
        <mc:AlternateContent>
          <mc:Choice Requires="wps">
            <w:drawing>
              <wp:anchor behindDoc="0" distT="4826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largest"/>
                <wp:docPr id="53" name="Frame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of our Class A common stock held by Prudential Financial Inc. (“Prudential”) and its 100% wholly owned subsidiary, Jennison Associated LLC (“Jennison”). Prudential filed a Schedule 13G with the SEC on April 10, 2023 to report beneficial ownership of 8,491,190 shares of our Class A common stock, of which it has sole voting power and sole dispositive power with respect to 26,465 shares and shared voting power and shared dispositive power with respect to 8,464,725 shares. Jennison filed a Schedule 13G with the SEC on April 10, 2023 to report beneficial ownership of 8,710,759 shares of our Class A common stock, of which it has sole voting power with respect to 8,252,183 shares and shared dispositive power with respect to 8,710,759 shares. As a result of its role as an investment advisor to several investment companies, insurance separate accounts and institutional clients (the “Managed </w:t>
      </w:r>
      <w:r>
        <mc:AlternateContent>
          <mc:Choice Requires="wps">
            <w:drawing>
              <wp:anchor behindDoc="0" distT="4826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largest"/>
                <wp:docPr id="54" name="Frame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68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Portfolios”), Jennison may be deemed to be the beneficial owner of shares held by the Managed Portfolios and may have the power to direct the exercise of voting and/or dispositive power with respect to such shares. As a result of its parent/subsidiary relationship with Jennison, Prudential may be deemed to have the power to exercise or to direct the exercise of such voting and/or dispositive power that Jennison may have with respect to shares held by the Managed Portfolios. The address of Prudential is 751 Broad Street, Newark, NJ 07102-3777 and the address of Jennison is 466 Lexington Avenue, New York, NY 10017. Information regarding the beneficial ownership of our Class A common stock by Prudential and Jennison is included herein in reliance on the aforementioned Schedule 13G’s.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principal business address of each person is c/o Mobileye Global Inc., Har Hotzvim, 13 Hartom Street P.O. Box 45157 Jerusalem 9777513, Israel. </w:t>
      </w:r>
      <w:r>
        <mc:AlternateContent>
          <mc:Choice Requires="wps">
            <w:drawing>
              <wp:anchor behindDoc="0" distT="508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largest"/>
                <wp:docPr id="55" name="Frame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476,191 shares of Class A common stock and 270,476 RSUs that will vest within 60 days of April 21, 2023. </w:t>
      </w:r>
      <w:r>
        <mc:AlternateContent>
          <mc:Choice Requires="wps">
            <w:drawing>
              <wp:anchor behindDoc="0" distT="508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largest"/>
                <wp:docPr id="56" name="Frame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61,169 RSUs that will vest within 60 days of April 21, 2023. </w:t>
      </w:r>
      <w:r>
        <mc:AlternateContent>
          <mc:Choice Requires="wps">
            <w:drawing>
              <wp:anchor behindDoc="0" distT="508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largest"/>
                <wp:docPr id="57" name="Frame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43,515 RSUs that will vest within 60 days of April 21, 2023. </w:t>
      </w:r>
      <w:r>
        <mc:AlternateContent>
          <mc:Choice Requires="wps">
            <w:drawing>
              <wp:anchor behindDoc="0" distT="50800" distB="0" distL="0" distR="0" simplePos="0" locked="0" layoutInCell="1" allowOverlap="1" relativeHeight="68">
                <wp:simplePos x="0" y="0"/>
                <wp:positionH relativeFrom="column">
                  <wp:align>left</wp:align>
                </wp:positionH>
                <wp:positionV relativeFrom="line">
                  <wp:align>top</wp:align>
                </wp:positionV>
                <wp:extent cx="254000" cy="525780"/>
                <wp:effectExtent l="0" t="0" r="0" b="0"/>
                <wp:wrapSquare wrapText="largest"/>
                <wp:docPr id="58" name="Frame4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190,476 RSUs that will vest within 60 days of April 21, 2023. </w:t>
      </w:r>
      <w:r>
        <mc:AlternateContent>
          <mc:Choice Requires="wps">
            <w:drawing>
              <wp:anchor behindDoc="0" distT="50800" distB="0" distL="0" distR="0" simplePos="0" locked="0" layoutInCell="1" allowOverlap="1" relativeHeight="69">
                <wp:simplePos x="0" y="0"/>
                <wp:positionH relativeFrom="column">
                  <wp:align>left</wp:align>
                </wp:positionH>
                <wp:positionV relativeFrom="line">
                  <wp:align>top</wp:align>
                </wp:positionV>
                <wp:extent cx="254000" cy="525780"/>
                <wp:effectExtent l="0" t="0" r="0" b="0"/>
                <wp:wrapSquare wrapText="largest"/>
                <wp:docPr id="59" name="Frame4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30,878 RSUs that will vest within 60 days of April 21, 2023.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525780"/>
                <wp:effectExtent l="0" t="0" r="0" b="0"/>
                <wp:wrapSquare wrapText="largest"/>
                <wp:docPr id="60" name="Frame5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792,210 shares of Class A common stock and 596,514 RSUs that will vest within 60 days of April 21, 2023.</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525780"/>
                <wp:effectExtent l="0" t="0" r="0" b="0"/>
                <wp:wrapSquare wrapText="largest"/>
                <wp:docPr id="61" name="Frame51"/>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CM"/>
      <w:bookmarkEnd w:id="17"/>
      <w:r>
        <w:rPr>
          <w:rFonts w:ascii="calibri;arial;sans-serif" w:hAnsi="calibri;arial;sans-serif"/>
          <w:b w:val="false"/>
          <w:i w:val="false"/>
          <w:caps w:val="false"/>
          <w:smallCaps w:val="false"/>
          <w:color w:val="000000"/>
          <w:sz w:val="16"/>
        </w:rPr>
        <w:t>​</w:t>
      </w:r>
      <w:bookmarkStart w:id="18" w:name="tP2RO"/>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38"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Ratification of Selection of Independent Registered Public Accounting Firm</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341"/>
        <w:gridCol w:w="109"/>
        <w:gridCol w:w="109"/>
        <w:gridCol w:w="3280"/>
        <w:gridCol w:w="109"/>
        <w:gridCol w:w="109"/>
        <w:gridCol w:w="431"/>
        <w:gridCol w:w="109"/>
        <w:gridCol w:w="109"/>
        <w:gridCol w:w="2825"/>
        <w:gridCol w:w="157"/>
      </w:tblGrid>
      <w:tr>
        <w:trPr/>
        <w:tc>
          <w:tcPr>
            <w:tcW w:w="124" w:type="dxa"/>
            <w:tcBorders/>
            <w:shd w:fill="auto" w:val="clear"/>
            <w:vAlign w:val="center"/>
          </w:tcPr>
          <w:p>
            <w:pPr>
              <w:pStyle w:val="TableContents"/>
              <w:spacing w:before="0" w:after="283"/>
              <w:rPr/>
            </w:pPr>
            <w:r>
              <w:rPr/>
              <w:t>​</w:t>
            </w:r>
          </w:p>
        </w:tc>
        <w:tc>
          <w:tcPr>
            <w:tcW w:w="1341" w:type="dxa"/>
            <w:tcBorders/>
            <w:shd w:fill="auto" w:val="clear"/>
            <w:vAlign w:val="center"/>
          </w:tcPr>
          <w:p>
            <w:pPr>
              <w:pStyle w:val="TableContents"/>
              <w:spacing w:lineRule="atLeast" w:line="240" w:before="0" w:after="0"/>
              <w:rPr/>
            </w:pPr>
            <w:r>
              <w:rPr>
                <w:spacing w:val="-4"/>
              </w:rPr>
              <w:t>PROPOSAL 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280" w:type="dxa"/>
            <w:tcBorders/>
            <w:shd w:fill="auto" w:val="clear"/>
            <w:vAlign w:val="center"/>
          </w:tcPr>
          <w:p>
            <w:pPr>
              <w:pStyle w:val="TableContents"/>
              <w:spacing w:lineRule="atLeast" w:line="240" w:before="0" w:after="0"/>
              <w:rPr/>
            </w:pPr>
            <w:r>
              <w:rPr>
                <w:spacing w:val="-4"/>
              </w:rPr>
              <w:t>Ratification of Selection of Independent Registered Public Accounting Firm</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1" w:type="dxa"/>
            <w:tcBorders/>
            <w:shd w:fill="auto" w:val="clear"/>
            <w:vAlign w:val="center"/>
          </w:tcPr>
          <w:p>
            <w:pPr>
              <w:pStyle w:val="TableContents"/>
              <w:spacing w:before="0" w:after="0"/>
              <w:jc w:val="center"/>
              <w:rPr/>
            </w:pPr>
            <w:r>
              <w:rPr/>
              <w:drawing>
                <wp:inline distT="0" distB="0" distL="0" distR="0">
                  <wp:extent cx="219075" cy="161925"/>
                  <wp:effectExtent l="0" t="0" r="0" b="0"/>
                  <wp:docPr id="6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1" descr=""/>
                          <pic:cNvPicPr>
                            <a:picLocks noChangeAspect="1" noChangeArrowheads="1"/>
                          </pic:cNvPicPr>
                        </pic:nvPicPr>
                        <pic:blipFill>
                          <a:blip r:embed="rId12"/>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825" w:type="dxa"/>
            <w:tcBorders/>
            <w:shd w:fill="auto" w:val="clear"/>
            <w:vAlign w:val="center"/>
          </w:tcPr>
          <w:p>
            <w:pPr>
              <w:pStyle w:val="TableContents"/>
              <w:spacing w:lineRule="atLeast" w:line="240" w:before="0" w:after="0"/>
              <w:rPr/>
            </w:pPr>
            <w:r>
              <w:rPr>
                <w:spacing w:val="-4"/>
              </w:rPr>
              <w:t>Recommendation of the Board</w:t>
            </w:r>
            <w:r>
              <w:rPr/>
              <w:t xml:space="preserve"> </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4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280" w:type="dxa"/>
            <w:tcBorders/>
            <w:shd w:fill="auto" w:val="clear"/>
            <w:vAlign w:val="center"/>
          </w:tcPr>
          <w:p>
            <w:pPr>
              <w:pStyle w:val="TableContents"/>
              <w:spacing w:before="0" w:after="0"/>
              <w:rPr/>
            </w:pPr>
            <w:r>
              <w:rPr>
                <w:spacing w:val="4"/>
              </w:rPr>
              <w:t>The Audit Committee evaluates the selection of independent auditors each year and has selected Kesselman &amp; Kesselman, Certified Public Accountants (Isr.), a member firm of PricewaterhouseCoopers International Limited (“PwC”) as our independent registered public accounting firm and PCAOB auditor for the current year. PwC has served in this role since 2022. Representatives of PwC attended all meetings of the Audit Committee in 2022 except those meetings subject to attorney-client privilege.</w:t>
            </w:r>
            <w:r>
              <w:rPr/>
              <w:t xml:space="preserve"> </w:t>
            </w:r>
          </w:p>
          <w:p>
            <w:pPr>
              <w:pStyle w:val="TableContents"/>
              <w:spacing w:before="120" w:after="283"/>
              <w:rPr>
                <w:b/>
              </w:rPr>
            </w:pPr>
            <w:r>
              <w:rPr>
                <w:b/>
                <w:spacing w:val="-4"/>
              </w:rPr>
              <w:t>Independence of PwC</w:t>
            </w:r>
            <w:r>
              <w:rPr>
                <w:b/>
              </w:rPr>
              <w:t xml:space="preserve"> </w:t>
            </w:r>
          </w:p>
          <w:p>
            <w:pPr>
              <w:pStyle w:val="TableContents"/>
              <w:spacing w:before="120" w:after="283"/>
              <w:rPr/>
            </w:pPr>
            <w:r>
              <w:rPr>
                <w:spacing w:val="4"/>
              </w:rPr>
              <w:t>In order to ensure continued auditor independence, the Audit Committee periodically considers whether there should be a regular rotation of our independent registered public accounting firm. The Audit Committee has established, and monitors, limits on the amount of non-audit services that Mobileye may obtain from PwC. Under the auditor independence rules, PwC reviews its independence each year and delivers to the Audit Committee a letter addressing matters prescribed under those rules.</w:t>
            </w:r>
            <w:r>
              <w:rPr/>
              <w:t xml:space="preserve"> </w:t>
            </w:r>
          </w:p>
          <w:p>
            <w:pPr>
              <w:pStyle w:val="TableContents"/>
              <w:spacing w:before="120" w:after="283"/>
              <w:rPr>
                <w:b/>
              </w:rPr>
            </w:pPr>
            <w:r>
              <w:rPr>
                <w:b/>
                <w:spacing w:val="-4"/>
              </w:rPr>
              <w:t>Regular Rotation of Primary Engagement Partner</w:t>
            </w:r>
            <w:r>
              <w:rPr>
                <w:b/>
              </w:rPr>
              <w:t xml:space="preserve"> </w:t>
            </w:r>
          </w:p>
          <w:p>
            <w:pPr>
              <w:pStyle w:val="TableContents"/>
              <w:spacing w:before="120" w:after="283"/>
              <w:rPr/>
            </w:pPr>
            <w:r>
              <w:rPr>
                <w:spacing w:val="4"/>
              </w:rPr>
              <w:t>The Audit Committee is involved in considering the selection of PwC’s primary engagement partner when there is a rotation, which is typically every five years.</w:t>
            </w:r>
            <w:r>
              <w:rPr/>
              <w:t xml:space="preserve"> </w:t>
            </w:r>
          </w:p>
          <w:p>
            <w:pPr>
              <w:pStyle w:val="TableContents"/>
              <w:spacing w:before="120" w:after="283"/>
              <w:rPr>
                <w:b/>
              </w:rPr>
            </w:pPr>
            <w:r>
              <w:rPr>
                <w:b/>
                <w:spacing w:val="-4"/>
              </w:rPr>
              <w:t>Pre-Approval Policies</w:t>
            </w:r>
            <w:r>
              <w:rPr>
                <w:b/>
              </w:rPr>
              <w:t xml:space="preserve"> </w:t>
            </w:r>
          </w:p>
          <w:p>
            <w:pPr>
              <w:pStyle w:val="TableContents"/>
              <w:spacing w:before="120" w:after="283"/>
              <w:rPr>
                <w:spacing w:val="4"/>
              </w:rPr>
            </w:pPr>
            <w:r>
              <w:rPr>
                <w:spacing w:val="4"/>
              </w:rPr>
              <w:t xml:space="preserve">The Audit Committee pre-approves and reviews audit and non-audit services performed by PwC, as well as the fees charged by PwC for such services. In its pre-approval and review of non-audit service fees, the Audit Committee considers, among other factors, the possible effect of the performance of such services on the auditors’ independence.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825" w:type="dxa"/>
            <w:tcBorders/>
            <w:shd w:fill="auto" w:val="clear"/>
            <w:vAlign w:val="center"/>
          </w:tcPr>
          <w:p>
            <w:pPr>
              <w:pStyle w:val="TableContents"/>
              <w:spacing w:before="0" w:after="0"/>
              <w:rPr/>
            </w:pPr>
            <w:r>
              <w:rPr>
                <w:spacing w:val="4"/>
              </w:rPr>
              <w:t>The Board recommends that you vote “</w:t>
            </w:r>
            <w:r>
              <w:rPr>
                <w:b/>
                <w:spacing w:val="-4"/>
              </w:rPr>
              <w:t>FOR</w:t>
            </w:r>
            <w:r>
              <w:rPr>
                <w:spacing w:val="4"/>
              </w:rPr>
              <w:t>” the ratification of the selection of PricewaterhouseCoopers International Limited (PwC) as our independent registered public accounting firm for fiscal year 2023.</w:t>
            </w:r>
            <w:r>
              <w:rPr/>
              <w:t xml:space="preserve"> </w:t>
            </w:r>
          </w:p>
          <w:p>
            <w:pPr>
              <w:pStyle w:val="TableContents"/>
              <w:spacing w:lineRule="atLeast" w:line="240" w:before="160" w:after="0"/>
              <w:ind w:left="200" w:right="0" w:hanging="0"/>
              <w:jc w:val="left"/>
              <w:rPr/>
            </w:pPr>
            <w:r>
              <w:rPr>
                <w:spacing w:val="4"/>
              </w:rPr>
              <w:t>Robust independence controls and objectivity; high audit quality; and reasonable fees</w:t>
            </w:r>
            <w:r>
              <w:rPr/>
              <w:t xml:space="preserv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63"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Deep company-industry knowledge, experience, and expertise</w:t>
            </w:r>
            <w:r>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64"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Audit Committee annually evaluates PwC and determined that PwC’s retention continues to be in the best interests of Mobileye and its stockholders</w:t>
            </w:r>
            <w:r>
              <w:rPr/>
              <w:t xml:space="preserve">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65"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236"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We Are Asking Stockholders to Ratify Our Selection of PwC</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good corporate governance, the Board submits the selection of the independent audit firm to our stockholders for ratification. If the selection of PwC is not ratified by a majority of the shares of common stock (voting as a single class) present or represented during the annual meeting and entitled to vote on the matter, the Audit Committee will review its future selection of an independent registered public accounting firm in light of that vote result. Even if the selection is ratified, the Audit Committee in its discretion may appoint a different registered public accounting firm at any time during the year if the committee determines that such a change would be appropriate.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79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PwC Expected to Attend Annual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 representative of PwC will attend the annual meeting, and the representative will have an opportunity to make a statement if he or she so chooses. The representative will also be available to respond to appropriate questions from stockholders.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PwC’s Fees for 2022 and 2021</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fees billed by PwC for audit services provided for, and other services provided in, fiscal years 2022 and 2021. </w:t>
      </w:r>
    </w:p>
    <w:tbl>
      <w:tblPr>
        <w:tblW w:w="5315" w:type="dxa"/>
        <w:jc w:val="left"/>
        <w:tblInd w:w="1393" w:type="dxa"/>
        <w:tblCellMar>
          <w:top w:w="0" w:type="dxa"/>
          <w:left w:w="0" w:type="dxa"/>
          <w:bottom w:w="28" w:type="dxa"/>
          <w:right w:w="0" w:type="dxa"/>
        </w:tblCellMar>
      </w:tblPr>
      <w:tblGrid>
        <w:gridCol w:w="2119"/>
        <w:gridCol w:w="109"/>
        <w:gridCol w:w="109"/>
        <w:gridCol w:w="109"/>
        <w:gridCol w:w="109"/>
        <w:gridCol w:w="1066"/>
        <w:gridCol w:w="109"/>
        <w:gridCol w:w="109"/>
        <w:gridCol w:w="109"/>
        <w:gridCol w:w="109"/>
        <w:gridCol w:w="109"/>
        <w:gridCol w:w="886"/>
        <w:gridCol w:w="109"/>
        <w:gridCol w:w="154"/>
      </w:tblGrid>
      <w:tr>
        <w:trPr/>
        <w:tc>
          <w:tcPr>
            <w:tcW w:w="211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2022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2021 ($)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119" w:type="dxa"/>
            <w:tcBorders/>
            <w:shd w:fill="CCEEFF" w:val="clear"/>
            <w:tcMar>
              <w:bottom w:w="0" w:type="dxa"/>
            </w:tcMar>
            <w:vAlign w:val="center"/>
          </w:tcPr>
          <w:p>
            <w:pPr>
              <w:pStyle w:val="TableContents"/>
              <w:spacing w:before="0" w:after="0"/>
              <w:jc w:val="left"/>
              <w:rPr/>
            </w:pPr>
            <w:r>
              <w:rPr>
                <w:spacing w:val="4"/>
              </w:rPr>
              <w:t>Audit Fees</w:t>
            </w:r>
            <w:r>
              <w:rPr>
                <w:spacing w:val="3"/>
                <w:sz w:val="13"/>
              </w:rPr>
              <w:t xml:space="preserve">(1)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3,750,000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9" w:type="dxa"/>
            <w:tcBorders/>
            <w:shd w:fill="auto" w:val="clear"/>
            <w:tcMar>
              <w:bottom w:w="0" w:type="dxa"/>
            </w:tcMar>
            <w:vAlign w:val="center"/>
          </w:tcPr>
          <w:p>
            <w:pPr>
              <w:pStyle w:val="TableContents"/>
              <w:spacing w:before="0" w:after="0"/>
              <w:jc w:val="left"/>
              <w:rPr/>
            </w:pPr>
            <w:r>
              <w:rPr>
                <w:spacing w:val="4"/>
              </w:rPr>
              <w:t>Audit-related Fees</w:t>
            </w:r>
            <w:r>
              <w:rPr>
                <w:spacing w:val="3"/>
                <w:sz w:val="13"/>
              </w:rPr>
              <w:t xml:space="preserve">(2)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287,935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9" w:type="dxa"/>
            <w:tcBorders/>
            <w:shd w:fill="CCEEFF" w:val="clear"/>
            <w:tcMar>
              <w:bottom w:w="0" w:type="dxa"/>
            </w:tcMar>
            <w:vAlign w:val="center"/>
          </w:tcPr>
          <w:p>
            <w:pPr>
              <w:pStyle w:val="TableContents"/>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194,428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236,447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119" w:type="dxa"/>
            <w:tcBorders/>
            <w:shd w:fill="auto" w:val="clear"/>
            <w:tcMar>
              <w:bottom w:w="0" w:type="dxa"/>
            </w:tcMar>
            <w:vAlign w:val="center"/>
          </w:tcPr>
          <w:p>
            <w:pPr>
              <w:pStyle w:val="TableContents"/>
              <w:spacing w:before="0" w:after="0"/>
              <w:jc w:val="left"/>
              <w:rPr/>
            </w:pPr>
            <w:r>
              <w:rPr>
                <w:spacing w:val="4"/>
              </w:rPr>
              <w:t>All Other Fees</w:t>
            </w:r>
            <w:r>
              <w:rPr>
                <w:spacing w:val="3"/>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9" w:type="dxa"/>
            <w:tcBorders/>
            <w:shd w:fill="CCEEFF" w:val="clear"/>
            <w:tcMar>
              <w:bottom w:w="0" w:type="dxa"/>
            </w:tcMar>
            <w:vAlign w:val="center"/>
          </w:tcPr>
          <w:p>
            <w:pPr>
              <w:pStyle w:val="TableContents"/>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4,232,363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486,447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were primarily for professional services rendered for audits of our financial statements, review of interim financial statements and services that were provided in connection with regulatory filings or engagements. The audit fee for 2022 was for the annual audits of all periods presented in the registration statement on Form S-1 for the Mobileye IPO.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largest"/>
                <wp:docPr id="66" name="Frame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related fees for 2022 and 2021 were primarily for local statutory audits of financial statements.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largest"/>
                <wp:docPr id="67" name="Frame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for PwC for 2022 and 2021 were primarily for professional services rendered for tax compliance, tax advice and tax planning. </w:t>
      </w:r>
      <w:r>
        <mc:AlternateContent>
          <mc:Choice Requires="wps">
            <w:drawing>
              <wp:anchor behindDoc="0" distT="508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largest"/>
                <wp:docPr id="68" name="Frame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other fees were billed by PwC for 2022 and 2021. </w:t>
      </w:r>
      <w:r>
        <mc:AlternateContent>
          <mc:Choice Requires="wps">
            <w:drawing>
              <wp:anchor behindDoc="0" distT="508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largest"/>
                <wp:docPr id="69" name="Frame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or delegate thereof pre-approves the scope of the audit, audit-related and tax services provided by our independent registered public accounting firm, as well as all associated fees and terms. The Audit Committee evaluates the independent registered public accounting firm’s qualifications, performance and independence, and presents its conclusions to the full Board on at least an annual basis.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services provided by PwC since our public listing in October 2022, and fees for such services, were pre-approved by the Audit Committee in accordance with these standards.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ratification of the appointment of PwC requires the affirmative vote of holders of a majority of the shares of common stock (voting as a single class) present or represented during the annual meeting and entitled to vote on the matter. Abstentions will count as “against” votes for this proposal.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OTA"/>
      <w:bookmarkEnd w:id="1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68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contained in the following Audit Committee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the audited financial statements for fiscal year 2022 with management and Kesselman &amp; Kesselman, Certified Public Accountants (Isr.), a member firm of PricewaterhouseCoopers International Limited (“PwC”), our independent registered public accounting firm, and management represented to the Audit Committee that Mobileye’s audited financial statements were prepared in accordance with US generally accepted accounting principles. The Audit Committee has discussed with PwC, and PwC represented that its presentations to the Audit Committee included, the matters required to be discussed with the independent registered public accounting firm by applicable PCAOB and SEC rules.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PwC has provided the Audit Committee with the written disclosures and the letter required by the PCAOB regarding the independent accountant’s communications with the Audit Committee concerning independence, and the Audit Committee has discussed with the independent audit firm and management that firm’s independence.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reliance on these reviews and discussions, and the reports of PwC, the Audit Committee has recommended to the Board, and the Board has approved, the inclusion of the audited financial statements in Mobileye’s 2022 Annual Report on Form 10-K for the year ended December 31, 2022.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as of March 8,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Eyal Desheh, Chair </w:t>
        <w:br/>
        <w:t xml:space="preserve">Claire C. McCaskill </w:t>
        <w:br/>
        <w:t>Frank D. Yeary</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LOCM"/>
      <w:bookmarkEnd w:id="20"/>
      <w:r>
        <w:rPr>
          <w:rFonts w:ascii="calibri;arial;sans-serif" w:hAnsi="calibri;arial;sans-serif"/>
          <w:b w:val="false"/>
          <w:i w:val="false"/>
          <w:caps w:val="false"/>
          <w:smallCaps w:val="false"/>
          <w:color w:val="000000"/>
          <w:sz w:val="16"/>
        </w:rPr>
        <w:t>​</w:t>
      </w:r>
      <w:bookmarkStart w:id="21" w:name="tP3AV"/>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LISTED OFFICER COMPENSATION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Advisory Vote on Executive Compensation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347"/>
        <w:gridCol w:w="109"/>
        <w:gridCol w:w="109"/>
        <w:gridCol w:w="4225"/>
        <w:gridCol w:w="109"/>
        <w:gridCol w:w="109"/>
        <w:gridCol w:w="433"/>
        <w:gridCol w:w="109"/>
        <w:gridCol w:w="109"/>
        <w:gridCol w:w="1873"/>
        <w:gridCol w:w="156"/>
      </w:tblGrid>
      <w:tr>
        <w:trPr/>
        <w:tc>
          <w:tcPr>
            <w:tcW w:w="124" w:type="dxa"/>
            <w:tcBorders/>
            <w:shd w:fill="auto" w:val="clear"/>
            <w:vAlign w:val="center"/>
          </w:tcPr>
          <w:p>
            <w:pPr>
              <w:pStyle w:val="TableContents"/>
              <w:spacing w:before="0" w:after="283"/>
              <w:rPr/>
            </w:pPr>
            <w:r>
              <w:rPr/>
              <w:t>​</w:t>
            </w:r>
          </w:p>
        </w:tc>
        <w:tc>
          <w:tcPr>
            <w:tcW w:w="1347" w:type="dxa"/>
            <w:tcBorders/>
            <w:shd w:fill="auto" w:val="clear"/>
            <w:vAlign w:val="center"/>
          </w:tcPr>
          <w:p>
            <w:pPr>
              <w:pStyle w:val="TableContents"/>
              <w:spacing w:lineRule="atLeast" w:line="240" w:before="0" w:after="0"/>
              <w:rPr/>
            </w:pPr>
            <w:r>
              <w:rPr>
                <w:spacing w:val="-4"/>
              </w:rPr>
              <w:t>PROPOSAL 3</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25" w:type="dxa"/>
            <w:tcBorders/>
            <w:shd w:fill="auto" w:val="clear"/>
            <w:vAlign w:val="center"/>
          </w:tcPr>
          <w:p>
            <w:pPr>
              <w:pStyle w:val="TableContents"/>
              <w:spacing w:lineRule="atLeast" w:line="240" w:before="0" w:after="0"/>
              <w:rPr/>
            </w:pPr>
            <w:r>
              <w:rPr>
                <w:spacing w:val="-4"/>
              </w:rPr>
              <w:t>Advisory Vote on Executive Compensation</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3" w:type="dxa"/>
            <w:tcBorders/>
            <w:shd w:fill="auto" w:val="clear"/>
            <w:vAlign w:val="center"/>
          </w:tcPr>
          <w:p>
            <w:pPr>
              <w:pStyle w:val="TableContents"/>
              <w:spacing w:before="0" w:after="0"/>
              <w:rPr/>
            </w:pPr>
            <w:r>
              <w:rPr/>
              <w:drawing>
                <wp:inline distT="0" distB="0" distL="0" distR="0">
                  <wp:extent cx="219075" cy="161925"/>
                  <wp:effectExtent l="0" t="0" r="0" b="0"/>
                  <wp:docPr id="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 descr=""/>
                          <pic:cNvPicPr>
                            <a:picLocks noChangeAspect="1" noChangeArrowheads="1"/>
                          </pic:cNvPicPr>
                        </pic:nvPicPr>
                        <pic:blipFill>
                          <a:blip r:embed="rId13"/>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73" w:type="dxa"/>
            <w:tcBorders/>
            <w:shd w:fill="auto" w:val="clear"/>
            <w:vAlign w:val="center"/>
          </w:tcPr>
          <w:p>
            <w:pPr>
              <w:pStyle w:val="TableContents"/>
              <w:spacing w:lineRule="atLeast" w:line="240" w:before="0" w:after="0"/>
              <w:rPr/>
            </w:pPr>
            <w:r>
              <w:rPr>
                <w:spacing w:val="-4"/>
              </w:rPr>
              <w:t>Recommendation of the Board</w:t>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25" w:type="dxa"/>
            <w:tcBorders/>
            <w:shd w:fill="auto" w:val="clear"/>
            <w:vAlign w:val="center"/>
          </w:tcPr>
          <w:p>
            <w:pPr>
              <w:pStyle w:val="TableContents"/>
              <w:spacing w:before="0" w:after="0"/>
              <w:rPr>
                <w:spacing w:val="4"/>
              </w:rPr>
            </w:pPr>
            <w:r>
              <w:rPr>
                <w:spacing w:val="4"/>
              </w:rPr>
              <w:t xml:space="preserve">The Dodd-Frank Wall Street Reform and Consumer Protection Act (the “Dodd-Frank Act”) requires us to provide an advisory stockholder vote to approve the compensation of our named executive officers (“NEOs”), as such compensation is disclosed pursuant to the disclosure rules of the Securities and Exchange Commission. Accordingly, we are providing our stockholders with the opportunity to cast an advisory vote on the fiscal 2022 compensation of our NEOs as disclosed in this proxy statement, including the Compensation Discussion and Analysis, the compensation tables and other narrative executive compensation disclosures (the “Say-on-Pay Vote”). </w:t>
            </w:r>
          </w:p>
          <w:p>
            <w:pPr>
              <w:pStyle w:val="TableContents"/>
              <w:spacing w:before="120" w:after="283"/>
              <w:rPr>
                <w:spacing w:val="4"/>
              </w:rPr>
            </w:pPr>
            <w:r>
              <w:rPr>
                <w:spacing w:val="4"/>
              </w:rPr>
              <w:t xml:space="preserve">Stockholders are being asked to vote on the following resolution: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73" w:type="dxa"/>
            <w:tcBorders/>
            <w:shd w:fill="auto" w:val="clear"/>
            <w:vAlign w:val="center"/>
          </w:tcPr>
          <w:p>
            <w:pPr>
              <w:pStyle w:val="TableContents"/>
              <w:spacing w:before="0" w:after="283"/>
              <w:rPr/>
            </w:pPr>
            <w:r>
              <w:rPr>
                <w:spacing w:val="4"/>
              </w:rPr>
              <w:t>The Board Recommends a Vote “</w:t>
            </w:r>
            <w:r>
              <w:rPr>
                <w:b/>
                <w:spacing w:val="-4"/>
              </w:rPr>
              <w:t>FOR</w:t>
            </w:r>
            <w:r>
              <w:rPr>
                <w:spacing w:val="4"/>
              </w:rPr>
              <w:t>” this Proposal.</w:t>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25" w:type="dxa"/>
            <w:tcBorders/>
            <w:shd w:fill="auto" w:val="clear"/>
            <w:vAlign w:val="center"/>
          </w:tcPr>
          <w:p>
            <w:pPr>
              <w:pStyle w:val="TableContents"/>
              <w:spacing w:before="0" w:after="283"/>
              <w:rPr/>
            </w:pPr>
            <w:r>
              <w:rPr>
                <w:spacing w:val="-4"/>
              </w:rPr>
              <w:t>“</w:t>
            </w:r>
            <w:r>
              <w:rPr>
                <w:spacing w:val="-4"/>
              </w:rPr>
              <w:t>RESOLVED, that the compensation paid to the company’s named executive officers, as disclosed pursuant to Item 402 of Regulation S-K, including the Compensation Discussion and Analysis, compensation tables and narrative disclosure is hereby APPROVED.”</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38"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25" w:type="dxa"/>
            <w:tcBorders/>
            <w:shd w:fill="auto" w:val="clear"/>
            <w:vAlign w:val="center"/>
          </w:tcPr>
          <w:p>
            <w:pPr>
              <w:pStyle w:val="TableContents"/>
              <w:spacing w:before="0" w:after="0"/>
              <w:rPr/>
            </w:pPr>
            <w:r>
              <w:rPr>
                <w:spacing w:val="4"/>
              </w:rPr>
              <w:t>Our compensation program is designed to attract, motivate, and retain top talent and drive long-term value. We seek to achieve these objectives through our use of the following compensation initiatives:</w:t>
            </w:r>
            <w:r>
              <w:rPr/>
              <w:t xml:space="preserve"> </w:t>
            </w:r>
          </w:p>
          <w:p>
            <w:pPr>
              <w:pStyle w:val="TableContents"/>
              <w:spacing w:lineRule="atLeast" w:line="240" w:before="160" w:after="0"/>
              <w:ind w:left="200" w:right="0" w:hanging="0"/>
              <w:jc w:val="left"/>
              <w:rPr/>
            </w:pPr>
            <w:r>
              <w:rPr>
                <w:spacing w:val="4"/>
              </w:rPr>
              <w:t>Provide competitive compensation opportunities in order to attract and retain talented, high performing and experienced executive officers, whose knowledge, skills and performance are critical to our success;</w:t>
            </w:r>
            <w:r>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1"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Motivate our executive officers to achieve our business and financial objectives;</w:t>
            </w:r>
            <w:r>
              <w:rPr/>
              <w:t xml:space="preserve">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72"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pPr>
            <w:r>
              <w:rPr>
                <w:spacing w:val="4"/>
              </w:rPr>
              <w:t>Align the interests of our executive officers with those of our stockholders and our own corporate goals and objectives by tying a meaningful portion of compensation directly to the long-term value and growth of our business; and</w:t>
            </w:r>
            <w:r>
              <w:rPr/>
              <w:t xml:space="preserve">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73"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200" w:right="0" w:hanging="0"/>
              <w:jc w:val="left"/>
              <w:rPr>
                <w:spacing w:val="4"/>
              </w:rPr>
            </w:pPr>
            <w:r>
              <w:rPr>
                <w:spacing w:val="4"/>
              </w:rPr>
              <w:t xml:space="preserve">Conform compensation and governance with regular review of external market best practices.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74"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651"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2138"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4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25" w:type="dxa"/>
            <w:tcBorders/>
            <w:shd w:fill="auto" w:val="clear"/>
            <w:vAlign w:val="center"/>
          </w:tcPr>
          <w:p>
            <w:pPr>
              <w:pStyle w:val="TableContents"/>
              <w:spacing w:before="0" w:after="283"/>
              <w:rPr>
                <w:spacing w:val="4"/>
              </w:rPr>
            </w:pPr>
            <w:r>
              <w:rPr>
                <w:spacing w:val="4"/>
              </w:rPr>
              <w:t xml:space="preserve">This vote is not intended to address any specific item of compensation, but rather the overall compensation principles and practices and the fiscal 2022 compensation of our NEOs.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873"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4AV"/>
      <w:bookmarkEnd w:id="2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109"/>
        <w:gridCol w:w="109"/>
        <w:gridCol w:w="7553"/>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53" w:type="dxa"/>
            <w:tcBorders/>
            <w:shd w:fill="auto" w:val="clear"/>
            <w:vAlign w:val="center"/>
          </w:tcPr>
          <w:p>
            <w:pPr>
              <w:pStyle w:val="TableContents"/>
              <w:spacing w:before="0" w:after="283"/>
              <w:rPr>
                <w:spacing w:val="4"/>
              </w:rPr>
            </w:pPr>
            <w:r>
              <w:rPr>
                <w:spacing w:val="4"/>
              </w:rPr>
              <w:t xml:space="preserve">Although, as an advisory vote, this proposal is not binding upon the Company or the board of directors, the compensation committee, which is comprised solely of independent directors and is responsible for making decisions regarding the amount and form of compensation paid to our executive officers, will carefully consider the stockholder vote on this matter, along with all other expressions of stockholder views it receives on specific policies and desirable actions.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53" w:type="dxa"/>
            <w:tcBorders/>
            <w:shd w:fill="auto" w:val="clear"/>
            <w:vAlign w:val="center"/>
          </w:tcPr>
          <w:p>
            <w:pPr>
              <w:pStyle w:val="TableContents"/>
              <w:spacing w:before="0" w:after="283"/>
              <w:rPr>
                <w:spacing w:val="4"/>
              </w:rPr>
            </w:pPr>
            <w:r>
              <w:rPr>
                <w:spacing w:val="4"/>
              </w:rPr>
              <w:t xml:space="preserve">To help ensure that all stockholder views are well understood by the board, we also encourage stockholders to use any of a number of direct communication mechanisms to effectively raise specific issues or concerns with regard to our executive compensation principles and practices.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40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4: Advisory Vote to Determine the Frequency of Future Advisory Votes on Executive Compensation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352"/>
        <w:gridCol w:w="109"/>
        <w:gridCol w:w="109"/>
        <w:gridCol w:w="3872"/>
        <w:gridCol w:w="109"/>
        <w:gridCol w:w="109"/>
        <w:gridCol w:w="434"/>
        <w:gridCol w:w="109"/>
        <w:gridCol w:w="109"/>
        <w:gridCol w:w="2220"/>
        <w:gridCol w:w="156"/>
      </w:tblGrid>
      <w:tr>
        <w:trPr/>
        <w:tc>
          <w:tcPr>
            <w:tcW w:w="124" w:type="dxa"/>
            <w:tcBorders/>
            <w:shd w:fill="auto" w:val="clear"/>
            <w:vAlign w:val="center"/>
          </w:tcPr>
          <w:p>
            <w:pPr>
              <w:pStyle w:val="TableContents"/>
              <w:spacing w:before="0" w:after="283"/>
              <w:rPr/>
            </w:pPr>
            <w:r>
              <w:rPr/>
              <w:t>​</w:t>
            </w:r>
          </w:p>
        </w:tc>
        <w:tc>
          <w:tcPr>
            <w:tcW w:w="1352" w:type="dxa"/>
            <w:tcBorders/>
            <w:shd w:fill="auto" w:val="clear"/>
            <w:vAlign w:val="center"/>
          </w:tcPr>
          <w:p>
            <w:pPr>
              <w:pStyle w:val="TableContents"/>
              <w:spacing w:lineRule="atLeast" w:line="240" w:before="0" w:after="0"/>
              <w:rPr/>
            </w:pPr>
            <w:r>
              <w:rPr>
                <w:spacing w:val="-4"/>
              </w:rPr>
              <w:t>PROPOSAL 4</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72" w:type="dxa"/>
            <w:tcBorders/>
            <w:shd w:fill="auto" w:val="clear"/>
            <w:vAlign w:val="center"/>
          </w:tcPr>
          <w:p>
            <w:pPr>
              <w:pStyle w:val="TableContents"/>
              <w:spacing w:lineRule="atLeast" w:line="240" w:before="0" w:after="0"/>
              <w:rPr/>
            </w:pPr>
            <w:r>
              <w:rPr>
                <w:spacing w:val="-4"/>
              </w:rPr>
              <w:t>Advisory Vote to Determine the Frequency of Future Advisory Votes on Executive Compensation</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4" w:type="dxa"/>
            <w:tcBorders/>
            <w:shd w:fill="auto" w:val="clear"/>
            <w:vAlign w:val="center"/>
          </w:tcPr>
          <w:p>
            <w:pPr>
              <w:pStyle w:val="TableContents"/>
              <w:spacing w:before="0" w:after="0"/>
              <w:rPr/>
            </w:pPr>
            <w:r>
              <w:rPr/>
              <w:drawing>
                <wp:inline distT="0" distB="0" distL="0" distR="0">
                  <wp:extent cx="219075" cy="161925"/>
                  <wp:effectExtent l="0" t="0" r="0" b="0"/>
                  <wp:docPr id="7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3" descr=""/>
                          <pic:cNvPicPr>
                            <a:picLocks noChangeAspect="1" noChangeArrowheads="1"/>
                          </pic:cNvPicPr>
                        </pic:nvPicPr>
                        <pic:blipFill>
                          <a:blip r:embed="rId14"/>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20" w:type="dxa"/>
            <w:tcBorders/>
            <w:shd w:fill="auto" w:val="clear"/>
            <w:vAlign w:val="center"/>
          </w:tcPr>
          <w:p>
            <w:pPr>
              <w:pStyle w:val="TableContents"/>
              <w:spacing w:lineRule="atLeast" w:line="240" w:before="0" w:after="0"/>
              <w:rPr/>
            </w:pPr>
            <w:r>
              <w:rPr>
                <w:spacing w:val="-4"/>
              </w:rPr>
              <w:t>Recommendation of the Board</w:t>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5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72" w:type="dxa"/>
            <w:tcBorders/>
            <w:shd w:fill="auto" w:val="clear"/>
            <w:vAlign w:val="center"/>
          </w:tcPr>
          <w:p>
            <w:pPr>
              <w:pStyle w:val="TableContents"/>
              <w:spacing w:before="0" w:after="283"/>
              <w:rPr>
                <w:spacing w:val="4"/>
              </w:rPr>
            </w:pPr>
            <w:r>
              <w:rPr>
                <w:spacing w:val="4"/>
              </w:rPr>
              <w:t xml:space="preserve">The Dodd-Frank Act requires us to provide an advisory stockholder vote with respect to how often to present the Say-on-Pay Vote. We must solicit your advisory vote on whether to have the Say-on-Pay Vote every 1, 2 or 3 years.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3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20" w:type="dxa"/>
            <w:tcBorders/>
            <w:shd w:fill="auto" w:val="clear"/>
            <w:vAlign w:val="center"/>
          </w:tcPr>
          <w:p>
            <w:pPr>
              <w:pStyle w:val="TableContents"/>
              <w:spacing w:before="0" w:after="283"/>
              <w:rPr/>
            </w:pPr>
            <w:r>
              <w:rPr>
                <w:spacing w:val="4"/>
              </w:rPr>
              <w:t>The Board Recommends a Vote of “</w:t>
            </w:r>
            <w:r>
              <w:rPr>
                <w:b/>
                <w:spacing w:val="-4"/>
              </w:rPr>
              <w:t>1 Year</w:t>
            </w:r>
            <w:r>
              <w:rPr>
                <w:spacing w:val="4"/>
              </w:rPr>
              <w:t xml:space="preserve">” for the Frequency of Future Advisory Say-On-Pay Votes.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5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72" w:type="dxa"/>
            <w:tcBorders/>
            <w:shd w:fill="auto" w:val="clear"/>
            <w:vAlign w:val="center"/>
          </w:tcPr>
          <w:p>
            <w:pPr>
              <w:pStyle w:val="TableContents"/>
              <w:spacing w:before="0" w:after="283"/>
              <w:rPr/>
            </w:pPr>
            <w:r>
              <w:rPr>
                <w:spacing w:val="4"/>
              </w:rPr>
              <w:t>Accordingly, we are providing its stockholders with the opportunity to cast an advisory vote as to the appropriate frequency for the Say-on-Pay Vote. Stockholders may vote as to whether the Say-on-Pay Vote should occur every 1, 2 or 3 years, or may abstain from voting on the matter.</w:t>
            </w:r>
            <w:r>
              <w:rPr/>
              <w:t xml:space="preserve"> </w:t>
            </w:r>
          </w:p>
        </w:tc>
        <w:tc>
          <w:tcPr>
            <w:tcW w:w="109" w:type="dxa"/>
            <w:tcBorders/>
            <w:shd w:fill="auto" w:val="clear"/>
            <w:vAlign w:val="center"/>
          </w:tcPr>
          <w:p>
            <w:pPr>
              <w:pStyle w:val="TableContents"/>
              <w:spacing w:before="0" w:after="283"/>
              <w:rPr/>
            </w:pPr>
            <w:r>
              <w:rPr/>
              <w:t>​</w:t>
            </w:r>
          </w:p>
        </w:tc>
        <w:tc>
          <w:tcPr>
            <w:tcW w:w="652"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2485"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35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72" w:type="dxa"/>
            <w:tcBorders/>
            <w:shd w:fill="auto" w:val="clear"/>
            <w:vAlign w:val="center"/>
          </w:tcPr>
          <w:p>
            <w:pPr>
              <w:pStyle w:val="TableContents"/>
              <w:spacing w:before="0" w:after="0"/>
              <w:rPr/>
            </w:pPr>
            <w:r>
              <w:rPr>
                <w:spacing w:val="4"/>
              </w:rPr>
              <w:t>We value the opinion of our stockholders and believe that an annual Say-on-Pay Vote will best reinforce our desire to communicate with our stockholders. An annual Say-on-Pay Vote will allow our stockholders to regularly express a view on our compensation policies and practices.</w:t>
            </w:r>
            <w:r>
              <w:rPr/>
              <w:t xml:space="preserve"> </w:t>
            </w:r>
          </w:p>
          <w:p>
            <w:pPr>
              <w:pStyle w:val="TableContents"/>
              <w:spacing w:before="120" w:after="283"/>
              <w:rPr/>
            </w:pPr>
            <w:r>
              <w:rPr>
                <w:spacing w:val="4"/>
              </w:rPr>
              <w:t>Although, as an advisory vote, this proposal is not binding upon the Company or the Board, the compensation committee, which is comprised solely of independent directors and is responsible for making decisions regarding the amount and form of compensation paid to our executive officers, will each carefully consider the stockholder vote on this matter, along with all other expressions of stockholder views received on this matter.</w:t>
            </w:r>
            <w:r>
              <w:rPr/>
              <w:t xml:space="preserve"> </w:t>
            </w:r>
          </w:p>
        </w:tc>
        <w:tc>
          <w:tcPr>
            <w:tcW w:w="109" w:type="dxa"/>
            <w:tcBorders/>
            <w:shd w:fill="auto" w:val="clear"/>
            <w:vAlign w:val="center"/>
          </w:tcPr>
          <w:p>
            <w:pPr>
              <w:pStyle w:val="TableContents"/>
              <w:spacing w:before="0" w:after="283"/>
              <w:rPr/>
            </w:pPr>
            <w:r>
              <w:rPr/>
              <w:t>​</w:t>
            </w:r>
          </w:p>
        </w:tc>
        <w:tc>
          <w:tcPr>
            <w:tcW w:w="652"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2485"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DAA"/>
      <w:bookmarkEnd w:id="23"/>
      <w:r>
        <w:rPr>
          <w:rFonts w:ascii="calibri;arial;sans-serif" w:hAnsi="calibri;arial;sans-serif"/>
          <w:b w:val="false"/>
          <w:i w:val="false"/>
          <w:caps w:val="false"/>
          <w:smallCaps w:val="false"/>
          <w:color w:val="000000"/>
          <w:sz w:val="16"/>
        </w:rPr>
        <w:t>​</w:t>
      </w:r>
      <w:bookmarkStart w:id="24" w:name="tCDAN"/>
      <w:bookmarkEnd w:id="24"/>
      <w:r>
        <w:rPr>
          <w:rFonts w:ascii="calibri;arial;sans-serif" w:hAnsi="calibri;arial;sans-serif"/>
          <w:b w:val="false"/>
          <w:i w:val="false"/>
          <w:caps w:val="false"/>
          <w:smallCaps w:val="false"/>
          <w:color w:val="000000"/>
          <w:sz w:val="16"/>
        </w:rPr>
        <w:t>​</w:t>
      </w:r>
      <w:bookmarkStart w:id="25" w:name="tORVI"/>
      <w:bookmarkEnd w:id="25"/>
      <w:r>
        <w:rPr>
          <w:rFonts w:ascii="calibri;arial;sans-serif" w:hAnsi="calibri;arial;sans-serif"/>
          <w:b w:val="false"/>
          <w:i w:val="false"/>
          <w:caps w:val="false"/>
          <w:smallCaps w:val="false"/>
          <w:color w:val="000000"/>
          <w:sz w:val="16"/>
        </w:rPr>
        <w:t>​</w:t>
      </w:r>
      <w:bookmarkStart w:id="26" w:name="tPEOC"/>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section describes our compensation approach and programs for our NEOs, which include our Chief Executive Officer, Chief Financial Officer, and our three other most highly compensated executive officers for the year ended December 31, 2022. Except as otherwise indicated, the information in this section relates to the compensation of our NEOs, and the principles underlying our executive compensation policies, in respect of fiscal year 2022. Our NEOs for the year ended December 31, 2022 were as follows: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Amnon Shashua, Chief Executive Officer; </w:t>
      </w:r>
      <w:r>
        <mc:AlternateContent>
          <mc:Choice Requires="wps">
            <w:drawing>
              <wp:anchor behindDoc="0" distT="723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76"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Anat Heller, Chief Financial Officer;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77"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Shai Shalev-Shwartz, Chief Technology Officer;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78"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Gavriel (Gaby) Hayon, Executive Vice President, Research &amp; Development; and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79"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Nimrod Nehushtan, Senior Vice President Business Development &amp; Strategy and Co-Manager REM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80"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relates to the compensation of our NEOs whose compensation is disclosed below in the “Summary Compensation Table.”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objective of our executive compensation program is to attract, motivate and retain top talent and drive long-term value. We seek to achieve these objectives through our use of the following compensation initiatives: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competitive compensation opportunities in order to attract and retain talented, high performing and experienced executive officers, whose knowledge, skills and performance are critical to our success;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81"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motivate our executive officers to achieve our business and financial objectives;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82"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the interests of our executive officers with those of our stockholders and our own corporate goals and objectives by tying a meaningful portion of compensation directly to the long-term value and growth of our business; and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83"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compensation and governance with regular review of external market best practices.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84"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that become relevant to us as a publicly traded company.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Elements of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NEOs consists of two primary elements: (i) base salary and (ii) equity compensation. Our model focuses on equity compensation as the key element of total compensation. A meaningful portion of executive pay is tied directly to stockholder outcomes and value creation through annual grants of restricted stock units (“RSUs”).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Base Salaries</w:t>
      </w:r>
      <w:r>
        <w:rPr>
          <w:rFonts w:ascii="Times New Roman;Times;serif" w:hAnsi="Times New Roman;Times;serif"/>
          <w:b w:val="false"/>
          <w:i w:val="false"/>
          <w:caps w:val="false"/>
          <w:smallCaps w:val="false"/>
          <w:color w:val="000000"/>
          <w:spacing w:val="4"/>
          <w:sz w:val="20"/>
        </w:rPr>
        <w:t xml:space="preserve">.   Base salary is provided as a fixed source of compensation for our executive officers, including our NEOs. Adjustments to base salaries are expected to be determined annually and base salaries may be increased based on the NEO’s performance, as well as to maintain market competitiveness. Additionally, base salaries can be adjusted as warranted throughout the year to reflect promotions or other changes in the scope of breadth of an executive officer’s role or responsibilities.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CP"/>
      <w:bookmarkEnd w:id="27"/>
      <w:r>
        <w:rPr>
          <w:rFonts w:ascii="calibri;arial;sans-serif" w:hAnsi="calibri;arial;sans-serif"/>
          <w:b w:val="false"/>
          <w:i w:val="false"/>
          <w:caps w:val="false"/>
          <w:smallCaps w:val="false"/>
          <w:color w:val="000000"/>
          <w:sz w:val="16"/>
        </w:rPr>
        <w:t>​</w:t>
      </w:r>
      <w:bookmarkStart w:id="28" w:name="tRCCT"/>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Cash Compensation</w:t>
      </w:r>
      <w:r>
        <w:rPr>
          <w:rFonts w:ascii="Times New Roman;Times;serif" w:hAnsi="Times New Roman;Times;serif"/>
          <w:b w:val="false"/>
          <w:i w:val="false"/>
          <w:caps w:val="false"/>
          <w:smallCaps w:val="false"/>
          <w:color w:val="000000"/>
          <w:spacing w:val="4"/>
          <w:sz w:val="20"/>
        </w:rPr>
        <w:t xml:space="preserve">.   We do not currently provide our NEOs with annual cash incentives or other regular cash bonuses or sales commissions.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Compensation</w:t>
      </w:r>
      <w:r>
        <w:rPr>
          <w:rFonts w:ascii="Times New Roman;Times;serif" w:hAnsi="Times New Roman;Times;serif"/>
          <w:b w:val="false"/>
          <w:i w:val="false"/>
          <w:caps w:val="false"/>
          <w:smallCaps w:val="false"/>
          <w:color w:val="000000"/>
          <w:spacing w:val="4"/>
          <w:sz w:val="20"/>
        </w:rPr>
        <w:t xml:space="preserve">.   Equity based compensation is provided to our NEOs to align their interests with those of our stockholders and is a significant component of our compensation program. Annual equity awards are generally made through time-based restricted stock units and, on occasion, performance- based restricted stock units. Such annual equity awards provide personal long-term incentives based on talent assessment, level of contribution and performance. We adopted a new equity incentive plan in connection with the Mobileye IPO, as described below under “— Equity-Based Compensation Following the Mobileye IPO.”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2022 and prior to the Mobileye IPO, the appropriate levels of annual salary and equity compensation in the form of RSUs to our CEO were determined by Intel Corporation’s Human Resources department and its CEO. For our NEOs other than our CEO, the appropriate levels of annual salary were determined by our CEO and our Human Resources Department, subject to the approval of Intel Corporation, and equity compensation in the form of RSUs was determined by our board of directors. Following the Mobileye IPO and for the remainder of fiscal year 2022, the appropriate levels of annual salary and equity compensation were subject to the approval of the compensation committee of our board of directors. Such determinations took into account each NEO’s experience and roles as well as the compensation practices of similar companies in our industry.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our transition to being a publicly traded company, our compensation committee is responsible for, or assists our board of directors in, fulfilling its governance and supervisory responsibilities, and overseeing our human resources, succession planning, and compensation policies, processes and practices. Our compensation committee is also responsible for ensuring that our compensation policies and practices appropriately balance risk and reward consistent with our risk profile and do not encourage excessive risk- taking behavior by our executive officers, including our NEOs.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closing of the Mobileye IPO, our board of directors adopted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includes reviewing compensation objectives, evaluating performance, and ensuring that total compensation paid to executive officers, including our NEOs, is reasonable, and consistent with the objectives and philosophy of our compensation program.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Mobileye IPO for the year ended December 31, 2022, on behalf of Mobileye, Intel engaged a compensation consultant (as described below) to provide support in the review and assessment of our executive compensation program in connection with the Mobileye IPO. However, following the Mobileye IPO, the compensation committee exercises its own judgment in making final decisions with respect to the compensation of our NEOs.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and prior to the Mobileye IPO, Semler Brossy, a national compensation consulting firm, was engaged by Intel as an independent consultant to provide information, analysis and other advice regarding the compensation of our NEOs. Intel paid for all fees associated with the services Semler Brossy provided with respect to Mobileye. Semler Brossy provided various services, including the following: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review and analysis of base salary levels for our NEOs;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85"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review and analysis of equity compensation for our NEOs;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86"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assessment of executive compensation trends; and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87"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support on other ad hoc matters throughout the fiscal year.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largest"/>
                <wp:docPr id="88"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CWB"/>
      <w:bookmarkEnd w:id="2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Semler Brossy did not provide any other services to us. Semler Brossy has not provided any services to Mobileye following the Mobileye IPO.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Risk</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Salaries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initial salaries of our NEOs were established through arm’s length negotiation at the time the individual executive officer was hired. Following the determination of initial salaries, over the years we have conducted annual reviews of each NEO’s base salary and have adjusted as necessary to reflect individual contributions and responsibilities and to maintain market competitiveness.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years 2022 and 2021, our NEOs received the following base salaries in accordance with the policies described above: </w:t>
      </w:r>
    </w:p>
    <w:tbl>
      <w:tblPr>
        <w:tblW w:w="7173" w:type="dxa"/>
        <w:jc w:val="left"/>
        <w:tblInd w:w="1393" w:type="dxa"/>
        <w:tblCellMar>
          <w:top w:w="0" w:type="dxa"/>
          <w:left w:w="0" w:type="dxa"/>
          <w:bottom w:w="43" w:type="dxa"/>
          <w:right w:w="0" w:type="dxa"/>
        </w:tblCellMar>
      </w:tblPr>
      <w:tblGrid>
        <w:gridCol w:w="2766"/>
        <w:gridCol w:w="109"/>
        <w:gridCol w:w="109"/>
        <w:gridCol w:w="109"/>
        <w:gridCol w:w="109"/>
        <w:gridCol w:w="886"/>
        <w:gridCol w:w="109"/>
        <w:gridCol w:w="109"/>
        <w:gridCol w:w="109"/>
        <w:gridCol w:w="109"/>
        <w:gridCol w:w="109"/>
        <w:gridCol w:w="886"/>
        <w:gridCol w:w="109"/>
        <w:gridCol w:w="109"/>
        <w:gridCol w:w="109"/>
        <w:gridCol w:w="160"/>
        <w:gridCol w:w="160"/>
        <w:gridCol w:w="692"/>
        <w:gridCol w:w="161"/>
        <w:gridCol w:w="154"/>
      </w:tblGrid>
      <w:tr>
        <w:trPr/>
        <w:tc>
          <w:tcPr>
            <w:tcW w:w="2766"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pPr>
            <w:r>
              <w:rPr>
                <w:spacing w:val="-3"/>
              </w:rPr>
              <w:t xml:space="preserve">2022 </w:t>
              <w:br/>
              <w:t>Salary</w:t>
            </w:r>
            <w:r>
              <w:rPr>
                <w:spacing w:val="-2"/>
                <w:sz w:val="10"/>
              </w:rPr>
              <w:t>(1)</w:t>
            </w:r>
            <w:r>
              <w:rPr/>
              <w:t xml:space="preserve"> </w:t>
              <w:br/>
            </w:r>
            <w:r>
              <w:rPr>
                <w:spacing w:val="-3"/>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pPr>
            <w:r>
              <w:rPr>
                <w:spacing w:val="-3"/>
              </w:rPr>
              <w:t xml:space="preserve">2021 </w:t>
              <w:br/>
              <w:t>Salary</w:t>
            </w:r>
            <w:r>
              <w:rPr>
                <w:spacing w:val="-2"/>
                <w:sz w:val="10"/>
              </w:rPr>
              <w:t>(1)</w:t>
            </w:r>
            <w:r>
              <w:rPr/>
              <w:t xml:space="preserve"> </w:t>
              <w:br/>
            </w:r>
            <w:r>
              <w:rPr>
                <w:spacing w:val="-3"/>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7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Percentage </w:t>
              <w:br/>
              <w:t>Increase</w:t>
            </w:r>
            <w:r>
              <w:rPr>
                <w:spacing w:val="-2"/>
                <w:sz w:val="10"/>
              </w:rPr>
              <w:t>(2)</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766" w:type="dxa"/>
            <w:tcBorders/>
            <w:shd w:fill="CCEEFF" w:val="clear"/>
            <w:tcMar>
              <w:bottom w:w="0" w:type="dxa"/>
            </w:tcMar>
            <w:vAlign w:val="center"/>
          </w:tcPr>
          <w:p>
            <w:pPr>
              <w:pStyle w:val="TableContents"/>
              <w:spacing w:before="0" w:after="0"/>
              <w:jc w:val="left"/>
              <w:rPr>
                <w:spacing w:val="4"/>
              </w:rPr>
            </w:pPr>
            <w:r>
              <w:rPr>
                <w:spacing w:val="4"/>
              </w:rPr>
              <w:t xml:space="preserve">Prof. Amnon Shashua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758,595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263,417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692" w:type="dxa"/>
            <w:tcBorders/>
            <w:shd w:fill="CCEEFF" w:val="clear"/>
            <w:tcMar>
              <w:bottom w:w="0" w:type="dxa"/>
            </w:tcMar>
            <w:vAlign w:val="center"/>
          </w:tcPr>
          <w:p>
            <w:pPr>
              <w:pStyle w:val="TableContents"/>
              <w:spacing w:before="0" w:after="283"/>
              <w:jc w:val="right"/>
              <w:rPr/>
            </w:pPr>
            <w:r>
              <w:rPr/>
              <w:t>322%</w:t>
            </w:r>
          </w:p>
        </w:tc>
        <w:tc>
          <w:tcPr>
            <w:tcW w:w="16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766" w:type="dxa"/>
            <w:tcBorders/>
            <w:shd w:fill="auto" w:val="clear"/>
            <w:tcMar>
              <w:bottom w:w="0" w:type="dxa"/>
            </w:tcMar>
            <w:vAlign w:val="center"/>
          </w:tcPr>
          <w:p>
            <w:pPr>
              <w:pStyle w:val="TableContents"/>
              <w:spacing w:before="0" w:after="0"/>
              <w:jc w:val="left"/>
              <w:rPr>
                <w:spacing w:val="4"/>
              </w:rPr>
            </w:pPr>
            <w:r>
              <w:rPr>
                <w:spacing w:val="4"/>
              </w:rPr>
              <w:t xml:space="preserve">Anat Heller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237,835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265,780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692" w:type="dxa"/>
            <w:tcBorders/>
            <w:shd w:fill="auto" w:val="clear"/>
            <w:tcMar>
              <w:bottom w:w="0" w:type="dxa"/>
            </w:tcMar>
            <w:vAlign w:val="center"/>
          </w:tcPr>
          <w:p>
            <w:pPr>
              <w:pStyle w:val="TableContents"/>
              <w:spacing w:before="0" w:after="283"/>
              <w:jc w:val="right"/>
              <w:rPr/>
            </w:pPr>
            <w:r>
              <w:rPr/>
              <w:t>0%</w:t>
            </w:r>
          </w:p>
        </w:tc>
        <w:tc>
          <w:tcPr>
            <w:tcW w:w="16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766" w:type="dxa"/>
            <w:tcBorders/>
            <w:shd w:fill="CCEEFF" w:val="clear"/>
            <w:tcMar>
              <w:bottom w:w="0" w:type="dxa"/>
            </w:tcMar>
            <w:vAlign w:val="center"/>
          </w:tcPr>
          <w:p>
            <w:pPr>
              <w:pStyle w:val="TableContents"/>
              <w:spacing w:before="0" w:after="0"/>
              <w:jc w:val="left"/>
              <w:rPr>
                <w:spacing w:val="4"/>
              </w:rPr>
            </w:pPr>
            <w:r>
              <w:rPr>
                <w:spacing w:val="4"/>
              </w:rPr>
              <w:t xml:space="preserve">Prof. Shai Shalev-Shwartz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681,142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761,175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jc w:val="right"/>
              <w:rPr/>
            </w:pPr>
            <w:r>
              <w:rPr/>
              <w:t>​</w:t>
            </w:r>
          </w:p>
        </w:tc>
        <w:tc>
          <w:tcPr>
            <w:tcW w:w="692" w:type="dxa"/>
            <w:tcBorders/>
            <w:shd w:fill="CCEEFF" w:val="clear"/>
            <w:tcMar>
              <w:bottom w:w="0" w:type="dxa"/>
            </w:tcMar>
            <w:vAlign w:val="center"/>
          </w:tcPr>
          <w:p>
            <w:pPr>
              <w:pStyle w:val="TableContents"/>
              <w:spacing w:before="0" w:after="283"/>
              <w:jc w:val="right"/>
              <w:rPr/>
            </w:pPr>
            <w:r>
              <w:rPr/>
              <w:t>0%</w:t>
            </w:r>
          </w:p>
        </w:tc>
        <w:tc>
          <w:tcPr>
            <w:tcW w:w="16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766" w:type="dxa"/>
            <w:tcBorders/>
            <w:shd w:fill="auto" w:val="clear"/>
            <w:tcMar>
              <w:bottom w:w="0" w:type="dxa"/>
            </w:tcMar>
            <w:vAlign w:val="center"/>
          </w:tcPr>
          <w:p>
            <w:pPr>
              <w:pStyle w:val="TableContents"/>
              <w:spacing w:before="0" w:after="0"/>
              <w:jc w:val="left"/>
              <w:rPr>
                <w:spacing w:val="4"/>
              </w:rPr>
            </w:pPr>
            <w:r>
              <w:rPr>
                <w:spacing w:val="4"/>
              </w:rPr>
              <w:t xml:space="preserve">Dr. Hayon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236,147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263,893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jc w:val="right"/>
              <w:rPr/>
            </w:pPr>
            <w:r>
              <w:rPr/>
              <w:t>​</w:t>
            </w:r>
          </w:p>
        </w:tc>
        <w:tc>
          <w:tcPr>
            <w:tcW w:w="692" w:type="dxa"/>
            <w:tcBorders/>
            <w:shd w:fill="auto" w:val="clear"/>
            <w:tcMar>
              <w:bottom w:w="0" w:type="dxa"/>
            </w:tcMar>
            <w:vAlign w:val="center"/>
          </w:tcPr>
          <w:p>
            <w:pPr>
              <w:pStyle w:val="TableContents"/>
              <w:spacing w:before="0" w:after="283"/>
              <w:jc w:val="right"/>
              <w:rPr/>
            </w:pPr>
            <w:r>
              <w:rPr/>
              <w:t>0%</w:t>
            </w:r>
          </w:p>
        </w:tc>
        <w:tc>
          <w:tcPr>
            <w:tcW w:w="16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766" w:type="dxa"/>
            <w:tcBorders/>
            <w:shd w:fill="CCEEFF" w:val="clear"/>
            <w:tcMar>
              <w:bottom w:w="0" w:type="dxa"/>
            </w:tcMar>
            <w:vAlign w:val="center"/>
          </w:tcPr>
          <w:p>
            <w:pPr>
              <w:pStyle w:val="TableContents"/>
              <w:spacing w:before="0" w:after="0"/>
              <w:jc w:val="left"/>
              <w:rPr>
                <w:spacing w:val="4"/>
              </w:rPr>
            </w:pPr>
            <w:r>
              <w:rPr>
                <w:spacing w:val="4"/>
              </w:rPr>
              <w:t xml:space="preserve">Nimrod Nehushtan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179,832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3" w:type="dxa"/>
            <w:gridSpan w:val="4"/>
            <w:tcBorders/>
            <w:shd w:fill="CCEEFF" w:val="clear"/>
            <w:tcMar>
              <w:bottom w:w="0" w:type="dxa"/>
            </w:tcMar>
            <w:vAlign w:val="center"/>
          </w:tcPr>
          <w:p>
            <w:pPr>
              <w:pStyle w:val="TableContents"/>
              <w:spacing w:before="0" w:after="0"/>
              <w:jc w:val="center"/>
              <w:rPr/>
            </w:pPr>
            <w:r>
              <w:rPr>
                <w:spacing w:val="4"/>
              </w:rPr>
              <w:t>N/A</w:t>
            </w:r>
            <w:r>
              <w:rPr/>
              <w:t xml:space="preserve"> </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salary figures include an amount reflecting global overtime and a high-tech addition, which is a fixed salary component for each NEO, as applicable. Such high-tech addition component was cancelled in March 2022, to all of the Company’s employees, and the component amount was divided between the base salary and global overtime component. </w:t>
      </w:r>
      <w:r>
        <mc:AlternateContent>
          <mc:Choice Requires="wps">
            <w:drawing>
              <wp:anchor behindDoc="0" distT="9779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largest"/>
                <wp:docPr id="89" name="Frame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percentage increases were calculated based on the salary amounts in NIS, which is the currency that was used to pay these salaries. The amounts were converted according to the closing foreign exchange rate of U.S. dollar/NIS for December 31, 2022 at $1/NIS3.519 and for December 25, 2021 at $1/NIS 3.149. </w:t>
      </w:r>
      <w:r>
        <mc:AlternateContent>
          <mc:Choice Requires="wps">
            <w:drawing>
              <wp:anchor behindDoc="0" distT="4699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largest"/>
                <wp:docPr id="90" name="Frame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Compensation — Retirement and Welfare Benefits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Pension and Severance Benefits</w:t>
      </w:r>
      <w:r>
        <w:rPr>
          <w:rFonts w:ascii="Times New Roman;Times;serif" w:hAnsi="Times New Roman;Times;serif"/>
          <w:b w:val="false"/>
          <w:i w:val="false"/>
          <w:caps w:val="false"/>
          <w:smallCaps w:val="false"/>
          <w:color w:val="000000"/>
          <w:spacing w:val="4"/>
          <w:sz w:val="20"/>
        </w:rPr>
        <w:t xml:space="preserve">.   In Israel, we generally provide our executives, including our 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 (iii)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largest"/>
                <wp:docPr id="91"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EBCS"/>
      <w:bookmarkEnd w:id="3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Health and Welfare Plans</w:t>
      </w:r>
      <w:r>
        <w:rPr>
          <w:rFonts w:ascii="Times New Roman;Times;serif" w:hAnsi="Times New Roman;Times;serif"/>
          <w:b w:val="false"/>
          <w:i w:val="false"/>
          <w:caps w:val="false"/>
          <w:smallCaps w:val="false"/>
          <w:color w:val="000000"/>
          <w:spacing w:val="4"/>
          <w:sz w:val="20"/>
        </w:rPr>
        <w:t xml:space="preserve">.   Generally, benefits available to our Israel-based employees are available 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 These amounts also include payments for national health insurance. The payments to the National Insurance Institute amount to approximately 19.6% of wages (up to monthly wages of approximately NIS 48,065, approximately $13,659), of which the employee contributes approximately 7% toward national insurance and 5% toward national health insurance and the employer contributes approximately 7.6% toward national insurance.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92"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Benefits and Perquisites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Lease of Automobiles</w:t>
      </w:r>
      <w:r>
        <w:rPr>
          <w:rFonts w:ascii="Times New Roman;Times;serif" w:hAnsi="Times New Roman;Times;serif"/>
          <w:b w:val="false"/>
          <w:i w:val="false"/>
          <w:caps w:val="false"/>
          <w:smallCaps w:val="false"/>
          <w:color w:val="000000"/>
          <w:spacing w:val="4"/>
          <w:sz w:val="20"/>
        </w:rPr>
        <w:t xml:space="preserve">.   As is customary in Israel, we lease automobiles for certain of our NEOs, including for Ms. Heller and Prof. Shwartz. The lease amount and the applicable taxes are deducted from Ms. Heller’s salary on a monthly basis (NIS 4,900, approximately $1,392, per month). Prof. Shwartz’s automobile lease is paid for by the Company and Prof. Shwartz pays for the taxes incurred in connection with this benefit.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93"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Equity-Based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Equity-Based Compensation Prior to the Mobileye IPO</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Mobileye IPO, executive officers of the Company were incentivized and rewarded through the grant of Intel equity awards under the Intel Corporation 2006 Equity Incentive Plan (the “Intel Plan”). All outstanding equity awards awarded under the Intel Plan were awarded prior to the Mobileye IPO and will continue to vest and remain outstanding under the Intel Plan.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2017, when Mobileye was acquired by Intel, certain option awards held by then-current executives were converted into Intel option awards (the “2017 Options”). All 2017 Options that were granted to our NEOs are now fully vested. The option awards exercised in fiscal year 2022 are set forth in the “Option Exercises and Stock Vested Table” below. The 2017 Options that remain outstanding are reflected in the “Outstanding Equity Awards at Fiscal Year-End Table” below.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Equity-Based Compensation Following the Mobileye IPO</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Mobileye IPO, we established a compensation committee that is responsible for making recommendations for equity awards to be granted to our executive officers and making equity-based incentive awards under the Mobileye Global Inc. 2022 Equity Incentive Plan (the “2022 Plan”). The 2022 Plan was adopted by our board of directors on January 30, 2022 and approved by our stockholder on September 30, 2022. In October 2022, the Company’s board of directors approved grants of Mobileye restricted stock units (the “ME RSUs”) under the 2022 Plan to our executive officers as set forth in the “New Equity Awards” section, the “Summary Compensation Table” and “Grants of Plan-Based Awards in the Year Ended December 31, 2022,” table below.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awards may be granted to our NEOs on occasion. When granted, they are intended to align interests of executives with those of stockholders through the use of measures we believe drive long-term success for the Company. In fiscal year 2022, we did not grant any performance-based awards to our NEOs.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NEAW"/>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Shares</w:t>
      </w:r>
      <w:r>
        <w:rPr>
          <w:rFonts w:ascii="Times New Roman;Times;serif" w:hAnsi="Times New Roman;Times;serif"/>
          <w:b w:val="false"/>
          <w:i w:val="false"/>
          <w:caps w:val="false"/>
          <w:smallCaps w:val="false"/>
          <w:color w:val="000000"/>
          <w:spacing w:val="4"/>
          <w:sz w:val="20"/>
        </w:rPr>
        <w:t xml:space="preserve">.   The maximum number of shares that may be issued under the 2022 Plan is 40,095,595 shares, subject to adjustment upon certain changes in the Company’s capitalization. </w:t>
      </w:r>
    </w:p>
    <w:p>
      <w:pPr>
        <w:pStyle w:val="TextBody"/>
        <w:spacing w:lineRule="atLeast" w:line="240" w:before="10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The 2022 Plan is administered by our compensation committee. </w:t>
      </w:r>
    </w:p>
    <w:p>
      <w:pPr>
        <w:pStyle w:val="TextBody"/>
        <w:spacing w:lineRule="atLeast" w:line="24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Persons eligible to participate in the 2022 Plan are those employees, outside directors and consultants, as selected from time to time by our compensation committee in its discretion. </w:t>
      </w:r>
    </w:p>
    <w:p>
      <w:pPr>
        <w:pStyle w:val="TextBody"/>
        <w:spacing w:lineRule="atLeast" w:line="25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Types of Awards</w:t>
      </w:r>
      <w:r>
        <w:rPr>
          <w:rFonts w:ascii="Times New Roman;Times;serif" w:hAnsi="Times New Roman;Times;serif"/>
          <w:b w:val="false"/>
          <w:i w:val="false"/>
          <w:caps w:val="false"/>
          <w:smallCaps w:val="false"/>
          <w:color w:val="000000"/>
          <w:spacing w:val="4"/>
          <w:sz w:val="20"/>
        </w:rPr>
        <w:t xml:space="preserve">.   Our compensation committee may award options to purchase common stock intended to qualify as incentive stock options under Section 422 of the Code, non-qualified stock options, stock appreciation rights, restricted shares of common stock and RSUs to participants subject to such conditions and restrictions as it may determine, as described below. </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Options</w:t>
      </w:r>
      <w:r>
        <w:rPr>
          <w:rFonts w:ascii="Times New Roman;Times;serif" w:hAnsi="Times New Roman;Times;serif"/>
          <w:b w:val="false"/>
          <w:i w:val="false"/>
          <w:caps w:val="false"/>
          <w:smallCaps w:val="false"/>
          <w:color w:val="000000"/>
          <w:spacing w:val="4"/>
          <w:sz w:val="20"/>
        </w:rPr>
        <w:t xml:space="preserve">.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largest"/>
                <wp:docPr id="94"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95"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and Restricted Stock Units</w:t>
      </w:r>
      <w:r>
        <w:rPr>
          <w:rFonts w:ascii="Times New Roman;Times;serif" w:hAnsi="Times New Roman;Times;serif"/>
          <w:b w:val="false"/>
          <w:i w:val="false"/>
          <w:caps w:val="false"/>
          <w:smallCaps w:val="false"/>
          <w:color w:val="000000"/>
          <w:spacing w:val="4"/>
          <w:sz w:val="20"/>
        </w:rPr>
        <w:t xml:space="preserve">.   Restricted Stock and RSUs may require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96"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0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w:t>
      </w:r>
      <w:r>
        <w:rPr>
          <w:rFonts w:ascii="Times New Roman;Times;serif" w:hAnsi="Times New Roman;Times;serif"/>
          <w:b w:val="false"/>
          <w:i w:val="false"/>
          <w:caps w:val="false"/>
          <w:smallCaps w:val="false"/>
          <w:color w:val="000000"/>
          <w:spacing w:val="4"/>
          <w:sz w:val="20"/>
        </w:rPr>
        <w:t xml:space="preserve">.   Subject to certain restrictions, our board of directors may amend, alter or discontinue the 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w:t>
      </w:r>
    </w:p>
    <w:p>
      <w:pPr>
        <w:pStyle w:val="TextBody"/>
        <w:spacing w:lineRule="atLeast" w:line="25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may be granted under the 2022 Plan after January 30, 2032 or such earlier date as the board of directors may determine, and no incentive stock options may be granted under the 2022 Plan after the date that is ten years from the date the 2022 Plan was approved by the board of directors.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Equity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additional compensation plans for the NEOs in fiscal year 2022. We made the following additional equity grants to our NEOs in fiscal year 2022: </w:t>
      </w:r>
    </w:p>
    <w:p>
      <w:pPr>
        <w:pStyle w:val="TextBody"/>
        <w:spacing w:lineRule="atLeast" w:line="250" w:before="10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Amnon Shashua: Prof. Shashua received: (i) an annual base salary of $800,000(1); and (ii) an annual equity award representing approximately $14,200,000. Additionally, Prof. Shashua exercised his option to invest $10,000,000 of his own capital in Mobileye, to be matched on a three-to-one basis by Mobileye. Accordingly, Prof. Shashua invested $10,000,000 by purchasing shares of our Class A common stock in the Mobileye IPO and Mobileye matched this investment through grants of additional awards of our equity representing $30,000,000, vesting 50% in the fourth year following the completion of the Mobileye IPO and 50% in the fifth year following the completion of the Mobileye IPO.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Converted to NIS 2,679,996 according to U.S. dollar/ NIS exchange rate of $1/ NIS 3.35. Other NEOs: </w:t>
      </w:r>
      <w:r>
        <mc:AlternateContent>
          <mc:Choice Requires="wps">
            <w:drawing>
              <wp:anchor behindDoc="0" distT="11684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largest"/>
                <wp:docPr id="97" name="Frame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FYCT"/>
      <w:bookmarkEnd w:id="3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43" w:type="dxa"/>
          <w:right w:w="0" w:type="dxa"/>
        </w:tblCellMar>
      </w:tblPr>
      <w:tblGrid>
        <w:gridCol w:w="6739"/>
        <w:gridCol w:w="109"/>
        <w:gridCol w:w="109"/>
        <w:gridCol w:w="133"/>
        <w:gridCol w:w="133"/>
        <w:gridCol w:w="1301"/>
        <w:gridCol w:w="133"/>
        <w:gridCol w:w="155"/>
      </w:tblGrid>
      <w:tr>
        <w:trPr/>
        <w:tc>
          <w:tcPr>
            <w:tcW w:w="6739" w:type="dxa"/>
            <w:tcBorders>
              <w:bottom w:val="single" w:sz="2" w:space="0" w:color="000000"/>
            </w:tcBorders>
            <w:shd w:fill="auto" w:val="clear"/>
            <w:vAlign w:val="center"/>
          </w:tcPr>
          <w:p>
            <w:pPr>
              <w:pStyle w:val="TableContents"/>
              <w:spacing w:before="0" w:after="0"/>
              <w:rPr>
                <w:spacing w:val="-3"/>
              </w:rPr>
            </w:pPr>
            <w:r>
              <w:rPr>
                <w:spacing w:val="-3"/>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0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Total Grant of ME </w:t>
              <w:br/>
              <w:t>RSUs ($)</w:t>
            </w:r>
            <w:r>
              <w:rPr>
                <w:spacing w:val="-2"/>
                <w:sz w:val="10"/>
              </w:rPr>
              <w:t>(1)</w:t>
            </w:r>
            <w:r>
              <w:rPr/>
              <w:t xml:space="preserve">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739" w:type="dxa"/>
            <w:tcBorders/>
            <w:shd w:fill="CCEEFF" w:val="clear"/>
            <w:tcMar>
              <w:bottom w:w="0" w:type="dxa"/>
            </w:tcMar>
            <w:vAlign w:val="center"/>
          </w:tcPr>
          <w:p>
            <w:pPr>
              <w:pStyle w:val="TableContents"/>
              <w:spacing w:before="0" w:after="0"/>
              <w:jc w:val="left"/>
              <w:rPr>
                <w:spacing w:val="4"/>
              </w:rPr>
            </w:pPr>
            <w:r>
              <w:rPr>
                <w:spacing w:val="4"/>
              </w:rPr>
              <w:t xml:space="preserve">Anat Heller, Chief Financial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301" w:type="dxa"/>
            <w:tcBorders/>
            <w:shd w:fill="CCEEFF" w:val="clear"/>
            <w:tcMar>
              <w:bottom w:w="0" w:type="dxa"/>
            </w:tcMar>
            <w:vAlign w:val="center"/>
          </w:tcPr>
          <w:p>
            <w:pPr>
              <w:pStyle w:val="TableContents"/>
              <w:spacing w:before="0" w:after="283"/>
              <w:jc w:val="right"/>
              <w:rPr/>
            </w:pPr>
            <w:r>
              <w:rPr/>
              <w:t>3,284,547</w:t>
            </w:r>
          </w:p>
        </w:tc>
        <w:tc>
          <w:tcPr>
            <w:tcW w:w="133"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6739" w:type="dxa"/>
            <w:tcBorders/>
            <w:shd w:fill="auto" w:val="clear"/>
            <w:tcMar>
              <w:bottom w:w="0" w:type="dxa"/>
            </w:tcMar>
            <w:vAlign w:val="center"/>
          </w:tcPr>
          <w:p>
            <w:pPr>
              <w:pStyle w:val="TableContents"/>
              <w:spacing w:before="0" w:after="0"/>
              <w:jc w:val="left"/>
              <w:rPr>
                <w:spacing w:val="4"/>
              </w:rPr>
            </w:pPr>
            <w:r>
              <w:rPr>
                <w:spacing w:val="4"/>
              </w:rPr>
              <w:t xml:space="preserve">Prof. Shai Shalev-Shwartz, Chief Technology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301" w:type="dxa"/>
            <w:tcBorders/>
            <w:shd w:fill="auto" w:val="clear"/>
            <w:tcMar>
              <w:bottom w:w="0" w:type="dxa"/>
            </w:tcMar>
            <w:vAlign w:val="center"/>
          </w:tcPr>
          <w:p>
            <w:pPr>
              <w:pStyle w:val="TableContents"/>
              <w:spacing w:before="0" w:after="283"/>
              <w:jc w:val="right"/>
              <w:rPr/>
            </w:pPr>
            <w:r>
              <w:rPr/>
              <w:t>9,999,990</w:t>
            </w:r>
          </w:p>
        </w:tc>
        <w:tc>
          <w:tcPr>
            <w:tcW w:w="133"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6739" w:type="dxa"/>
            <w:tcBorders/>
            <w:shd w:fill="CCEEFF" w:val="clear"/>
            <w:tcMar>
              <w:bottom w:w="0" w:type="dxa"/>
            </w:tcMar>
            <w:vAlign w:val="center"/>
          </w:tcPr>
          <w:p>
            <w:pPr>
              <w:pStyle w:val="TableContents"/>
              <w:spacing w:before="0" w:after="0"/>
              <w:jc w:val="left"/>
              <w:rPr>
                <w:spacing w:val="4"/>
              </w:rPr>
            </w:pPr>
            <w:r>
              <w:rPr>
                <w:spacing w:val="4"/>
              </w:rPr>
              <w:t xml:space="preserve">Dr. Gavriel Hayon, Executive Vice President, Research &amp; Development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301" w:type="dxa"/>
            <w:tcBorders/>
            <w:shd w:fill="CCEEFF" w:val="clear"/>
            <w:tcMar>
              <w:bottom w:w="0" w:type="dxa"/>
            </w:tcMar>
            <w:vAlign w:val="center"/>
          </w:tcPr>
          <w:p>
            <w:pPr>
              <w:pStyle w:val="TableContents"/>
              <w:spacing w:before="0" w:after="283"/>
              <w:jc w:val="right"/>
              <w:rPr/>
            </w:pPr>
            <w:r>
              <w:rPr/>
              <w:t>2,284,548</w:t>
            </w:r>
          </w:p>
        </w:tc>
        <w:tc>
          <w:tcPr>
            <w:tcW w:w="133"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6739"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Nimrod Nehushtan, Senior Vice President, Business Development &amp; Strategy and Co-Manager REM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301" w:type="dxa"/>
            <w:tcBorders/>
            <w:shd w:fill="auto" w:val="clear"/>
            <w:tcMar>
              <w:bottom w:w="0" w:type="dxa"/>
            </w:tcMar>
            <w:vAlign w:val="center"/>
          </w:tcPr>
          <w:p>
            <w:pPr>
              <w:pStyle w:val="TableContents"/>
              <w:spacing w:before="0" w:after="283"/>
              <w:jc w:val="right"/>
              <w:rPr/>
            </w:pPr>
            <w:r>
              <w:rPr/>
              <w:t>1,964,970</w:t>
            </w:r>
          </w:p>
        </w:tc>
        <w:tc>
          <w:tcPr>
            <w:tcW w:w="133"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 RSUs vest over a three-year period, and of which a portion will vest six months following the date of grant.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largest"/>
                <wp:docPr id="98" name="Frame8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Fiscal Year 2022 Summary Compensation Table</w:t>
      </w:r>
      <w:r>
        <w:rPr>
          <w:rFonts w:ascii="Times New Roman;Times;serif" w:hAnsi="Times New Roman;Times;serif"/>
          <w:b/>
          <w:i w:val="false"/>
          <w:caps w:val="false"/>
          <w:smallCaps w:val="false"/>
          <w:color w:val="000000"/>
          <w:spacing w:val="4"/>
          <w:sz w:val="20"/>
        </w:rPr>
        <w:t xml:space="preserve"> </w:t>
      </w:r>
    </w:p>
    <w:tbl>
      <w:tblPr>
        <w:tblW w:w="9507" w:type="dxa"/>
        <w:jc w:val="left"/>
        <w:tblInd w:w="1393" w:type="dxa"/>
        <w:tblCellMar>
          <w:top w:w="0" w:type="dxa"/>
          <w:left w:w="0" w:type="dxa"/>
          <w:bottom w:w="43" w:type="dxa"/>
          <w:right w:w="0" w:type="dxa"/>
        </w:tblCellMar>
      </w:tblPr>
      <w:tblGrid>
        <w:gridCol w:w="1673"/>
        <w:gridCol w:w="109"/>
        <w:gridCol w:w="109"/>
        <w:gridCol w:w="109"/>
        <w:gridCol w:w="109"/>
        <w:gridCol w:w="586"/>
        <w:gridCol w:w="109"/>
        <w:gridCol w:w="109"/>
        <w:gridCol w:w="109"/>
        <w:gridCol w:w="109"/>
        <w:gridCol w:w="109"/>
        <w:gridCol w:w="886"/>
        <w:gridCol w:w="109"/>
        <w:gridCol w:w="109"/>
        <w:gridCol w:w="109"/>
        <w:gridCol w:w="109"/>
        <w:gridCol w:w="109"/>
        <w:gridCol w:w="1186"/>
        <w:gridCol w:w="109"/>
        <w:gridCol w:w="109"/>
        <w:gridCol w:w="109"/>
        <w:gridCol w:w="109"/>
        <w:gridCol w:w="109"/>
        <w:gridCol w:w="1111"/>
        <w:gridCol w:w="109"/>
        <w:gridCol w:w="109"/>
        <w:gridCol w:w="109"/>
        <w:gridCol w:w="109"/>
        <w:gridCol w:w="109"/>
        <w:gridCol w:w="1186"/>
        <w:gridCol w:w="109"/>
        <w:gridCol w:w="154"/>
      </w:tblGrid>
      <w:tr>
        <w:trPr/>
        <w:tc>
          <w:tcPr>
            <w:tcW w:w="1673"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Salary ($)</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w:t>
              <w:br/>
              <w:t>Awards ($)</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All Other </w:t>
              <w:br/>
              <w:t>Compensation ($)</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673" w:type="dxa"/>
            <w:tcBorders/>
            <w:shd w:fill="CCEEFF" w:val="clear"/>
            <w:tcMar>
              <w:bottom w:w="0" w:type="dxa"/>
            </w:tcMar>
            <w:vAlign w:val="center"/>
          </w:tcPr>
          <w:p>
            <w:pPr>
              <w:pStyle w:val="TableContents"/>
              <w:spacing w:before="0" w:after="0"/>
              <w:jc w:val="left"/>
              <w:rPr>
                <w:spacing w:val="4"/>
              </w:rPr>
            </w:pPr>
            <w:r>
              <w:rPr>
                <w:spacing w:val="4"/>
              </w:rPr>
              <w:t xml:space="preserve">Prof. Amnon Shashua,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758,595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44,199,981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1" w:type="dxa"/>
            <w:tcBorders/>
            <w:shd w:fill="CCEEFF" w:val="clear"/>
            <w:tcMar>
              <w:bottom w:w="0" w:type="dxa"/>
            </w:tcMar>
            <w:vAlign w:val="center"/>
          </w:tcPr>
          <w:p>
            <w:pPr>
              <w:pStyle w:val="TableContents"/>
              <w:spacing w:before="0" w:after="283"/>
              <w:jc w:val="right"/>
              <w:rPr/>
            </w:pPr>
            <w:r>
              <w:rPr/>
              <w:t>167,344</w:t>
            </w:r>
            <w:r>
              <w:rPr>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45,125,920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73" w:type="dxa"/>
            <w:tcBorders/>
            <w:shd w:fill="auto" w:val="clear"/>
            <w:tcMar>
              <w:bottom w:w="0" w:type="dxa"/>
            </w:tcMar>
            <w:vAlign w:val="center"/>
          </w:tcPr>
          <w:p>
            <w:pPr>
              <w:pStyle w:val="TableContents"/>
              <w:spacing w:before="0" w:after="0"/>
              <w:ind w:left="200" w:right="0" w:hanging="0"/>
              <w:jc w:val="left"/>
              <w:rPr>
                <w:i/>
              </w:rPr>
            </w:pPr>
            <w:r>
              <w:rPr>
                <w:i/>
                <w:spacing w:val="4"/>
              </w:rPr>
              <w:t>Chief Executive Officer</w:t>
            </w:r>
            <w:r>
              <w:rPr>
                <w:i/>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263,417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1" w:type="dxa"/>
            <w:tcBorders/>
            <w:shd w:fill="auto" w:val="clear"/>
            <w:tcMar>
              <w:bottom w:w="0" w:type="dxa"/>
            </w:tcMar>
            <w:vAlign w:val="center"/>
          </w:tcPr>
          <w:p>
            <w:pPr>
              <w:pStyle w:val="TableContents"/>
              <w:spacing w:before="0" w:after="283"/>
              <w:jc w:val="right"/>
              <w:rPr/>
            </w:pPr>
            <w:r>
              <w:rPr/>
              <w:t>68,952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332,369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73" w:type="dxa"/>
            <w:tcBorders/>
            <w:shd w:fill="CCEEFF" w:val="clear"/>
            <w:tcMar>
              <w:bottom w:w="0" w:type="dxa"/>
            </w:tcMar>
            <w:vAlign w:val="center"/>
          </w:tcPr>
          <w:p>
            <w:pPr>
              <w:pStyle w:val="TableContents"/>
              <w:spacing w:before="0" w:after="0"/>
              <w:jc w:val="left"/>
              <w:rPr>
                <w:spacing w:val="4"/>
              </w:rPr>
            </w:pPr>
            <w:r>
              <w:rPr>
                <w:spacing w:val="4"/>
              </w:rPr>
              <w:t xml:space="preserve">Anat Heller,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237,835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3,284,547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1" w:type="dxa"/>
            <w:tcBorders/>
            <w:shd w:fill="CCEEFF" w:val="clear"/>
            <w:tcMar>
              <w:bottom w:w="0" w:type="dxa"/>
            </w:tcMar>
            <w:vAlign w:val="center"/>
          </w:tcPr>
          <w:p>
            <w:pPr>
              <w:pStyle w:val="TableContents"/>
              <w:spacing w:before="0" w:after="283"/>
              <w:jc w:val="right"/>
              <w:rPr/>
            </w:pPr>
            <w:r>
              <w:rPr/>
              <w:t>49,705</w:t>
            </w:r>
            <w:r>
              <w:rPr>
                <w:sz w:val="13"/>
              </w:rPr>
              <w:t>(5)</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3,572,086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73" w:type="dxa"/>
            <w:tcBorders/>
            <w:shd w:fill="auto" w:val="clear"/>
            <w:tcMar>
              <w:bottom w:w="0" w:type="dxa"/>
            </w:tcMar>
            <w:vAlign w:val="center"/>
          </w:tcPr>
          <w:p>
            <w:pPr>
              <w:pStyle w:val="TableContents"/>
              <w:spacing w:before="0" w:after="0"/>
              <w:ind w:left="200" w:right="0" w:hanging="0"/>
              <w:jc w:val="left"/>
              <w:rPr>
                <w:i/>
              </w:rPr>
            </w:pPr>
            <w:r>
              <w:rPr>
                <w:i/>
                <w:spacing w:val="4"/>
              </w:rPr>
              <w:t>Chief Financial Officer</w:t>
            </w:r>
            <w:r>
              <w:rPr>
                <w:i/>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265,780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511,897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1" w:type="dxa"/>
            <w:tcBorders/>
            <w:shd w:fill="auto" w:val="clear"/>
            <w:tcMar>
              <w:bottom w:w="0" w:type="dxa"/>
            </w:tcMar>
            <w:vAlign w:val="center"/>
          </w:tcPr>
          <w:p>
            <w:pPr>
              <w:pStyle w:val="TableContents"/>
              <w:spacing w:before="0" w:after="283"/>
              <w:jc w:val="right"/>
              <w:rPr/>
            </w:pPr>
            <w:r>
              <w:rPr/>
              <w:t>57,317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834,994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73" w:type="dxa"/>
            <w:tcBorders/>
            <w:shd w:fill="CCEEFF" w:val="clear"/>
            <w:tcMar>
              <w:bottom w:w="0" w:type="dxa"/>
            </w:tcMar>
            <w:vAlign w:val="center"/>
          </w:tcPr>
          <w:p>
            <w:pPr>
              <w:pStyle w:val="TableContents"/>
              <w:spacing w:before="0" w:after="0"/>
              <w:jc w:val="left"/>
              <w:rPr>
                <w:spacing w:val="4"/>
              </w:rPr>
            </w:pPr>
            <w:r>
              <w:rPr>
                <w:spacing w:val="4"/>
              </w:rPr>
              <w:t xml:space="preserve">Prof. Shai Shalev-Shwartz,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681,142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9,999,990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1" w:type="dxa"/>
            <w:tcBorders/>
            <w:shd w:fill="CCEEFF" w:val="clear"/>
            <w:tcMar>
              <w:bottom w:w="0" w:type="dxa"/>
            </w:tcMar>
            <w:vAlign w:val="center"/>
          </w:tcPr>
          <w:p>
            <w:pPr>
              <w:pStyle w:val="TableContents"/>
              <w:spacing w:before="0" w:after="283"/>
              <w:jc w:val="right"/>
              <w:rPr/>
            </w:pPr>
            <w:r>
              <w:rPr/>
              <w:t>22,402</w:t>
            </w:r>
            <w:r>
              <w:rPr>
                <w:sz w:val="13"/>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10,703,534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73" w:type="dxa"/>
            <w:tcBorders/>
            <w:shd w:fill="auto" w:val="clear"/>
            <w:tcMar>
              <w:bottom w:w="0" w:type="dxa"/>
            </w:tcMar>
            <w:vAlign w:val="center"/>
          </w:tcPr>
          <w:p>
            <w:pPr>
              <w:pStyle w:val="TableContents"/>
              <w:spacing w:before="0" w:after="0"/>
              <w:ind w:left="200" w:right="0" w:hanging="0"/>
              <w:jc w:val="left"/>
              <w:rPr>
                <w:i/>
              </w:rPr>
            </w:pPr>
            <w:r>
              <w:rPr>
                <w:i/>
                <w:spacing w:val="4"/>
              </w:rPr>
              <w:t>Chief Technology Officer</w:t>
            </w:r>
            <w:r>
              <w:rPr>
                <w:i/>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761,175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3,071,287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1" w:type="dxa"/>
            <w:tcBorders/>
            <w:shd w:fill="auto" w:val="clear"/>
            <w:tcMar>
              <w:bottom w:w="0" w:type="dxa"/>
            </w:tcMar>
            <w:vAlign w:val="center"/>
          </w:tcPr>
          <w:p>
            <w:pPr>
              <w:pStyle w:val="TableContents"/>
              <w:spacing w:before="0" w:after="283"/>
              <w:jc w:val="right"/>
              <w:rPr/>
            </w:pPr>
            <w:r>
              <w:rPr/>
              <w:t>31,441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3,863,903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73" w:type="dxa"/>
            <w:tcBorders/>
            <w:shd w:fill="CCEEFF" w:val="clear"/>
            <w:tcMar>
              <w:bottom w:w="0" w:type="dxa"/>
            </w:tcMar>
            <w:vAlign w:val="center"/>
          </w:tcPr>
          <w:p>
            <w:pPr>
              <w:pStyle w:val="TableContents"/>
              <w:spacing w:before="0" w:after="0"/>
              <w:jc w:val="left"/>
              <w:rPr>
                <w:spacing w:val="4"/>
              </w:rPr>
            </w:pPr>
            <w:r>
              <w:rPr>
                <w:spacing w:val="4"/>
              </w:rPr>
              <w:t xml:space="preserve">Dr. Gavriel Hayon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236,147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2,284,548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1" w:type="dxa"/>
            <w:tcBorders/>
            <w:shd w:fill="CCEEFF" w:val="clear"/>
            <w:tcMar>
              <w:bottom w:w="0" w:type="dxa"/>
            </w:tcMar>
            <w:vAlign w:val="center"/>
          </w:tcPr>
          <w:p>
            <w:pPr>
              <w:pStyle w:val="TableContents"/>
              <w:spacing w:before="0" w:after="283"/>
              <w:jc w:val="right"/>
              <w:rPr/>
            </w:pPr>
            <w:r>
              <w:rPr/>
              <w:t>54,815</w:t>
            </w:r>
            <w:r>
              <w:rPr>
                <w:sz w:val="13"/>
              </w:rPr>
              <w:t>(7)</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2,575,510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73" w:type="dxa"/>
            <w:tcBorders/>
            <w:shd w:fill="auto" w:val="clear"/>
            <w:tcMar>
              <w:bottom w:w="0" w:type="dxa"/>
            </w:tcMar>
            <w:vAlign w:val="center"/>
          </w:tcPr>
          <w:p>
            <w:pPr>
              <w:pStyle w:val="TableContents"/>
              <w:spacing w:before="0" w:after="0"/>
              <w:ind w:left="400" w:right="0" w:hanging="200"/>
              <w:jc w:val="left"/>
              <w:rPr>
                <w:i/>
              </w:rPr>
            </w:pPr>
            <w:r>
              <w:rPr>
                <w:i/>
                <w:spacing w:val="4"/>
              </w:rPr>
              <w:t>Executive Vice President, Research &amp; Development</w:t>
            </w:r>
            <w:r>
              <w:rPr>
                <w:i/>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263,893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1,917,736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1" w:type="dxa"/>
            <w:tcBorders/>
            <w:shd w:fill="auto" w:val="clear"/>
            <w:tcMar>
              <w:bottom w:w="0" w:type="dxa"/>
            </w:tcMar>
            <w:vAlign w:val="center"/>
          </w:tcPr>
          <w:p>
            <w:pPr>
              <w:pStyle w:val="TableContents"/>
              <w:spacing w:before="0" w:after="283"/>
              <w:jc w:val="right"/>
              <w:rPr/>
            </w:pPr>
            <w:r>
              <w:rPr/>
              <w:t>62,686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2,244,315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73" w:type="dxa"/>
            <w:tcBorders/>
            <w:shd w:fill="CCEEFF" w:val="clear"/>
            <w:tcMar>
              <w:bottom w:w="0" w:type="dxa"/>
            </w:tcMar>
            <w:vAlign w:val="center"/>
          </w:tcPr>
          <w:p>
            <w:pPr>
              <w:pStyle w:val="TableContents"/>
              <w:spacing w:before="0" w:after="0"/>
              <w:jc w:val="left"/>
              <w:rPr>
                <w:spacing w:val="4"/>
              </w:rPr>
            </w:pPr>
            <w:r>
              <w:rPr>
                <w:spacing w:val="4"/>
              </w:rPr>
              <w:t xml:space="preserve">Nimrod Nehushtan,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179,832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1,964,970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11" w:type="dxa"/>
            <w:tcBorders/>
            <w:shd w:fill="CCEEFF" w:val="clear"/>
            <w:tcMar>
              <w:bottom w:w="0" w:type="dxa"/>
            </w:tcMar>
            <w:vAlign w:val="center"/>
          </w:tcPr>
          <w:p>
            <w:pPr>
              <w:pStyle w:val="TableContents"/>
              <w:spacing w:before="0" w:after="283"/>
              <w:jc w:val="right"/>
              <w:rPr/>
            </w:pPr>
            <w:r>
              <w:rPr/>
              <w:t>44,128</w:t>
            </w:r>
            <w:r>
              <w:rPr>
                <w:sz w:val="13"/>
              </w:rPr>
              <w:t>(8)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2,188,930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73" w:type="dxa"/>
            <w:tcBorders/>
            <w:shd w:fill="auto" w:val="clear"/>
            <w:tcMar>
              <w:bottom w:w="0" w:type="dxa"/>
            </w:tcMar>
            <w:vAlign w:val="center"/>
          </w:tcPr>
          <w:p>
            <w:pPr>
              <w:pStyle w:val="TableContents"/>
              <w:spacing w:before="0" w:after="0"/>
              <w:ind w:left="400" w:right="0" w:hanging="200"/>
              <w:jc w:val="left"/>
              <w:rPr/>
            </w:pPr>
            <w:r>
              <w:rPr>
                <w:spacing w:val="4"/>
              </w:rPr>
              <w:t>Senior Vice President, Business Development &amp; Strategy and Co-Manager REM</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1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Salary paid in NIS. The amounts were converted according to the closing foreign exchange rate of U.S. dollar/ NIS for December 31, 2022 at $1/NIS 3.519 and for December 25, 2021 at $1/NIS 3.149. The salary figure includes the NEO’s base salary and global overtime.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largest"/>
                <wp:docPr id="99" name="Frame8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in year 2021 are Intel RSUs; all awards granted in year 2022 are ME RSUs. The amounts reported reflect the aggregate grant date fair value of each stock award computed in accordance with FASB ASC Topic 718 or under the assumptions noted. For information regarding the assumptions used in determining the fair value of an award for year 2022 shown in this column, please refer to note 6 in the consolidated financial statements included in the Annual Report on Form 10-K for fiscal year 2022. For information regarding the assumptions used in determining the fair value of an award in 2021 shown in this column please refer to note 18 in Intel Corporation’s financial statements contained in its Annual Report on Form 10-K for the year ended December 25, 2021.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largest"/>
                <wp:docPr id="100" name="Frame8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this column include benefits and perquisites, including those mandated by Israeli law.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largest"/>
                <wp:docPr id="101" name="Frame8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Prof. Amnon Shashua represents pension benefit contributions of $112,610, an Advanced Study Fund contribution of $45,516, a patent grant cash award of $4,901, and other miscellaneous benefits.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largest"/>
                <wp:docPr id="102" name="Frame8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Ms. Heller represents pension benefit contributions of $33,672, an Advanced Study Fund contribution of $13,340, and other miscellaneous benefits.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largest"/>
                <wp:docPr id="103" name="Frame9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GBAD"/>
      <w:bookmarkEnd w:id="33"/>
      <w:r>
        <w:rPr>
          <w:rFonts w:ascii="calibri;arial;sans-serif" w:hAnsi="calibri;arial;sans-serif"/>
          <w:b w:val="false"/>
          <w:i w:val="false"/>
          <w:caps w:val="false"/>
          <w:smallCaps w:val="false"/>
          <w:color w:val="000000"/>
          <w:sz w:val="16"/>
        </w:rPr>
        <w:t>​</w:t>
      </w:r>
      <w:bookmarkStart w:id="34" w:name="tEAOA"/>
      <w:bookmarkEnd w:id="3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Prof. Shai Shalev represents a pension benefit contribution of $6,069, a patent grant cash award of $2,505, an automobile allowance of $10,844, and other miscellaneous benefits.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254000" cy="304800"/>
                <wp:effectExtent l="0" t="0" r="0" b="0"/>
                <wp:wrapSquare wrapText="largest"/>
                <wp:docPr id="104" name="Frame9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Dr. Gavriel Hayon represents pension benefit contributions of $36,319, an Advanced Study Fund contribution of $14,335, and other miscellaneous benefits.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04800"/>
                <wp:effectExtent l="0" t="0" r="0" b="0"/>
                <wp:wrapSquare wrapText="largest"/>
                <wp:docPr id="105" name="Frame9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(7)</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Mr. Nimrod Nehushtan represents pension benefit contributions of $27,072, an Advanced Study Fund contribution of $10,943, and other miscellaneous benefits.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04800"/>
                <wp:effectExtent l="0" t="0" r="0" b="0"/>
                <wp:wrapSquare wrapText="largest"/>
                <wp:docPr id="106" name="Frame93"/>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(8)</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(8)</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 in the Year Ended December 31, 2022</w:t>
      </w:r>
      <w:r>
        <w:rPr>
          <w:rFonts w:ascii="Times New Roman;Times;serif" w:hAnsi="Times New Roman;Times;serif"/>
          <w:b/>
          <w:i w:val="false"/>
          <w:caps w:val="false"/>
          <w:smallCaps w:val="false"/>
          <w:color w:val="000000"/>
          <w:spacing w:val="4"/>
          <w:sz w:val="20"/>
        </w:rPr>
        <w:t xml:space="preserve"> </w:t>
      </w:r>
    </w:p>
    <w:tbl>
      <w:tblPr>
        <w:tblW w:w="14950" w:type="dxa"/>
        <w:jc w:val="left"/>
        <w:tblInd w:w="543" w:type="dxa"/>
        <w:tblCellMar>
          <w:top w:w="0" w:type="dxa"/>
          <w:left w:w="0" w:type="dxa"/>
          <w:bottom w:w="28" w:type="dxa"/>
          <w:right w:w="0" w:type="dxa"/>
        </w:tblCellMar>
      </w:tblPr>
      <w:tblGrid>
        <w:gridCol w:w="1560"/>
        <w:gridCol w:w="109"/>
        <w:gridCol w:w="109"/>
        <w:gridCol w:w="1252"/>
        <w:gridCol w:w="109"/>
        <w:gridCol w:w="109"/>
        <w:gridCol w:w="168"/>
        <w:gridCol w:w="168"/>
        <w:gridCol w:w="535"/>
        <w:gridCol w:w="171"/>
        <w:gridCol w:w="109"/>
        <w:gridCol w:w="109"/>
        <w:gridCol w:w="115"/>
        <w:gridCol w:w="115"/>
        <w:gridCol w:w="367"/>
        <w:gridCol w:w="109"/>
        <w:gridCol w:w="109"/>
        <w:gridCol w:w="109"/>
        <w:gridCol w:w="172"/>
        <w:gridCol w:w="172"/>
        <w:gridCol w:w="546"/>
        <w:gridCol w:w="173"/>
        <w:gridCol w:w="109"/>
        <w:gridCol w:w="109"/>
        <w:gridCol w:w="168"/>
        <w:gridCol w:w="168"/>
        <w:gridCol w:w="535"/>
        <w:gridCol w:w="171"/>
        <w:gridCol w:w="109"/>
        <w:gridCol w:w="109"/>
        <w:gridCol w:w="109"/>
        <w:gridCol w:w="109"/>
        <w:gridCol w:w="379"/>
        <w:gridCol w:w="109"/>
        <w:gridCol w:w="109"/>
        <w:gridCol w:w="109"/>
        <w:gridCol w:w="172"/>
        <w:gridCol w:w="172"/>
        <w:gridCol w:w="546"/>
        <w:gridCol w:w="173"/>
        <w:gridCol w:w="109"/>
        <w:gridCol w:w="109"/>
        <w:gridCol w:w="109"/>
        <w:gridCol w:w="109"/>
        <w:gridCol w:w="1066"/>
        <w:gridCol w:w="109"/>
        <w:gridCol w:w="109"/>
        <w:gridCol w:w="109"/>
        <w:gridCol w:w="187"/>
        <w:gridCol w:w="187"/>
        <w:gridCol w:w="595"/>
        <w:gridCol w:w="190"/>
        <w:gridCol w:w="109"/>
        <w:gridCol w:w="109"/>
        <w:gridCol w:w="109"/>
        <w:gridCol w:w="226"/>
        <w:gridCol w:w="1186"/>
        <w:gridCol w:w="109"/>
        <w:gridCol w:w="154"/>
      </w:tblGrid>
      <w:tr>
        <w:trPr/>
        <w:tc>
          <w:tcPr>
            <w:tcW w:w="156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5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47" w:type="dxa"/>
            <w:gridSpan w:val="16"/>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Estimated Future Payouts Under </w:t>
              <w:br/>
              <w:t xml:space="preserve">Non-Equity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47" w:type="dxa"/>
            <w:gridSpan w:val="16"/>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Estimated Future Payouts </w:t>
              <w:br/>
              <w:t xml:space="preserve">Under 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All Other </w:t>
              <w:br/>
              <w:t xml:space="preserve">Stock </w:t>
              <w:br/>
              <w:t xml:space="preserve">Awards: </w:t>
              <w:br/>
              <w:t xml:space="preserve">Number of </w:t>
              <w:br/>
              <w:t xml:space="preserve">Shares of </w:t>
              <w:br/>
              <w:t xml:space="preserve">Stock or </w:t>
              <w:br/>
              <w:t xml:space="preserve">Units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159" w:type="dxa"/>
            <w:gridSpan w:val="4"/>
            <w:vMerge w:val="restart"/>
            <w:tcBorders>
              <w:bottom w:val="single" w:sz="2" w:space="0" w:color="000000"/>
            </w:tcBorders>
            <w:shd w:fill="auto" w:val="clear"/>
            <w:tcMar>
              <w:bottom w:w="50" w:type="dxa"/>
            </w:tcMar>
            <w:vAlign w:val="center"/>
          </w:tcPr>
          <w:p>
            <w:pPr>
              <w:pStyle w:val="TableContents"/>
              <w:spacing w:lineRule="atLeast" w:line="180" w:before="0" w:after="0"/>
              <w:jc w:val="center"/>
              <w:rPr>
                <w:spacing w:val="-3"/>
              </w:rPr>
            </w:pPr>
            <w:r>
              <w:rPr>
                <w:spacing w:val="-3"/>
              </w:rPr>
              <w:t xml:space="preserve">All Other </w:t>
              <w:br/>
              <w:t xml:space="preserve">Option </w:t>
              <w:br/>
              <w:t xml:space="preserve">Awards: </w:t>
              <w:br/>
              <w:t xml:space="preserve">Number of </w:t>
              <w:br/>
              <w:t xml:space="preserve">Securities </w:t>
              <w:br/>
              <w:t xml:space="preserve">Underlying </w:t>
              <w:br/>
              <w:t xml:space="preserve">Options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630" w:type="dxa"/>
            <w:gridSpan w:val="4"/>
            <w:vMerge w:val="restart"/>
            <w:tcBorders>
              <w:bottom w:val="single" w:sz="2" w:space="0" w:color="000000"/>
            </w:tcBorders>
            <w:shd w:fill="auto" w:val="clear"/>
            <w:tcMar>
              <w:bottom w:w="50" w:type="dxa"/>
            </w:tcMar>
            <w:vAlign w:val="center"/>
          </w:tcPr>
          <w:p>
            <w:pPr>
              <w:pStyle w:val="TableContents"/>
              <w:spacing w:lineRule="atLeast" w:line="141" w:before="0" w:after="0"/>
              <w:jc w:val="center"/>
              <w:rPr/>
            </w:pPr>
            <w:r>
              <w:rPr>
                <w:spacing w:val="-3"/>
              </w:rPr>
              <w:t xml:space="preserve">Grant Date </w:t>
              <w:br/>
              <w:t xml:space="preserve">Fair Value or </w:t>
              <w:br/>
              <w:t xml:space="preserve">Stock and </w:t>
              <w:br/>
              <w:t xml:space="preserve">Option </w:t>
              <w:br/>
              <w:t>Awards</w:t>
            </w:r>
            <w:r>
              <w:rPr>
                <w:spacing w:val="-2"/>
                <w:sz w:val="10"/>
              </w:rPr>
              <w:t>(1)</w:t>
            </w:r>
            <w:r>
              <w:rP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560" w:type="dxa"/>
            <w:tcBorders>
              <w:bottom w:val="single" w:sz="2" w:space="0" w:color="000000"/>
            </w:tcBorders>
            <w:shd w:fill="auto" w:val="clear"/>
            <w:tcMar>
              <w:bottom w:w="50"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52" w:type="dxa"/>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Grant 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0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06"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3"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tcMar>
              <w:bottom w:w="50"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159" w:type="dxa"/>
            <w:gridSpan w:val="4"/>
            <w:vMerge w:val="continue"/>
            <w:tcBorders>
              <w:bottom w:val="single" w:sz="2" w:space="0" w:color="000000"/>
            </w:tcBorders>
            <w:shd w:fill="auto" w:val="clear"/>
            <w:tcMar>
              <w:bottom w:w="50" w:type="dxa"/>
            </w:tcM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630" w:type="dxa"/>
            <w:gridSpan w:val="4"/>
            <w:vMerge w:val="continue"/>
            <w:tcBorders>
              <w:bottom w:val="single" w:sz="2" w:space="0" w:color="000000"/>
            </w:tcBorders>
            <w:shd w:fill="auto" w:val="clear"/>
            <w:tcMar>
              <w:bottom w:w="50"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560" w:type="dxa"/>
            <w:tcBorders/>
            <w:shd w:fill="CCEEFF" w:val="clear"/>
            <w:tcMar>
              <w:bottom w:w="0" w:type="dxa"/>
            </w:tcMar>
            <w:vAlign w:val="center"/>
          </w:tcPr>
          <w:p>
            <w:pPr>
              <w:pStyle w:val="TableContents"/>
              <w:spacing w:before="0" w:after="0"/>
              <w:ind w:left="160" w:right="0" w:hanging="160"/>
              <w:jc w:val="left"/>
              <w:rPr>
                <w:spacing w:val="3"/>
              </w:rPr>
            </w:pPr>
            <w:r>
              <w:rPr>
                <w:spacing w:val="3"/>
              </w:rPr>
              <w:t xml:space="preserve">Prof. Amnon Shashua, Chief Executive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2" w:type="dxa"/>
            <w:tcBorders/>
            <w:shd w:fill="CCEEFF" w:val="clear"/>
            <w:tcMar>
              <w:bottom w:w="0" w:type="dxa"/>
            </w:tcMar>
            <w:vAlign w:val="center"/>
          </w:tcPr>
          <w:p>
            <w:pPr>
              <w:pStyle w:val="TableContents"/>
              <w:spacing w:before="0" w:after="0"/>
              <w:jc w:val="center"/>
              <w:rPr>
                <w:spacing w:val="3"/>
              </w:rPr>
            </w:pPr>
            <w:r>
              <w:rPr>
                <w:spacing w:val="3"/>
              </w:rPr>
              <w:t xml:space="preserve">October 26,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367"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79"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2,104,761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595" w:type="dxa"/>
            <w:tcBorders/>
            <w:shd w:fill="CCEEFF" w:val="clear"/>
            <w:tcMar>
              <w:bottom w:w="0" w:type="dxa"/>
            </w:tcMar>
            <w:vAlign w:val="center"/>
          </w:tcPr>
          <w:p>
            <w:pPr>
              <w:pStyle w:val="TableContents"/>
              <w:spacing w:before="0" w:after="283"/>
              <w:jc w:val="right"/>
              <w:rPr/>
            </w:pPr>
            <w:r>
              <w:rPr/>
              <w:t>N/A</w:t>
            </w:r>
          </w:p>
        </w:tc>
        <w:tc>
          <w:tcPr>
            <w:tcW w:w="19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44,199,981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60" w:type="dxa"/>
            <w:tcBorders/>
            <w:shd w:fill="auto" w:val="clear"/>
            <w:tcMar>
              <w:bottom w:w="0" w:type="dxa"/>
            </w:tcMar>
            <w:vAlign w:val="center"/>
          </w:tcPr>
          <w:p>
            <w:pPr>
              <w:pStyle w:val="TableContents"/>
              <w:spacing w:before="0" w:after="0"/>
              <w:ind w:left="160" w:right="0" w:hanging="160"/>
              <w:jc w:val="left"/>
              <w:rPr>
                <w:spacing w:val="3"/>
              </w:rPr>
            </w:pPr>
            <w:r>
              <w:rPr>
                <w:spacing w:val="3"/>
              </w:rPr>
              <w:t xml:space="preserve">Anat Heller, Chief Financial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2" w:type="dxa"/>
            <w:tcBorders/>
            <w:shd w:fill="auto" w:val="clear"/>
            <w:tcMar>
              <w:bottom w:w="0" w:type="dxa"/>
            </w:tcMar>
            <w:vAlign w:val="center"/>
          </w:tcPr>
          <w:p>
            <w:pPr>
              <w:pStyle w:val="TableContents"/>
              <w:spacing w:before="0" w:after="0"/>
              <w:jc w:val="center"/>
              <w:rPr>
                <w:spacing w:val="3"/>
              </w:rPr>
            </w:pPr>
            <w:r>
              <w:rPr>
                <w:spacing w:val="3"/>
              </w:rPr>
              <w:t xml:space="preserve">October 26,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N/A</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367" w:type="dxa"/>
            <w:tcBorders/>
            <w:shd w:fill="auto" w:val="clear"/>
            <w:tcMar>
              <w:bottom w:w="0" w:type="dxa"/>
            </w:tcMar>
            <w:vAlign w:val="center"/>
          </w:tcPr>
          <w:p>
            <w:pPr>
              <w:pStyle w:val="TableContents"/>
              <w:spacing w:before="0" w:after="283"/>
              <w:jc w:val="right"/>
              <w:rPr/>
            </w:pPr>
            <w:r>
              <w:rPr/>
              <w:t>N/A</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N/A</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N/A</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79" w:type="dxa"/>
            <w:tcBorders/>
            <w:shd w:fill="auto" w:val="clear"/>
            <w:tcMar>
              <w:bottom w:w="0" w:type="dxa"/>
            </w:tcMar>
            <w:vAlign w:val="center"/>
          </w:tcPr>
          <w:p>
            <w:pPr>
              <w:pStyle w:val="TableContents"/>
              <w:spacing w:before="0" w:after="283"/>
              <w:jc w:val="right"/>
              <w:rPr/>
            </w:pPr>
            <w:r>
              <w:rPr/>
              <w:t>N/A</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N/A</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156,407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595" w:type="dxa"/>
            <w:tcBorders/>
            <w:shd w:fill="auto" w:val="clear"/>
            <w:tcMar>
              <w:bottom w:w="0" w:type="dxa"/>
            </w:tcMar>
            <w:vAlign w:val="center"/>
          </w:tcPr>
          <w:p>
            <w:pPr>
              <w:pStyle w:val="TableContents"/>
              <w:spacing w:before="0" w:after="283"/>
              <w:jc w:val="right"/>
              <w:rPr/>
            </w:pPr>
            <w:r>
              <w:rPr/>
              <w:t>N/A</w:t>
            </w:r>
          </w:p>
        </w:tc>
        <w:tc>
          <w:tcPr>
            <w:tcW w:w="19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3,284,547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60" w:type="dxa"/>
            <w:tcBorders/>
            <w:shd w:fill="CCEEFF" w:val="clear"/>
            <w:tcMar>
              <w:bottom w:w="0" w:type="dxa"/>
            </w:tcMar>
            <w:vAlign w:val="center"/>
          </w:tcPr>
          <w:p>
            <w:pPr>
              <w:pStyle w:val="TableContents"/>
              <w:spacing w:before="0" w:after="0"/>
              <w:ind w:left="160" w:right="0" w:hanging="160"/>
              <w:jc w:val="left"/>
              <w:rPr>
                <w:spacing w:val="3"/>
              </w:rPr>
            </w:pPr>
            <w:r>
              <w:rPr>
                <w:spacing w:val="3"/>
              </w:rPr>
              <w:t xml:space="preserve">Prof. Shai Shalev-Shwartz, Chief </w:t>
              <w:br/>
              <w:t xml:space="preserve">Technology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2" w:type="dxa"/>
            <w:tcBorders/>
            <w:shd w:fill="CCEEFF" w:val="clear"/>
            <w:tcMar>
              <w:bottom w:w="0" w:type="dxa"/>
            </w:tcMar>
            <w:vAlign w:val="center"/>
          </w:tcPr>
          <w:p>
            <w:pPr>
              <w:pStyle w:val="TableContents"/>
              <w:spacing w:before="0" w:after="0"/>
              <w:jc w:val="center"/>
              <w:rPr>
                <w:spacing w:val="3"/>
              </w:rPr>
            </w:pPr>
            <w:r>
              <w:rPr>
                <w:spacing w:val="3"/>
              </w:rPr>
              <w:t xml:space="preserve">October 26,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367"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79"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476,190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595" w:type="dxa"/>
            <w:tcBorders/>
            <w:shd w:fill="CCEEFF" w:val="clear"/>
            <w:tcMar>
              <w:bottom w:w="0" w:type="dxa"/>
            </w:tcMar>
            <w:vAlign w:val="center"/>
          </w:tcPr>
          <w:p>
            <w:pPr>
              <w:pStyle w:val="TableContents"/>
              <w:spacing w:before="0" w:after="283"/>
              <w:jc w:val="right"/>
              <w:rPr/>
            </w:pPr>
            <w:r>
              <w:rPr/>
              <w:t>N/A</w:t>
            </w:r>
          </w:p>
        </w:tc>
        <w:tc>
          <w:tcPr>
            <w:tcW w:w="19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9,999,990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60" w:type="dxa"/>
            <w:tcBorders/>
            <w:shd w:fill="auto" w:val="clear"/>
            <w:tcMar>
              <w:bottom w:w="0" w:type="dxa"/>
            </w:tcMar>
            <w:vAlign w:val="center"/>
          </w:tcPr>
          <w:p>
            <w:pPr>
              <w:pStyle w:val="TableContents"/>
              <w:spacing w:before="0" w:after="0"/>
              <w:ind w:left="160" w:right="0" w:hanging="160"/>
              <w:jc w:val="left"/>
              <w:rPr>
                <w:spacing w:val="3"/>
              </w:rPr>
            </w:pPr>
            <w:r>
              <w:rPr>
                <w:spacing w:val="3"/>
              </w:rPr>
              <w:t xml:space="preserve">Dr. Gavriel Hayon, Executive Vice President, Research &amp; Development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2" w:type="dxa"/>
            <w:tcBorders/>
            <w:shd w:fill="auto" w:val="clear"/>
            <w:tcMar>
              <w:bottom w:w="0" w:type="dxa"/>
            </w:tcMar>
            <w:vAlign w:val="center"/>
          </w:tcPr>
          <w:p>
            <w:pPr>
              <w:pStyle w:val="TableContents"/>
              <w:spacing w:before="0" w:after="0"/>
              <w:jc w:val="center"/>
              <w:rPr>
                <w:spacing w:val="3"/>
              </w:rPr>
            </w:pPr>
            <w:r>
              <w:rPr>
                <w:spacing w:val="3"/>
              </w:rPr>
              <w:t xml:space="preserve">October 26,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N/A</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367" w:type="dxa"/>
            <w:tcBorders/>
            <w:shd w:fill="auto" w:val="clear"/>
            <w:tcMar>
              <w:bottom w:w="0" w:type="dxa"/>
            </w:tcMar>
            <w:vAlign w:val="center"/>
          </w:tcPr>
          <w:p>
            <w:pPr>
              <w:pStyle w:val="TableContents"/>
              <w:spacing w:before="0" w:after="283"/>
              <w:jc w:val="right"/>
              <w:rPr/>
            </w:pPr>
            <w:r>
              <w:rPr/>
              <w:t>N/A</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N/A</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N/A</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79" w:type="dxa"/>
            <w:tcBorders/>
            <w:shd w:fill="auto" w:val="clear"/>
            <w:tcMar>
              <w:bottom w:w="0" w:type="dxa"/>
            </w:tcMar>
            <w:vAlign w:val="center"/>
          </w:tcPr>
          <w:p>
            <w:pPr>
              <w:pStyle w:val="TableContents"/>
              <w:spacing w:before="0" w:after="283"/>
              <w:jc w:val="right"/>
              <w:rPr/>
            </w:pPr>
            <w:r>
              <w:rPr/>
              <w:t>N/A</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rPr/>
            </w:pPr>
            <w:r>
              <w:rPr/>
              <w:t>​</w:t>
            </w:r>
          </w:p>
        </w:tc>
        <w:tc>
          <w:tcPr>
            <w:tcW w:w="172" w:type="dxa"/>
            <w:tcBorders/>
            <w:shd w:fill="auto" w:val="clear"/>
            <w:tcMar>
              <w:bottom w:w="0" w:type="dxa"/>
            </w:tcMar>
            <w:vAlign w:val="center"/>
          </w:tcPr>
          <w:p>
            <w:pPr>
              <w:pStyle w:val="TableContents"/>
              <w:spacing w:before="0" w:after="283"/>
              <w:jc w:val="right"/>
              <w:rPr/>
            </w:pPr>
            <w:r>
              <w:rPr/>
              <w:t>​</w:t>
            </w:r>
          </w:p>
        </w:tc>
        <w:tc>
          <w:tcPr>
            <w:tcW w:w="546" w:type="dxa"/>
            <w:tcBorders/>
            <w:shd w:fill="auto" w:val="clear"/>
            <w:tcMar>
              <w:bottom w:w="0" w:type="dxa"/>
            </w:tcMar>
            <w:vAlign w:val="center"/>
          </w:tcPr>
          <w:p>
            <w:pPr>
              <w:pStyle w:val="TableContents"/>
              <w:spacing w:before="0" w:after="283"/>
              <w:jc w:val="right"/>
              <w:rPr/>
            </w:pPr>
            <w:r>
              <w:rPr/>
              <w:t>N/A</w:t>
            </w:r>
          </w:p>
        </w:tc>
        <w:tc>
          <w:tcPr>
            <w:tcW w:w="17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108,788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595" w:type="dxa"/>
            <w:tcBorders/>
            <w:shd w:fill="auto" w:val="clear"/>
            <w:tcMar>
              <w:bottom w:w="0" w:type="dxa"/>
            </w:tcMar>
            <w:vAlign w:val="center"/>
          </w:tcPr>
          <w:p>
            <w:pPr>
              <w:pStyle w:val="TableContents"/>
              <w:spacing w:before="0" w:after="283"/>
              <w:jc w:val="right"/>
              <w:rPr/>
            </w:pPr>
            <w:r>
              <w:rPr/>
              <w:t>N/A</w:t>
            </w:r>
          </w:p>
        </w:tc>
        <w:tc>
          <w:tcPr>
            <w:tcW w:w="19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2,284,548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60" w:type="dxa"/>
            <w:tcBorders/>
            <w:shd w:fill="CCEEFF" w:val="clear"/>
            <w:tcMar>
              <w:bottom w:w="0" w:type="dxa"/>
            </w:tcMar>
            <w:vAlign w:val="center"/>
          </w:tcPr>
          <w:p>
            <w:pPr>
              <w:pStyle w:val="TableContents"/>
              <w:spacing w:lineRule="atLeast" w:line="192" w:before="0" w:after="0"/>
              <w:ind w:left="160" w:right="0" w:hanging="160"/>
              <w:jc w:val="left"/>
              <w:rPr>
                <w:spacing w:val="3"/>
              </w:rPr>
            </w:pPr>
            <w:r>
              <w:rPr>
                <w:spacing w:val="3"/>
              </w:rPr>
              <w:t xml:space="preserve">Nimrod Nehushtan, Senior Vice </w:t>
              <w:br/>
              <w:t xml:space="preserve">President, Business </w:t>
              <w:br/>
              <w:t xml:space="preserve">Development &amp; Strategy and </w:t>
              <w:br/>
              <w:t xml:space="preserve">Co-Manager REM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2" w:type="dxa"/>
            <w:tcBorders/>
            <w:shd w:fill="CCEEFF" w:val="clear"/>
            <w:tcMar>
              <w:bottom w:w="0" w:type="dxa"/>
            </w:tcMar>
            <w:vAlign w:val="center"/>
          </w:tcPr>
          <w:p>
            <w:pPr>
              <w:pStyle w:val="TableContents"/>
              <w:spacing w:before="0" w:after="0"/>
              <w:jc w:val="center"/>
              <w:rPr>
                <w:spacing w:val="3"/>
              </w:rPr>
            </w:pPr>
            <w:r>
              <w:rPr>
                <w:spacing w:val="3"/>
              </w:rPr>
              <w:t xml:space="preserve">October 26,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367"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N/A</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79" w:type="dxa"/>
            <w:tcBorders/>
            <w:shd w:fill="CCEEFF" w:val="clear"/>
            <w:tcMar>
              <w:bottom w:w="0" w:type="dxa"/>
            </w:tcMar>
            <w:vAlign w:val="center"/>
          </w:tcPr>
          <w:p>
            <w:pPr>
              <w:pStyle w:val="TableContents"/>
              <w:spacing w:before="0" w:after="283"/>
              <w:jc w:val="right"/>
              <w:rPr/>
            </w:pPr>
            <w:r>
              <w:rPr/>
              <w:t>N/A</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rPr/>
            </w:pPr>
            <w:r>
              <w:rPr/>
              <w:t>​</w:t>
            </w:r>
          </w:p>
        </w:tc>
        <w:tc>
          <w:tcPr>
            <w:tcW w:w="172" w:type="dxa"/>
            <w:tcBorders/>
            <w:shd w:fill="CCEEFF" w:val="clear"/>
            <w:tcMar>
              <w:bottom w:w="0" w:type="dxa"/>
            </w:tcMar>
            <w:vAlign w:val="center"/>
          </w:tcPr>
          <w:p>
            <w:pPr>
              <w:pStyle w:val="TableContents"/>
              <w:spacing w:before="0" w:after="283"/>
              <w:jc w:val="right"/>
              <w:rPr/>
            </w:pPr>
            <w:r>
              <w:rPr/>
              <w:t>​</w:t>
            </w:r>
          </w:p>
        </w:tc>
        <w:tc>
          <w:tcPr>
            <w:tcW w:w="546" w:type="dxa"/>
            <w:tcBorders/>
            <w:shd w:fill="CCEEFF" w:val="clear"/>
            <w:tcMar>
              <w:bottom w:w="0" w:type="dxa"/>
            </w:tcMar>
            <w:vAlign w:val="center"/>
          </w:tcPr>
          <w:p>
            <w:pPr>
              <w:pStyle w:val="TableContents"/>
              <w:spacing w:before="0" w:after="283"/>
              <w:jc w:val="right"/>
              <w:rPr/>
            </w:pPr>
            <w:r>
              <w:rPr/>
              <w:t>N/A</w:t>
            </w:r>
          </w:p>
        </w:tc>
        <w:tc>
          <w:tcPr>
            <w:tcW w:w="17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93,570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595" w:type="dxa"/>
            <w:tcBorders/>
            <w:shd w:fill="CCEEFF" w:val="clear"/>
            <w:tcMar>
              <w:bottom w:w="0" w:type="dxa"/>
            </w:tcMar>
            <w:vAlign w:val="center"/>
          </w:tcPr>
          <w:p>
            <w:pPr>
              <w:pStyle w:val="TableContents"/>
              <w:spacing w:before="0" w:after="283"/>
              <w:jc w:val="right"/>
              <w:rPr/>
            </w:pPr>
            <w:r>
              <w:rPr/>
              <w:t>N/A</w:t>
            </w:r>
          </w:p>
        </w:tc>
        <w:tc>
          <w:tcPr>
            <w:tcW w:w="19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1,964,970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2022. </w:t>
      </w:r>
      <w:r>
        <mc:AlternateContent>
          <mc:Choice Requires="wps">
            <w:drawing>
              <wp:anchor behindDoc="0" distT="88900" distB="0" distL="0" distR="0" simplePos="0" locked="0" layoutInCell="1" allowOverlap="1" relativeHeight="114">
                <wp:simplePos x="0" y="0"/>
                <wp:positionH relativeFrom="column">
                  <wp:align>left</wp:align>
                </wp:positionH>
                <wp:positionV relativeFrom="line">
                  <wp:align>top</wp:align>
                </wp:positionV>
                <wp:extent cx="254000" cy="293370"/>
                <wp:effectExtent l="0" t="0" r="0" b="0"/>
                <wp:wrapSquare wrapText="largest"/>
                <wp:docPr id="107" name="Frame94"/>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and Other Agreements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Prof. Shashua, Ms. Heller, Prof. Shwartz, Dr. Hayon and Mr. Nehushtan, which are summarized below. Each agreement is governed by Israeli law and provides for customary non-competition and non-solicitation provisions during the term of the agreements and for twelve months after termination of their employment for any reason (except for Prof. Shashua whose non- competition and non-solicitation provisions continue for eighteen months).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Prof. Shashua</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Shashua is the co-founder and Chief Executive Officer of the Company and has been with the Company since our original founding in 1999. On July 24, 2014, we entered into an amended employment agreement with 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 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disclosed above, on June 1, 2022, we entered into an offer letter with Prof. Shashua. The offer letter sets forth Prof. Shashua’s annual base salary and annual equity award. The Company also provided Prof. Shashua with a 3:1 matching equity grant on Prof. Shashua’s investment with Mobileye, as described in the “New Equity Awards” section above.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Ms. Heller</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 (Ms.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 Law 5723-1963.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Prof. Shwartz</w:t>
      </w:r>
      <w:r>
        <w:rPr>
          <w:rFonts w:ascii="Times New Roman;Times;serif" w:hAnsi="Times New Roman;Times;serif"/>
          <w:b/>
          <w:i/>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2010, we entered into an employment agreement with Prof. Shai Shalev-Shwartz, our Chief Technology Officer. The employment agreement sets forth his annual salary, global overtime, high- 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 Law 5723-1963.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640"/>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 Hayon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1999, we entered into an employment agreement with Dr. Hayon, our Executive Vice President of Research &amp; Development. The employment agreement sets forth his annual salary, vacation 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 Law 5723-1963. </w:t>
      </w:r>
    </w:p>
    <w:p>
      <w:pPr>
        <w:pStyle w:val="TextBody"/>
        <w:spacing w:lineRule="atLeast" w:line="240" w:before="240" w:after="283"/>
        <w:ind w:left="17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Mr. Nehushtan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 2017, we entered into an employment agreement with Mr. Nehushtan, our Senior Vice President Business Development &amp; Strategy and Co-Manager REM. The employment agreement sets forth his annual salary, global overtime, high-tech addition, which is a fixed salary component (as described in footnote 1 to the table under “Base Salaries” above), vacation leave (17 days), sick leave, reimbursement for travel expenses, and monthly convalescence pay. The Company also contributes the following amounts toward an accepted manager’s insurance policy (Bituach Menahalim): a sum equal to 8.33% of his salary for severance purposes, and 6.5% of his salary for pension purposes (Mr. Neshushtan also contributes 6% of his salary toward such fund) and up to 0.55% of his salary towards disability insurance. Mr. Nehushtan’s employment agreement also ensures certain payments to an Advanced Study Fund, under which the Company contributes an amount equal to 7.5% of his gross salary (representing 80% of the sum of salary, travel expense and convalesce) on a monthly basis, and Mr. Nehushtan contributes 2.5% of his gross salary on a monthly basis.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Mr. Nehushtan may terminate his employment agreement for any reason by providing thirty days’ prior written notice or pay in lieu of notice. Mr. Nehushtan is entitled to the transfer of the funds in his severance fund, only if his termination would entitle him to severance under the Severance Pay Law 5723-1963.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 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maintain a nonqualified deferred compensation plan for the benefit of the NEOs and none of the NEOs participate in a defined benefit pension plan maintained by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OEAT"/>
      <w:bookmarkEnd w:id="3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 Table</w:t>
      </w:r>
      <w:r>
        <w:rPr>
          <w:rFonts w:ascii="Times New Roman;Times;serif" w:hAnsi="Times New Roman;Times;serif"/>
          <w:b/>
          <w:i w:val="false"/>
          <w:caps w:val="false"/>
          <w:smallCaps w:val="false"/>
          <w:color w:val="000000"/>
          <w:spacing w:val="4"/>
          <w:sz w:val="20"/>
        </w:rPr>
        <w:t xml:space="preserve"> </w:t>
      </w:r>
    </w:p>
    <w:tbl>
      <w:tblPr>
        <w:tblW w:w="16224" w:type="dxa"/>
        <w:jc w:val="left"/>
        <w:tblInd w:w="543" w:type="dxa"/>
        <w:tblCellMar>
          <w:top w:w="0" w:type="dxa"/>
          <w:left w:w="0" w:type="dxa"/>
          <w:bottom w:w="28" w:type="dxa"/>
          <w:right w:w="0" w:type="dxa"/>
        </w:tblCellMar>
      </w:tblPr>
      <w:tblGrid>
        <w:gridCol w:w="1580"/>
        <w:gridCol w:w="109"/>
        <w:gridCol w:w="109"/>
        <w:gridCol w:w="634"/>
        <w:gridCol w:w="109"/>
        <w:gridCol w:w="109"/>
        <w:gridCol w:w="820"/>
        <w:gridCol w:w="109"/>
        <w:gridCol w:w="109"/>
        <w:gridCol w:w="1261"/>
        <w:gridCol w:w="109"/>
        <w:gridCol w:w="109"/>
        <w:gridCol w:w="1420"/>
        <w:gridCol w:w="109"/>
        <w:gridCol w:w="109"/>
        <w:gridCol w:w="1261"/>
        <w:gridCol w:w="109"/>
        <w:gridCol w:w="109"/>
        <w:gridCol w:w="895"/>
        <w:gridCol w:w="109"/>
        <w:gridCol w:w="109"/>
        <w:gridCol w:w="1069"/>
        <w:gridCol w:w="109"/>
        <w:gridCol w:w="109"/>
        <w:gridCol w:w="109"/>
        <w:gridCol w:w="109"/>
        <w:gridCol w:w="1096"/>
        <w:gridCol w:w="109"/>
        <w:gridCol w:w="109"/>
        <w:gridCol w:w="109"/>
        <w:gridCol w:w="781"/>
        <w:gridCol w:w="109"/>
        <w:gridCol w:w="109"/>
        <w:gridCol w:w="1015"/>
        <w:gridCol w:w="109"/>
        <w:gridCol w:w="109"/>
        <w:gridCol w:w="109"/>
        <w:gridCol w:w="109"/>
        <w:gridCol w:w="1186"/>
        <w:gridCol w:w="109"/>
        <w:gridCol w:w="154"/>
      </w:tblGrid>
      <w:tr>
        <w:trPr/>
        <w:tc>
          <w:tcPr>
            <w:tcW w:w="158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3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2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778" w:type="dxa"/>
            <w:gridSpan w:val="13"/>
            <w:tcBorders>
              <w:bottom w:val="single" w:sz="2" w:space="0" w:color="000000"/>
            </w:tcBorders>
            <w:shd w:fill="auto" w:val="clear"/>
            <w:tcMar>
              <w:bottom w:w="59" w:type="dxa"/>
            </w:tcMar>
            <w:vAlign w:val="center"/>
          </w:tcPr>
          <w:p>
            <w:pPr>
              <w:pStyle w:val="TableContents"/>
              <w:spacing w:before="0" w:after="0"/>
              <w:jc w:val="center"/>
              <w:rPr>
                <w:spacing w:val="-3"/>
              </w:rPr>
            </w:pPr>
            <w:r>
              <w:rPr>
                <w:spacing w:val="-3"/>
              </w:rPr>
              <w:t xml:space="preserve">Option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386" w:type="dxa"/>
            <w:gridSpan w:val="16"/>
            <w:tcBorders>
              <w:bottom w:val="single" w:sz="2" w:space="0" w:color="000000"/>
            </w:tcBorders>
            <w:shd w:fill="auto" w:val="clear"/>
            <w:tcMar>
              <w:bottom w:w="59" w:type="dxa"/>
            </w:tcMar>
            <w:vAlign w:val="center"/>
          </w:tcPr>
          <w:p>
            <w:pPr>
              <w:pStyle w:val="TableContents"/>
              <w:spacing w:before="0" w:after="0"/>
              <w:jc w:val="center"/>
              <w:rPr>
                <w:spacing w:val="-3"/>
              </w:rPr>
            </w:pPr>
            <w:r>
              <w:rPr>
                <w:spacing w:val="-3"/>
              </w:rPr>
              <w:t xml:space="preserve">Stock Awards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580" w:type="dxa"/>
            <w:tcBorders>
              <w:bottom w:val="single" w:sz="2" w:space="0" w:color="000000"/>
            </w:tcBorders>
            <w:shd w:fill="auto" w:val="clear"/>
            <w:tcMar>
              <w:bottom w:w="5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634"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Date of </w:t>
              <w:br/>
              <w:t xml:space="preserve">Grant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20"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INTC / </w:t>
              <w:br/>
              <w:t xml:space="preserve">MBLV </w:t>
              <w:br/>
              <w:t xml:space="preserve">Stock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1"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0"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1"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 xml:space="preserve">Options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95"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Option </w:t>
              <w:br/>
              <w:t xml:space="preserve">Exercise </w:t>
              <w:br/>
              <w:t xml:space="preserve">Price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9"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3" w:type="dxa"/>
            <w:gridSpan w:val="4"/>
            <w:tcBorders>
              <w:bottom w:val="single" w:sz="2" w:space="0" w:color="000000"/>
            </w:tcBorders>
            <w:shd w:fill="auto" w:val="clear"/>
            <w:tcMar>
              <w:bottom w:w="53" w:type="dxa"/>
            </w:tcMar>
            <w:vAlign w:val="center"/>
          </w:tcPr>
          <w:p>
            <w:pPr>
              <w:pStyle w:val="TableContents"/>
              <w:spacing w:lineRule="atLeast" w:line="141" w:before="0" w:after="0"/>
              <w:jc w:val="center"/>
              <w:rPr/>
            </w:pPr>
            <w:r>
              <w:rPr>
                <w:spacing w:val="-3"/>
              </w:rPr>
              <w:t xml:space="preserve">Number of </w:t>
              <w:br/>
              <w:t xml:space="preserve">Shares or </w:t>
              <w:br/>
              <w:t xml:space="preserve">Units of Stock </w:t>
              <w:br/>
              <w:t xml:space="preserve">That Have </w:t>
              <w:br/>
              <w:t>Not Vested (#)</w:t>
            </w:r>
            <w:r>
              <w:rPr>
                <w:spacing w:val="-2"/>
                <w:sz w:val="9"/>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81" w:type="dxa"/>
            <w:tcBorders>
              <w:bottom w:val="single" w:sz="2" w:space="0" w:color="000000"/>
            </w:tcBorders>
            <w:shd w:fill="auto" w:val="clear"/>
            <w:tcMar>
              <w:bottom w:w="53" w:type="dxa"/>
            </w:tcMar>
            <w:vAlign w:val="center"/>
          </w:tcPr>
          <w:p>
            <w:pPr>
              <w:pStyle w:val="TableContents"/>
              <w:spacing w:lineRule="atLeast" w:line="141"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Vested ($)</w:t>
            </w:r>
            <w:r>
              <w:rPr>
                <w:spacing w:val="-2"/>
                <w:sz w:val="9"/>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15" w:type="dxa"/>
            <w:tcBorders>
              <w:bottom w:val="single" w:sz="2" w:space="0" w:color="000000"/>
            </w:tcBorders>
            <w:shd w:fill="auto" w:val="clear"/>
            <w:tcMar>
              <w:bottom w:w="53" w:type="dxa"/>
            </w:tcMar>
            <w:vAlign w:val="center"/>
          </w:tcPr>
          <w:p>
            <w:pPr>
              <w:pStyle w:val="TableContents"/>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w:t>
              <w:br/>
              <w:t xml:space="preserve">That </w:t>
              <w:br/>
              <w:t xml:space="preserve">Have Not </w:t>
              <w:br/>
              <w:t xml:space="preserve">Vested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3" w:type="dxa"/>
            </w:tcMar>
            <w:vAlign w:val="center"/>
          </w:tcPr>
          <w:p>
            <w:pPr>
              <w:pStyle w:val="TableContents"/>
              <w:spacing w:lineRule="atLeast" w:line="141" w:before="0" w:after="0"/>
              <w:jc w:val="center"/>
              <w:rPr/>
            </w:pPr>
            <w:r>
              <w:rPr>
                <w:spacing w:val="-3"/>
              </w:rPr>
              <w:t xml:space="preserve">Equity </w:t>
              <w:br/>
              <w:t xml:space="preserve">Incentive </w:t>
              <w:br/>
              <w:t xml:space="preserve">Awards: </w:t>
              <w:br/>
              <w:t xml:space="preserve">Market or </w:t>
              <w:br/>
              <w:t xml:space="preserve">Payout </w:t>
              <w:br/>
              <w:t xml:space="preserve">Value o f </w:t>
              <w:br/>
              <w:t xml:space="preserve">Unearned </w:t>
              <w:br/>
              <w:t xml:space="preserve">Shares, </w:t>
              <w:br/>
              <w:t xml:space="preserve">Units or </w:t>
              <w:br/>
              <w:t xml:space="preserve">Other </w:t>
              <w:br/>
              <w:t xml:space="preserve">Rights </w:t>
              <w:br/>
              <w:t xml:space="preserve">That Have </w:t>
              <w:br/>
              <w:t>Not Vested ($)</w:t>
            </w:r>
            <w:r>
              <w:rPr>
                <w:spacing w:val="-2"/>
                <w:sz w:val="9"/>
              </w:rPr>
              <w:t>(2)</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0"/>
              <w:ind w:left="140" w:right="0" w:hanging="140"/>
              <w:jc w:val="left"/>
              <w:rPr>
                <w:spacing w:val="3"/>
              </w:rPr>
            </w:pPr>
            <w:r>
              <w:rPr>
                <w:spacing w:val="3"/>
              </w:rPr>
              <w:t xml:space="preserve">Prof. Amnon Shashua, Chief </w:t>
              <w:br/>
              <w:t xml:space="preserve">Executive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676,190</w:t>
            </w:r>
            <w:r>
              <w:rPr>
                <w:sz w:val="9"/>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23,707,222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1,428,571</w:t>
            </w:r>
            <w:r>
              <w:rPr>
                <w:sz w:val="9"/>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50,085,701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8/8/2017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2,098,578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26.89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8/15/23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3" w:type="dxa"/>
            <w:gridSpan w:val="4"/>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13" w:type="dxa"/>
            <w:gridSpan w:val="4"/>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0"/>
              <w:ind w:left="140" w:right="0" w:hanging="140"/>
              <w:jc w:val="left"/>
              <w:rPr>
                <w:spacing w:val="3"/>
              </w:rPr>
            </w:pPr>
            <w:r>
              <w:rPr>
                <w:spacing w:val="3"/>
              </w:rPr>
              <w:t xml:space="preserve">Anat Heller, Chief Financial </w:t>
              <w:br/>
              <w:t xml:space="preserve">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61,169</w:t>
            </w:r>
            <w:r>
              <w:rPr>
                <w:sz w:val="9"/>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2,144,585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95,238</w:t>
            </w:r>
            <w:r>
              <w:rPr>
                <w:sz w:val="9"/>
              </w:rPr>
              <w:t>(6)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3,339,044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10/30/2020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3,225</w:t>
            </w:r>
            <w:r>
              <w:rPr>
                <w:sz w:val="9"/>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85,237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10/30/2021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6,339</w:t>
            </w:r>
            <w:r>
              <w:rPr>
                <w:sz w:val="9"/>
              </w:rPr>
              <w:t>(8)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167,540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lineRule="atLeast" w:line="168" w:before="0" w:after="0"/>
              <w:ind w:left="140" w:right="0" w:hanging="140"/>
              <w:jc w:val="left"/>
              <w:rPr>
                <w:spacing w:val="3"/>
              </w:rPr>
            </w:pPr>
            <w:r>
              <w:rPr>
                <w:spacing w:val="3"/>
              </w:rPr>
              <w:t xml:space="preserve">Prof. Shai Shalev-Shwartz, Chief Technology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476,190</w:t>
            </w:r>
            <w:r>
              <w:rPr>
                <w:sz w:val="9"/>
              </w:rPr>
              <w:t>(9)</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16,695,221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10/30/2020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19,350</w:t>
            </w:r>
            <w:r>
              <w:rPr>
                <w:sz w:val="9"/>
              </w:rPr>
              <w:t>(10)</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pPr>
            <w:r>
              <w:rPr>
                <w:spacing w:val="3"/>
              </w:rPr>
              <w:t>$26.43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511,421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10/30/2021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38,033</w:t>
            </w:r>
            <w:r>
              <w:rPr>
                <w:sz w:val="9"/>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1,005,212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0"/>
              <w:ind w:left="140" w:right="0" w:hanging="140"/>
              <w:jc w:val="left"/>
              <w:rPr>
                <w:spacing w:val="3"/>
              </w:rPr>
            </w:pPr>
            <w:r>
              <w:rPr>
                <w:spacing w:val="3"/>
              </w:rPr>
              <w:t xml:space="preserve">Dr. Gavriel Hayon, Executive </w:t>
              <w:br/>
              <w:t xml:space="preserve">Vice President, Research &amp; </w:t>
              <w:br/>
              <w:t xml:space="preserve">Development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108,788</w:t>
            </w:r>
            <w:r>
              <w:rPr>
                <w:sz w:val="9"/>
              </w:rPr>
              <w:t>(12)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3,814,107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10/30/2020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12,082</w:t>
            </w:r>
            <w:r>
              <w:rPr>
                <w:sz w:val="9"/>
              </w:rPr>
              <w:t>(13)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319,327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10/30/2021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23,748</w:t>
            </w:r>
            <w:r>
              <w:rPr>
                <w:sz w:val="9"/>
              </w:rPr>
              <w:t>(14)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627,660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0"/>
              <w:ind w:left="140" w:right="0" w:hanging="140"/>
              <w:jc w:val="left"/>
              <w:rPr>
                <w:spacing w:val="3"/>
              </w:rPr>
            </w:pPr>
            <w:r>
              <w:rPr>
                <w:spacing w:val="3"/>
              </w:rPr>
              <w:t xml:space="preserve">Nimrod Nehushtan, Senior Vice President Business Development &amp; Strategy and Co-Manager REM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10/26/2022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MBLY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93,570</w:t>
            </w:r>
            <w:r>
              <w:rPr>
                <w:sz w:val="9"/>
              </w:rPr>
              <w:t>(15)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$35.06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3,280,564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01/30/2020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568</w:t>
            </w:r>
            <w:r>
              <w:rPr>
                <w:sz w:val="9"/>
              </w:rPr>
              <w:t>(16)</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15,012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80"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34" w:type="dxa"/>
            <w:tcBorders/>
            <w:shd w:fill="auto" w:val="clear"/>
            <w:tcMar>
              <w:bottom w:w="0" w:type="dxa"/>
            </w:tcMar>
            <w:vAlign w:val="center"/>
          </w:tcPr>
          <w:p>
            <w:pPr>
              <w:pStyle w:val="TableContents"/>
              <w:spacing w:before="0" w:after="0"/>
              <w:jc w:val="center"/>
              <w:rPr>
                <w:spacing w:val="3"/>
              </w:rPr>
            </w:pPr>
            <w:r>
              <w:rPr>
                <w:spacing w:val="3"/>
              </w:rPr>
              <w:t xml:space="preserve">10/30/2020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20" w:type="dxa"/>
            <w:tcBorders/>
            <w:shd w:fill="auto"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0"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69"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484</w:t>
            </w:r>
            <w:r>
              <w:rPr>
                <w:sz w:val="9"/>
              </w:rPr>
              <w:t>(17)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81" w:type="dxa"/>
            <w:tcBorders/>
            <w:shd w:fill="auto"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15" w:type="dxa"/>
            <w:tcBorders/>
            <w:shd w:fill="auto"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12,792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80"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34" w:type="dxa"/>
            <w:tcBorders/>
            <w:shd w:fill="CCEEFF" w:val="clear"/>
            <w:tcMar>
              <w:bottom w:w="0" w:type="dxa"/>
            </w:tcMar>
            <w:vAlign w:val="center"/>
          </w:tcPr>
          <w:p>
            <w:pPr>
              <w:pStyle w:val="TableContents"/>
              <w:spacing w:before="0" w:after="0"/>
              <w:jc w:val="center"/>
              <w:rPr>
                <w:spacing w:val="3"/>
              </w:rPr>
            </w:pPr>
            <w:r>
              <w:rPr>
                <w:spacing w:val="3"/>
              </w:rPr>
              <w:t xml:space="preserve">10/30/2021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20" w:type="dxa"/>
            <w:tcBorders/>
            <w:shd w:fill="CCEEFF" w:val="clear"/>
            <w:tcMar>
              <w:bottom w:w="0" w:type="dxa"/>
            </w:tcMar>
            <w:vAlign w:val="center"/>
          </w:tcPr>
          <w:p>
            <w:pPr>
              <w:pStyle w:val="TableContents"/>
              <w:spacing w:before="0" w:after="0"/>
              <w:jc w:val="center"/>
              <w:rPr>
                <w:spacing w:val="3"/>
              </w:rPr>
            </w:pPr>
            <w:r>
              <w:rPr>
                <w:spacing w:val="3"/>
              </w:rPr>
              <w:t xml:space="preserve">INTC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0"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1"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69"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3,488</w:t>
            </w:r>
            <w:r>
              <w:rPr>
                <w:sz w:val="9"/>
              </w:rPr>
              <w:t>(18)</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781" w:type="dxa"/>
            <w:tcBorders/>
            <w:shd w:fill="CCEEFF" w:val="clear"/>
            <w:tcMar>
              <w:bottom w:w="0" w:type="dxa"/>
            </w:tcMar>
            <w:vAlign w:val="center"/>
          </w:tcPr>
          <w:p>
            <w:pPr>
              <w:pStyle w:val="TableContents"/>
              <w:spacing w:before="0" w:after="0"/>
              <w:jc w:val="center"/>
              <w:rPr>
                <w:spacing w:val="3"/>
              </w:rPr>
            </w:pPr>
            <w:r>
              <w:rPr>
                <w:spacing w:val="3"/>
              </w:rPr>
              <w:t xml:space="preserve">$26.43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15" w:type="dxa"/>
            <w:tcBorders/>
            <w:shd w:fill="CCEEFF" w:val="clear"/>
            <w:tcMar>
              <w:bottom w:w="0" w:type="dxa"/>
            </w:tcMar>
            <w:vAlign w:val="center"/>
          </w:tcPr>
          <w:p>
            <w:pPr>
              <w:pStyle w:val="TableContents"/>
              <w:spacing w:before="0" w:after="0"/>
              <w:jc w:val="center"/>
              <w:rPr>
                <w:spacing w:val="3"/>
              </w:rPr>
            </w:pPr>
            <w:r>
              <w:rPr>
                <w:spacing w:val="3"/>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92,188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restricted stock units granted under the Intel Plan (the “Intel RSUs”) and ME RSUs. Such Intel RSUs and ME RSUs vest in annual installments over three years, subject to continued employment. </w:t>
      </w:r>
      <w:r>
        <mc:AlternateContent>
          <mc:Choice Requires="wps">
            <w:drawing>
              <wp:anchor behindDoc="0" distT="114300" distB="0" distL="0" distR="0" simplePos="0" locked="0" layoutInCell="1" allowOverlap="1" relativeHeight="115">
                <wp:simplePos x="0" y="0"/>
                <wp:positionH relativeFrom="column">
                  <wp:align>left</wp:align>
                </wp:positionH>
                <wp:positionV relativeFrom="line">
                  <wp:align>top</wp:align>
                </wp:positionV>
                <wp:extent cx="254000" cy="293370"/>
                <wp:effectExtent l="0" t="0" r="0" b="0"/>
                <wp:wrapSquare wrapText="largest"/>
                <wp:docPr id="108" name="Frame95"/>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with reference to $35.06, the closing price of a share of Mobileye common stock on the last trading day before December 31, 2022, and $26.43, the closing price of a share of Intel common stock on the last trading day before December 31, 2022. </w:t>
      </w:r>
      <w:r>
        <mc:AlternateContent>
          <mc:Choice Requires="wps">
            <w:drawing>
              <wp:anchor behindDoc="0" distT="63500" distB="0" distL="0" distR="0" simplePos="0" locked="0" layoutInCell="1" allowOverlap="1" relativeHeight="116">
                <wp:simplePos x="0" y="0"/>
                <wp:positionH relativeFrom="column">
                  <wp:align>left</wp:align>
                </wp:positionH>
                <wp:positionV relativeFrom="line">
                  <wp:align>top</wp:align>
                </wp:positionV>
                <wp:extent cx="254000" cy="304800"/>
                <wp:effectExtent l="0" t="0" r="0" b="0"/>
                <wp:wrapSquare wrapText="largest"/>
                <wp:docPr id="109" name="Frame9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676,190 ME RSUs were granted with the following vesting schedule: on April 26, 2023 — 270,476 RSUs; October 26, 2023 — 202,857 RSUs; and October 26, 2024 — 202,857 RSUs. </w:t>
      </w:r>
      <w:r>
        <mc:AlternateContent>
          <mc:Choice Requires="wps">
            <w:drawing>
              <wp:anchor behindDoc="0" distT="63500" distB="0" distL="0" distR="0" simplePos="0" locked="0" layoutInCell="1" allowOverlap="1" relativeHeight="117">
                <wp:simplePos x="0" y="0"/>
                <wp:positionH relativeFrom="column">
                  <wp:align>left</wp:align>
                </wp:positionH>
                <wp:positionV relativeFrom="line">
                  <wp:align>top</wp:align>
                </wp:positionV>
                <wp:extent cx="254000" cy="304800"/>
                <wp:effectExtent l="0" t="0" r="0" b="0"/>
                <wp:wrapSquare wrapText="largest"/>
                <wp:docPr id="110" name="Frame9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1,428,571 ME RSUs were granted with the following vesting schedule: on October 26, 2026 — 714,285 RSUs; and October 26, 2027 — 714,286 RSUs. </w:t>
      </w:r>
      <w:r>
        <mc:AlternateContent>
          <mc:Choice Requires="wps">
            <w:drawing>
              <wp:anchor behindDoc="0" distT="63500" distB="0" distL="0" distR="0" simplePos="0" locked="0" layoutInCell="1" allowOverlap="1" relativeHeight="118">
                <wp:simplePos x="0" y="0"/>
                <wp:positionH relativeFrom="column">
                  <wp:align>left</wp:align>
                </wp:positionH>
                <wp:positionV relativeFrom="line">
                  <wp:align>top</wp:align>
                </wp:positionV>
                <wp:extent cx="254000" cy="304800"/>
                <wp:effectExtent l="0" t="0" r="0" b="0"/>
                <wp:wrapSquare wrapText="largest"/>
                <wp:docPr id="111" name="Frame98"/>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61,169 ME RSUs were granted and will vest on April 26, 2023. </w:t>
      </w:r>
      <w:r>
        <mc:AlternateContent>
          <mc:Choice Requires="wps">
            <w:drawing>
              <wp:anchor behindDoc="0" distT="63500" distB="0" distL="0" distR="0" simplePos="0" locked="0" layoutInCell="1" allowOverlap="1" relativeHeight="119">
                <wp:simplePos x="0" y="0"/>
                <wp:positionH relativeFrom="column">
                  <wp:align>left</wp:align>
                </wp:positionH>
                <wp:positionV relativeFrom="line">
                  <wp:align>top</wp:align>
                </wp:positionV>
                <wp:extent cx="254000" cy="304800"/>
                <wp:effectExtent l="0" t="0" r="0" b="0"/>
                <wp:wrapSquare wrapText="largest"/>
                <wp:docPr id="112" name="Frame9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95,238 ME RSUs were granted with the following vesting schedule: on October 26, 2023 — 38,095 RSUs; October 26, 2024 — 28,571 RSUs; and October 26, 2025 — 28,572 RSUs. </w:t>
      </w:r>
      <w:r>
        <mc:AlternateContent>
          <mc:Choice Requires="wps">
            <w:drawing>
              <wp:anchor behindDoc="0" distT="64770" distB="0" distL="0" distR="0" simplePos="0" locked="0" layoutInCell="1" allowOverlap="1" relativeHeight="120">
                <wp:simplePos x="0" y="0"/>
                <wp:positionH relativeFrom="column">
                  <wp:align>left</wp:align>
                </wp:positionH>
                <wp:positionV relativeFrom="line">
                  <wp:align>top</wp:align>
                </wp:positionV>
                <wp:extent cx="254000" cy="304800"/>
                <wp:effectExtent l="0" t="0" r="0" b="0"/>
                <wp:wrapSquare wrapText="largest"/>
                <wp:docPr id="113" name="Frame10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OEST"/>
      <w:bookmarkEnd w:id="3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2020, a total of 17,916 Intel RSUs were granted with the following vesting schedule: October 30, 2021 — 9,853 RSUs; October 30, 2022 — 4,838 RSUs; and October 30, 2023 — 3,225 RSUs. </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254000" cy="350520"/>
                <wp:effectExtent l="0" t="0" r="0" b="0"/>
                <wp:wrapSquare wrapText="largest"/>
                <wp:docPr id="114" name="Frame1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11,121 Intel RSUs were granted with the following vesting schedule: October 30, 2022 — 4,782 RSUs; October 30, 2023 — 3,169 RSUs; and October 30, 2024 — 3,170 RSUs. </w:t>
      </w:r>
      <w:r>
        <mc:AlternateContent>
          <mc:Choice Requires="wps">
            <w:drawing>
              <wp:anchor behindDoc="0" distT="4953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largest"/>
                <wp:docPr id="115" name="Frame1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476,190 ME RSUs were granted with the following vesting schedule: on April 26, 2023 — 190,476 RSUs; June 26, 2024 — 142,857 RSUs; and June 26, 2025 — 142,857 RSUs. </w:t>
      </w:r>
      <w:r>
        <mc:AlternateContent>
          <mc:Choice Requires="wps">
            <w:drawing>
              <wp:anchor behindDoc="0" distT="4953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largest"/>
                <wp:docPr id="116" name="Frame10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2020, a total of 107,495 Intel RSUs were granted with the following vesting schedule: October 30, 2021 — 59,122 RSUs; October 30, 2022 — 29,023 RSUs; and October 30, 2023 — 19,350 RSUs. </w:t>
      </w:r>
      <w:r>
        <mc:AlternateContent>
          <mc:Choice Requires="wps">
            <w:drawing>
              <wp:anchor behindDoc="0" distT="49530" distB="0" distL="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largest"/>
                <wp:docPr id="117" name="Frame104"/>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66,724 Intel RSUs were granted with the following vesting schedule: October 30, 2022 — 28,691 RSUs; October 30, 2023 — 19,016 RSUs; and October 30, 2024 — 19,017 RSUs. </w:t>
      </w:r>
      <w:r>
        <mc:AlternateContent>
          <mc:Choice Requires="wps">
            <w:drawing>
              <wp:anchor behindDoc="0" distT="49530" distB="0" distL="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largest"/>
                <wp:docPr id="118" name="Frame10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108,788 ME RSUs were granted with the following vesting schedule: on April 26, 2023 — 43,515 RSUs; June 26, 2024 — 32,636 RSUs; and June 26, 2025 — 32,637 RSUs. </w:t>
      </w:r>
      <w:r>
        <mc:AlternateContent>
          <mc:Choice Requires="wps">
            <w:drawing>
              <wp:anchor behindDoc="0" distT="4953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largest"/>
                <wp:docPr id="119" name="Frame10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2020, a total of 67,120 Intel RSUs were granted with the following vesting schedule: October 30, 2021 — 36,916 RSUs; October 30, 2022 — 18,122 RSUs; and October 30, 2023 — 12,082 RSUs. </w:t>
      </w:r>
      <w:r>
        <mc:AlternateContent>
          <mc:Choice Requires="wps">
            <w:drawing>
              <wp:anchor behindDoc="0" distT="49530" distB="0" distL="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largest"/>
                <wp:docPr id="120" name="Frame10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41,663 Intel RSUs were granted with the following vesting schedule: October 30, 2022 — 17,915 RSUs; October 30, 2023 — 11,874 RSUs; and October 30, 2024 — 11,874 RSUs. </w:t>
      </w:r>
      <w:r>
        <mc:AlternateContent>
          <mc:Choice Requires="wps">
            <w:drawing>
              <wp:anchor behindDoc="0" distT="49530" distB="0" distL="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largest"/>
                <wp:docPr id="121" name="Frame10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93,570 ME RSUs were granted with the following vesting schedule: on April 26, 2023 — 30,878 RSUs; June 26, 2024 — 30,878 RSUs; and June 26, 2025 — 31,814 RSUs. </w:t>
      </w:r>
      <w:r>
        <mc:AlternateContent>
          <mc:Choice Requires="wps">
            <w:drawing>
              <wp:anchor behindDoc="0" distT="4953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largest"/>
                <wp:docPr id="122" name="Frame10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30, 2020, a total of 1,702 Intel RSUs were granted with the following vesting schedule: January 30, 2021 — 567 RSUs; January 30, 2022 — 567 RSUs; and January 30, 2023 — 568 RSUs. </w:t>
      </w:r>
      <w:r>
        <mc:AlternateContent>
          <mc:Choice Requires="wps">
            <w:drawing>
              <wp:anchor behindDoc="0" distT="4953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largest"/>
                <wp:docPr id="123" name="Frame11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2020, a total of 2,688 Intel RSUs were granted with the following vesting schedule: October 30, 2021 — 1,478 RSUs; October 30, 2022 — 726 RSUs; and October 30, 2023 — 484 RSUs. </w:t>
      </w:r>
      <w:r>
        <mc:AlternateContent>
          <mc:Choice Requires="wps">
            <w:drawing>
              <wp:anchor behindDoc="0" distT="49530" distB="0" distL="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largest"/>
                <wp:docPr id="124" name="Frame111"/>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6,118 Intel RSUs were granted with the following vesting schedule: October 30, 2022 — 2,630 RSUs; October 30, 2023 — 1,744 RSUs; and October 30, 2024 — 1,744 RSUs. </w:t>
      </w:r>
      <w:r>
        <mc:AlternateContent>
          <mc:Choice Requires="wps">
            <w:drawing>
              <wp:anchor behindDoc="0" distT="4953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largest"/>
                <wp:docPr id="125" name="Frame11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 Table*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2225"/>
        <w:gridCol w:w="109"/>
        <w:gridCol w:w="109"/>
        <w:gridCol w:w="111"/>
        <w:gridCol w:w="111"/>
        <w:gridCol w:w="1094"/>
        <w:gridCol w:w="111"/>
        <w:gridCol w:w="109"/>
        <w:gridCol w:w="109"/>
        <w:gridCol w:w="111"/>
        <w:gridCol w:w="111"/>
        <w:gridCol w:w="1209"/>
        <w:gridCol w:w="111"/>
        <w:gridCol w:w="109"/>
        <w:gridCol w:w="109"/>
        <w:gridCol w:w="115"/>
        <w:gridCol w:w="115"/>
        <w:gridCol w:w="809"/>
        <w:gridCol w:w="115"/>
        <w:gridCol w:w="109"/>
        <w:gridCol w:w="109"/>
        <w:gridCol w:w="112"/>
        <w:gridCol w:w="112"/>
        <w:gridCol w:w="1096"/>
        <w:gridCol w:w="112"/>
        <w:gridCol w:w="160"/>
      </w:tblGrid>
      <w:tr>
        <w:trPr/>
        <w:tc>
          <w:tcPr>
            <w:tcW w:w="222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187"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Option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04"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Awards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2225"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7"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Shares </w:t>
              <w:br/>
              <w:t xml:space="preserve">Acquired on </w:t>
              <w:br/>
              <w:t xml:space="preserve">Exercise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42"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Value Realized on </w:t>
              <w:br/>
              <w:t>Exercise ($)</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54"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Shares </w:t>
              <w:br/>
              <w:t xml:space="preserve">Acquired on </w:t>
              <w:br/>
              <w:t xml:space="preserve">Vesting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2"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Value Realized on </w:t>
              <w:br/>
              <w:t>Vesting ($)</w:t>
            </w:r>
            <w:r>
              <w:rPr>
                <w:spacing w:val="-2"/>
                <w:sz w:val="10"/>
              </w:rPr>
              <w:t>(2)</w:t>
            </w:r>
            <w:r>
              <w:rPr/>
              <w:t xml:space="preserve">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2225"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Prof. Amnon Shashua, Chief Executive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4" w:type="dxa"/>
            <w:tcBorders/>
            <w:shd w:fill="CCEEFF" w:val="clear"/>
            <w:tcMar>
              <w:bottom w:w="0" w:type="dxa"/>
            </w:tcMar>
            <w:vAlign w:val="center"/>
          </w:tcPr>
          <w:p>
            <w:pPr>
              <w:pStyle w:val="TableContents"/>
              <w:spacing w:before="0" w:after="283"/>
              <w:jc w:val="right"/>
              <w:rPr/>
            </w:pPr>
            <w:r>
              <w:rPr/>
              <w:t>1,278,053</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209" w:type="dxa"/>
            <w:tcBorders/>
            <w:shd w:fill="CCEEFF" w:val="clear"/>
            <w:tcMar>
              <w:bottom w:w="0" w:type="dxa"/>
            </w:tcMar>
            <w:vAlign w:val="center"/>
          </w:tcPr>
          <w:p>
            <w:pPr>
              <w:pStyle w:val="TableContents"/>
              <w:spacing w:before="0" w:after="283"/>
              <w:jc w:val="right"/>
              <w:rPr/>
            </w:pPr>
            <w:r>
              <w:rPr/>
              <w:t>26,402,347</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4"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2"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60" w:type="dxa"/>
            <w:tcBorders/>
            <w:shd w:fill="CCEEFF" w:val="clear"/>
            <w:tcMar>
              <w:bottom w:w="0" w:type="dxa"/>
            </w:tcMar>
            <w:vAlign w:val="center"/>
          </w:tcPr>
          <w:p>
            <w:pPr>
              <w:pStyle w:val="TableContents"/>
              <w:spacing w:before="0" w:after="283"/>
              <w:rPr/>
            </w:pPr>
            <w:r>
              <w:rPr/>
              <w:t>​</w:t>
            </w:r>
          </w:p>
        </w:tc>
      </w:tr>
      <w:tr>
        <w:trPr/>
        <w:tc>
          <w:tcPr>
            <w:tcW w:w="2225" w:type="dxa"/>
            <w:tcBorders/>
            <w:shd w:fill="auto" w:val="clear"/>
            <w:tcMar>
              <w:bottom w:w="0" w:type="dxa"/>
            </w:tcMar>
            <w:vAlign w:val="center"/>
          </w:tcPr>
          <w:p>
            <w:pPr>
              <w:pStyle w:val="TableContents"/>
              <w:spacing w:before="0" w:after="0"/>
              <w:jc w:val="left"/>
              <w:rPr>
                <w:spacing w:val="4"/>
              </w:rPr>
            </w:pPr>
            <w:r>
              <w:rPr>
                <w:spacing w:val="4"/>
              </w:rPr>
              <w:t xml:space="preserve">Anat Heller, Chief Financial Officer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7" w:type="dxa"/>
            <w:gridSpan w:val="4"/>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2" w:type="dxa"/>
            <w:gridSpan w:val="4"/>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9,620</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275,276</w:t>
            </w:r>
          </w:p>
        </w:tc>
        <w:tc>
          <w:tcPr>
            <w:tcW w:w="112"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225"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Prof. Shai Shalev-Shwartz, Chief Technology </w:t>
              <w:br/>
              <w:t xml:space="preserve">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7"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42"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57,714</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1,651,486</w:t>
            </w:r>
          </w:p>
        </w:tc>
        <w:tc>
          <w:tcPr>
            <w:tcW w:w="112"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225"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Dr. Gavriel Hayon, Executive Vice President, </w:t>
              <w:br/>
              <w:t xml:space="preserve">Research &amp; Development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27" w:type="dxa"/>
            <w:gridSpan w:val="4"/>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2" w:type="dxa"/>
            <w:gridSpan w:val="4"/>
            <w:tcBorders/>
            <w:shd w:fill="auto"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36,037</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096" w:type="dxa"/>
            <w:tcBorders/>
            <w:shd w:fill="auto" w:val="clear"/>
            <w:tcMar>
              <w:bottom w:w="0" w:type="dxa"/>
            </w:tcMar>
            <w:vAlign w:val="center"/>
          </w:tcPr>
          <w:p>
            <w:pPr>
              <w:pStyle w:val="TableContents"/>
              <w:spacing w:before="0" w:after="283"/>
              <w:jc w:val="right"/>
              <w:rPr/>
            </w:pPr>
            <w:r>
              <w:rPr/>
              <w:t>1,031,199</w:t>
            </w:r>
          </w:p>
        </w:tc>
        <w:tc>
          <w:tcPr>
            <w:tcW w:w="112"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225"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Nimrod Nehushtan, Senior Vice President, Business Development &amp; Strategy and Co-Manager REM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27"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42"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3,923</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096" w:type="dxa"/>
            <w:tcBorders/>
            <w:shd w:fill="CCEEFF" w:val="clear"/>
            <w:tcMar>
              <w:bottom w:w="0" w:type="dxa"/>
            </w:tcMar>
            <w:vAlign w:val="center"/>
          </w:tcPr>
          <w:p>
            <w:pPr>
              <w:pStyle w:val="TableContents"/>
              <w:spacing w:before="0" w:after="283"/>
              <w:jc w:val="right"/>
              <w:rPr/>
            </w:pPr>
            <w:r>
              <w:rPr/>
              <w:t>123,297</w:t>
            </w:r>
          </w:p>
        </w:tc>
        <w:tc>
          <w:tcPr>
            <w:tcW w:w="112"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exercised and vested options and RSUs are Intel options and RSUs.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largest"/>
                <wp:docPr id="126" name="Frame1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PUT"/>
      <w:bookmarkEnd w:id="3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realized has been calculated by multiplying the number of shares acquired upon exercise by the difference between the exercise price and the closing market price of Intel common stock on the date of exercise.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54000" cy="350520"/>
                <wp:effectExtent l="0" t="0" r="0" b="0"/>
                <wp:wrapSquare wrapText="largest"/>
                <wp:docPr id="127" name="Frame1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reported is the Intel market value (average of high and low price of a share of Intel common stock on the Nasdaq) on the date of release multiplied by the number of shares that vested. </w:t>
      </w:r>
      <w:r>
        <mc:AlternateContent>
          <mc:Choice Requires="wps">
            <w:drawing>
              <wp:anchor behindDoc="0" distT="3302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largest"/>
                <wp:docPr id="128" name="Frame1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1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Change-In-Control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quantifies certain compensation and benefits that would have become payable to our CEO if his employment had terminated on December 31, 2022, as a result of each of the termination scenarios set forth in the table. </w:t>
      </w:r>
    </w:p>
    <w:tbl>
      <w:tblPr>
        <w:tblW w:w="9141" w:type="dxa"/>
        <w:jc w:val="left"/>
        <w:tblInd w:w="1393" w:type="dxa"/>
        <w:tblCellMar>
          <w:top w:w="0" w:type="dxa"/>
          <w:left w:w="0" w:type="dxa"/>
          <w:bottom w:w="43" w:type="dxa"/>
          <w:right w:w="0" w:type="dxa"/>
        </w:tblCellMar>
      </w:tblPr>
      <w:tblGrid>
        <w:gridCol w:w="973"/>
        <w:gridCol w:w="109"/>
        <w:gridCol w:w="109"/>
        <w:gridCol w:w="1151"/>
        <w:gridCol w:w="109"/>
        <w:gridCol w:w="109"/>
        <w:gridCol w:w="109"/>
        <w:gridCol w:w="109"/>
        <w:gridCol w:w="931"/>
        <w:gridCol w:w="109"/>
        <w:gridCol w:w="109"/>
        <w:gridCol w:w="109"/>
        <w:gridCol w:w="163"/>
        <w:gridCol w:w="163"/>
        <w:gridCol w:w="451"/>
        <w:gridCol w:w="166"/>
        <w:gridCol w:w="109"/>
        <w:gridCol w:w="109"/>
        <w:gridCol w:w="163"/>
        <w:gridCol w:w="163"/>
        <w:gridCol w:w="451"/>
        <w:gridCol w:w="166"/>
        <w:gridCol w:w="109"/>
        <w:gridCol w:w="109"/>
        <w:gridCol w:w="109"/>
        <w:gridCol w:w="109"/>
        <w:gridCol w:w="826"/>
        <w:gridCol w:w="109"/>
        <w:gridCol w:w="109"/>
        <w:gridCol w:w="109"/>
        <w:gridCol w:w="109"/>
        <w:gridCol w:w="109"/>
        <w:gridCol w:w="931"/>
        <w:gridCol w:w="109"/>
        <w:gridCol w:w="154"/>
      </w:tblGrid>
      <w:tr>
        <w:trPr/>
        <w:tc>
          <w:tcPr>
            <w:tcW w:w="973" w:type="dxa"/>
            <w:tcBorders>
              <w:bottom w:val="single" w:sz="2" w:space="0" w:color="000000"/>
            </w:tcBorders>
            <w:shd w:fill="auto" w:val="clear"/>
            <w:vAlign w:val="center"/>
          </w:tcPr>
          <w:p>
            <w:pPr>
              <w:pStyle w:val="TableContents"/>
              <w:spacing w:lineRule="atLeast" w:line="180" w:before="0" w:after="0"/>
              <w:jc w:val="left"/>
              <w:rPr>
                <w:spacing w:val="-3"/>
                <w:sz w:val="16"/>
              </w:rPr>
            </w:pPr>
            <w:r>
              <w:rPr>
                <w:spacing w:val="-3"/>
                <w:sz w:val="16"/>
              </w:rPr>
              <w:t xml:space="preserve">Named Executive Officer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51" w:type="dxa"/>
            <w:tcBorders>
              <w:bottom w:val="single" w:sz="2" w:space="0" w:color="000000"/>
            </w:tcBorders>
            <w:shd w:fill="auto" w:val="clear"/>
            <w:vAlign w:val="center"/>
          </w:tcPr>
          <w:p>
            <w:pPr>
              <w:pStyle w:val="TableContents"/>
              <w:spacing w:lineRule="atLeast" w:line="180" w:before="0" w:after="0"/>
              <w:jc w:val="center"/>
              <w:rPr>
                <w:spacing w:val="-3"/>
                <w:sz w:val="16"/>
              </w:rPr>
            </w:pPr>
            <w:r>
              <w:rPr>
                <w:spacing w:val="-3"/>
                <w:sz w:val="16"/>
              </w:rPr>
              <w:t xml:space="preserve">Termination Scenario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8" w:type="dxa"/>
            <w:gridSpan w:val="4"/>
            <w:tcBorders>
              <w:bottom w:val="single" w:sz="2" w:space="0" w:color="000000"/>
            </w:tcBorders>
            <w:shd w:fill="auto" w:val="clear"/>
            <w:vAlign w:val="center"/>
          </w:tcPr>
          <w:p>
            <w:pPr>
              <w:pStyle w:val="TableContents"/>
              <w:spacing w:lineRule="atLeast" w:line="180" w:before="0" w:after="0"/>
              <w:jc w:val="center"/>
              <w:rPr>
                <w:sz w:val="16"/>
              </w:rPr>
            </w:pPr>
            <w:r>
              <w:rPr>
                <w:spacing w:val="-3"/>
                <w:sz w:val="16"/>
              </w:rPr>
              <w:t xml:space="preserve">Cash </w:t>
              <w:br/>
              <w:t>Severance</w:t>
            </w:r>
            <w:r>
              <w:rPr>
                <w:spacing w:val="-2"/>
                <w:sz w:val="10"/>
              </w:rPr>
              <w:t>(1)</w:t>
            </w:r>
            <w:r>
              <w:rPr>
                <w:sz w:val="16"/>
              </w:rPr>
              <w:t xml:space="preserve"> </w:t>
              <w:br/>
            </w:r>
            <w:r>
              <w:rPr>
                <w:spacing w:val="-3"/>
                <w:sz w:val="16"/>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43" w:type="dxa"/>
            <w:gridSpan w:val="4"/>
            <w:tcBorders>
              <w:bottom w:val="single" w:sz="2" w:space="0" w:color="000000"/>
            </w:tcBorders>
            <w:shd w:fill="auto" w:val="clear"/>
            <w:vAlign w:val="center"/>
          </w:tcPr>
          <w:p>
            <w:pPr>
              <w:pStyle w:val="TableContents"/>
              <w:spacing w:lineRule="atLeast" w:line="180" w:before="0" w:after="0"/>
              <w:jc w:val="center"/>
              <w:rPr>
                <w:spacing w:val="-3"/>
                <w:sz w:val="16"/>
              </w:rPr>
            </w:pPr>
            <w:r>
              <w:rPr>
                <w:spacing w:val="-3"/>
                <w:sz w:val="16"/>
              </w:rPr>
              <w:t xml:space="preserve">RSU </w:t>
              <w:br/>
              <w:t xml:space="preserve">Acceleration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43" w:type="dxa"/>
            <w:gridSpan w:val="4"/>
            <w:tcBorders>
              <w:bottom w:val="single" w:sz="2" w:space="0" w:color="000000"/>
            </w:tcBorders>
            <w:shd w:fill="auto" w:val="clear"/>
            <w:vAlign w:val="center"/>
          </w:tcPr>
          <w:p>
            <w:pPr>
              <w:pStyle w:val="TableContents"/>
              <w:spacing w:lineRule="atLeast" w:line="180" w:before="0" w:after="0"/>
              <w:jc w:val="center"/>
              <w:rPr>
                <w:spacing w:val="-3"/>
                <w:sz w:val="16"/>
              </w:rPr>
            </w:pPr>
            <w:r>
              <w:rPr>
                <w:spacing w:val="-3"/>
                <w:sz w:val="16"/>
              </w:rPr>
              <w:t xml:space="preserve">Stock </w:t>
              <w:br/>
              <w:t xml:space="preserve">Option </w:t>
              <w:br/>
              <w:t xml:space="preserve">Acceleration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53" w:type="dxa"/>
            <w:gridSpan w:val="4"/>
            <w:tcBorders>
              <w:bottom w:val="single" w:sz="2" w:space="0" w:color="000000"/>
            </w:tcBorders>
            <w:shd w:fill="auto" w:val="clear"/>
            <w:vAlign w:val="center"/>
          </w:tcPr>
          <w:p>
            <w:pPr>
              <w:pStyle w:val="TableContents"/>
              <w:spacing w:lineRule="atLeast" w:line="180" w:before="0" w:after="0"/>
              <w:jc w:val="center"/>
              <w:rPr>
                <w:spacing w:val="-3"/>
                <w:sz w:val="16"/>
              </w:rPr>
            </w:pPr>
            <w:r>
              <w:rPr>
                <w:spacing w:val="-3"/>
                <w:sz w:val="16"/>
              </w:rPr>
              <w:t xml:space="preserve">Other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58" w:type="dxa"/>
            <w:gridSpan w:val="4"/>
            <w:tcBorders>
              <w:bottom w:val="single" w:sz="2" w:space="0" w:color="000000"/>
            </w:tcBorders>
            <w:shd w:fill="auto" w:val="clear"/>
            <w:vAlign w:val="center"/>
          </w:tcPr>
          <w:p>
            <w:pPr>
              <w:pStyle w:val="TableContents"/>
              <w:spacing w:lineRule="atLeast" w:line="180" w:before="0" w:after="0"/>
              <w:jc w:val="center"/>
              <w:rPr>
                <w:spacing w:val="-3"/>
                <w:sz w:val="16"/>
              </w:rPr>
            </w:pPr>
            <w:r>
              <w:rPr>
                <w:spacing w:val="-3"/>
                <w:sz w:val="16"/>
              </w:rPr>
              <w:t xml:space="preserve">Total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973" w:type="dxa"/>
            <w:tcBorders/>
            <w:shd w:fill="CCEEFF" w:val="clear"/>
            <w:tcMar>
              <w:bottom w:w="0" w:type="dxa"/>
            </w:tcMar>
            <w:vAlign w:val="center"/>
          </w:tcPr>
          <w:p>
            <w:pPr>
              <w:pStyle w:val="TableContents"/>
              <w:spacing w:before="0" w:after="0"/>
              <w:ind w:left="200" w:right="0" w:hanging="200"/>
              <w:jc w:val="both"/>
              <w:rPr>
                <w:spacing w:val="4"/>
                <w:sz w:val="20"/>
              </w:rPr>
            </w:pPr>
            <w:r>
              <w:rPr>
                <w:spacing w:val="4"/>
                <w:sz w:val="20"/>
              </w:rPr>
              <w:t xml:space="preserve">Prof. Amnon Shashua, </w:t>
              <w:br/>
              <w:t xml:space="preserve">Chief Executive Officer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1" w:type="dxa"/>
            <w:tcBorders/>
            <w:shd w:fill="CCEEFF" w:val="clear"/>
            <w:tcMar>
              <w:bottom w:w="0" w:type="dxa"/>
            </w:tcMar>
            <w:vAlign w:val="center"/>
          </w:tcPr>
          <w:p>
            <w:pPr>
              <w:pStyle w:val="TableContents"/>
              <w:spacing w:before="0" w:after="0"/>
              <w:jc w:val="left"/>
              <w:rPr>
                <w:spacing w:val="4"/>
                <w:sz w:val="20"/>
              </w:rPr>
            </w:pPr>
            <w:r>
              <w:rPr>
                <w:spacing w:val="4"/>
                <w:sz w:val="20"/>
              </w:rPr>
              <w:t xml:space="preserve">Termination without </w:t>
              <w:br/>
              <w:t xml:space="preserve">Cause or Deemed </w:t>
              <w:br/>
              <w:t xml:space="preserve">Dismissal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931" w:type="dxa"/>
            <w:tcBorders/>
            <w:shd w:fill="CCEEFF" w:val="clear"/>
            <w:tcMar>
              <w:bottom w:w="0" w:type="dxa"/>
            </w:tcMar>
            <w:vAlign w:val="center"/>
          </w:tcPr>
          <w:p>
            <w:pPr>
              <w:pStyle w:val="TableContents"/>
              <w:spacing w:before="0" w:after="0"/>
              <w:jc w:val="right"/>
              <w:rPr>
                <w:sz w:val="20"/>
              </w:rPr>
            </w:pPr>
            <w:r>
              <w:rPr>
                <w:sz w:val="20"/>
              </w:rPr>
              <w:t>1,059,799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sz w:val="20"/>
              </w:rPr>
            </w:pPr>
            <w:r>
              <w:rPr>
                <w:sz w:val="20"/>
              </w:rPr>
              <w:t>N/A</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sz w:val="20"/>
              </w:rPr>
            </w:pPr>
            <w:r>
              <w:rPr>
                <w:sz w:val="20"/>
              </w:rPr>
              <w:t>N/A</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826" w:type="dxa"/>
            <w:tcBorders/>
            <w:shd w:fill="CCEEFF" w:val="clear"/>
            <w:tcMar>
              <w:bottom w:w="0" w:type="dxa"/>
            </w:tcMar>
            <w:vAlign w:val="center"/>
          </w:tcPr>
          <w:p>
            <w:pPr>
              <w:pStyle w:val="TableContents"/>
              <w:spacing w:before="0" w:after="0"/>
              <w:jc w:val="right"/>
              <w:rPr>
                <w:sz w:val="20"/>
              </w:rPr>
            </w:pPr>
            <w:r>
              <w:rPr>
                <w:sz w:val="20"/>
              </w:rPr>
              <w:t>154,323</w:t>
            </w:r>
            <w:r>
              <w:rPr>
                <w:sz w:val="13"/>
              </w:rPr>
              <w:t>(2)</w:t>
            </w:r>
            <w:r>
              <w:rPr>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931" w:type="dxa"/>
            <w:tcBorders/>
            <w:shd w:fill="CCEEFF" w:val="clear"/>
            <w:tcMar>
              <w:bottom w:w="0" w:type="dxa"/>
            </w:tcMar>
            <w:vAlign w:val="center"/>
          </w:tcPr>
          <w:p>
            <w:pPr>
              <w:pStyle w:val="TableContents"/>
              <w:spacing w:before="0" w:after="0"/>
              <w:jc w:val="right"/>
              <w:rPr>
                <w:sz w:val="20"/>
              </w:rPr>
            </w:pPr>
            <w:r>
              <w:rPr>
                <w:sz w:val="20"/>
              </w:rPr>
              <w:t>1,214,122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973"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1" w:type="dxa"/>
            <w:tcBorders/>
            <w:shd w:fill="auto" w:val="clear"/>
            <w:tcMar>
              <w:bottom w:w="0" w:type="dxa"/>
            </w:tcMar>
            <w:vAlign w:val="center"/>
          </w:tcPr>
          <w:p>
            <w:pPr>
              <w:pStyle w:val="TableContents"/>
              <w:spacing w:before="0" w:after="0"/>
              <w:jc w:val="left"/>
              <w:rPr>
                <w:spacing w:val="4"/>
                <w:sz w:val="20"/>
              </w:rPr>
            </w:pPr>
            <w:r>
              <w:rPr>
                <w:spacing w:val="4"/>
                <w:sz w:val="20"/>
              </w:rPr>
              <w:t xml:space="preserve">Termination as a result of Change in Control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931" w:type="dxa"/>
            <w:tcBorders/>
            <w:shd w:fill="auto" w:val="clear"/>
            <w:tcMar>
              <w:bottom w:w="0" w:type="dxa"/>
            </w:tcMar>
            <w:vAlign w:val="center"/>
          </w:tcPr>
          <w:p>
            <w:pPr>
              <w:pStyle w:val="TableContents"/>
              <w:spacing w:before="0" w:after="0"/>
              <w:jc w:val="right"/>
              <w:rPr>
                <w:sz w:val="20"/>
              </w:rPr>
            </w:pPr>
            <w:r>
              <w:rPr>
                <w:sz w:val="20"/>
              </w:rPr>
              <w:t>1,059,799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sz w:val="20"/>
              </w:rPr>
            </w:pPr>
            <w:r>
              <w:rPr>
                <w:sz w:val="20"/>
              </w:rPr>
              <w:t>N/A</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sz w:val="20"/>
              </w:rPr>
            </w:pPr>
            <w:r>
              <w:rPr>
                <w:sz w:val="20"/>
              </w:rPr>
              <w:t>N/A</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826" w:type="dxa"/>
            <w:tcBorders/>
            <w:shd w:fill="auto" w:val="clear"/>
            <w:tcMar>
              <w:bottom w:w="0" w:type="dxa"/>
            </w:tcMar>
            <w:vAlign w:val="center"/>
          </w:tcPr>
          <w:p>
            <w:pPr>
              <w:pStyle w:val="TableContents"/>
              <w:spacing w:before="0" w:after="0"/>
              <w:jc w:val="right"/>
              <w:rPr>
                <w:sz w:val="20"/>
              </w:rPr>
            </w:pPr>
            <w:r>
              <w:rPr>
                <w:sz w:val="20"/>
              </w:rPr>
              <w:t>925,939</w:t>
            </w:r>
            <w:r>
              <w:rPr>
                <w:sz w:val="13"/>
              </w:rPr>
              <w:t>(3)</w:t>
            </w:r>
            <w:r>
              <w:rPr>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931" w:type="dxa"/>
            <w:tcBorders/>
            <w:shd w:fill="auto" w:val="clear"/>
            <w:tcMar>
              <w:bottom w:w="0" w:type="dxa"/>
            </w:tcMar>
            <w:vAlign w:val="center"/>
          </w:tcPr>
          <w:p>
            <w:pPr>
              <w:pStyle w:val="TableContents"/>
              <w:spacing w:before="0" w:after="0"/>
              <w:jc w:val="right"/>
              <w:rPr>
                <w:sz w:val="20"/>
              </w:rPr>
            </w:pPr>
            <w:r>
              <w:rPr>
                <w:sz w:val="20"/>
              </w:rPr>
              <w:t>1,985,738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detailed in this column reflect the supplement payment the Company will be required to pay in case the termination is initiated by the Company. Such supplement amount, together with the amounts accumulated in the severance funds, reflect the entire severance amount Prof. Shashua would have been entitled to in case of termination on the relevant date. </w:t>
      </w:r>
      <w:r>
        <mc:AlternateContent>
          <mc:Choice Requires="wps">
            <w:drawing>
              <wp:anchor behindDoc="0" distT="8382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largest"/>
                <wp:docPr id="129" name="Frame1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2022), but payable under these termination circumstances for only the two-month period. </w:t>
      </w:r>
      <w:r>
        <mc:AlternateContent>
          <mc:Choice Requires="wps">
            <w:drawing>
              <wp:anchor behindDoc="0" distT="3302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largest"/>
                <wp:docPr id="130" name="Frame1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2022), payable under these termination circumstances for a twelve-month period. </w:t>
      </w:r>
      <w:r>
        <mc:AlternateContent>
          <mc:Choice Requires="wps">
            <w:drawing>
              <wp:anchor behindDoc="0" distT="3302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largest"/>
                <wp:docPr id="131" name="Frame1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4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Prof. Shwartz, Dr. Hayon and Mr. Nehushtan had terminated on December 31, 2022, under circumstances that entitle them to severance under the Severance Pay Law, they would have received a payout for severance in the amount of $74,958, $476,207, $154,737, and $51,295, respectively, which amounts do not include those amounts that would be transferred to such NEO from the NEO’s severance and other funds. </w:t>
      </w:r>
    </w:p>
    <w:p>
      <w:pPr>
        <w:pStyle w:val="TextBody"/>
        <w:spacing w:lineRule="atLeast" w:line="240" w:before="240" w:after="283"/>
        <w:ind w:left="17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Item 402(v) of Regulation S-K, set forth below are certain disclosures related to executive compensation and Company performance. For a discussion of the Company’s executive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policies and programs and an explanation of how executive compensation decisions are made, please refer to the Compensation Discussion and Analysis section of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is required to include, for 2022, “compensation actually paid” to the CEO and the average compensation actually paid for non-CEO named executive officers. Compensation actually paid represents a calculation of compensation that differs significantly from the 2022 summary compensation table calculation of compensation, as well as the way in which the Company views annual compensation decisions, as discussed in the Compensation Discussion and Analysis section of this proxy statement. The below table also provides information on the Company’s cumulative TSR, the cumulative TSR of our peer group and net income attributable to the Company. The Company does not use any financial performance measures to link executive compensation actually paid to Company performance, and as permitted by the SEC, is not required to disclose either a “company-selected measure” or such company-selected measure’s relationship to executive compensation actually paid. </w:t>
      </w:r>
    </w:p>
    <w:tbl>
      <w:tblPr>
        <w:tblW w:w="12215" w:type="dxa"/>
        <w:jc w:val="left"/>
        <w:tblInd w:w="1393" w:type="dxa"/>
        <w:tblCellMar>
          <w:top w:w="0" w:type="dxa"/>
          <w:left w:w="0" w:type="dxa"/>
          <w:bottom w:w="43" w:type="dxa"/>
          <w:right w:w="0" w:type="dxa"/>
        </w:tblCellMar>
      </w:tblPr>
      <w:tblGrid>
        <w:gridCol w:w="613"/>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11"/>
        <w:gridCol w:w="230"/>
        <w:gridCol w:w="1087"/>
        <w:gridCol w:w="112"/>
        <w:gridCol w:w="109"/>
        <w:gridCol w:w="109"/>
        <w:gridCol w:w="109"/>
        <w:gridCol w:w="226"/>
        <w:gridCol w:w="766"/>
        <w:gridCol w:w="109"/>
        <w:gridCol w:w="109"/>
        <w:gridCol w:w="109"/>
        <w:gridCol w:w="134"/>
        <w:gridCol w:w="279"/>
        <w:gridCol w:w="946"/>
        <w:gridCol w:w="136"/>
        <w:gridCol w:w="109"/>
        <w:gridCol w:w="109"/>
        <w:gridCol w:w="132"/>
        <w:gridCol w:w="132"/>
        <w:gridCol w:w="510"/>
        <w:gridCol w:w="133"/>
        <w:gridCol w:w="154"/>
      </w:tblGrid>
      <w:tr>
        <w:trPr/>
        <w:tc>
          <w:tcPr>
            <w:tcW w:w="613" w:type="dxa"/>
            <w:vMerge w:val="restart"/>
            <w:tcBorders>
              <w:bottom w:val="single" w:sz="2" w:space="0" w:color="000000"/>
            </w:tcBorders>
            <w:shd w:fill="auto" w:val="clear"/>
            <w:vAlign w:val="center"/>
          </w:tcPr>
          <w:p>
            <w:pPr>
              <w:pStyle w:val="TableContents"/>
              <w:spacing w:lineRule="atLeast" w:line="180" w:before="0" w:after="0"/>
              <w:jc w:val="left"/>
              <w:rPr>
                <w:spacing w:val="-3"/>
              </w:rPr>
            </w:pPr>
            <w:r>
              <w:rPr>
                <w:spacing w:val="-3"/>
              </w:rPr>
              <w:t xml:space="preserve">Year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Summary </w:t>
              <w:br/>
              <w:t xml:space="preserve">Compensation </w:t>
              <w:br/>
              <w:t xml:space="preserve">Table Total for </w:t>
              <w:br/>
              <w:t>CEO</w:t>
            </w:r>
            <w:r>
              <w:rPr>
                <w:spacing w:val="-2"/>
                <w:sz w:val="10"/>
              </w:rPr>
              <w:t>(1)</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w:t>
            </w:r>
            <w:r>
              <w:rPr>
                <w:spacing w:val="-3"/>
              </w:rPr>
              <w:t xml:space="preserve">Compensation </w:t>
              <w:br/>
              <w:t xml:space="preserve">Actually </w:t>
              <w:br/>
              <w:t xml:space="preserve">Paid” to </w:t>
              <w:br/>
              <w:t>CEO</w:t>
            </w:r>
            <w:r>
              <w:rPr>
                <w:spacing w:val="-2"/>
                <w:sz w:val="10"/>
              </w:rPr>
              <w:t>(3)</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br/>
              <w:t xml:space="preserve">Summary </w:t>
              <w:br/>
              <w:t xml:space="preserve">Compensation </w:t>
              <w:br/>
              <w:t xml:space="preserve">Table Total for </w:t>
              <w:br/>
              <w:t xml:space="preserve">Non-CEO </w:t>
              <w:br/>
              <w:t>NEOs</w:t>
            </w:r>
            <w:r>
              <w:rPr>
                <w:spacing w:val="-2"/>
                <w:sz w:val="10"/>
              </w:rPr>
              <w:t>(2)</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4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br/>
              <w:t xml:space="preserve">“Compensation </w:t>
              <w:br/>
              <w:t xml:space="preserve">Actually Paid” to </w:t>
              <w:br/>
              <w:t>Non-CEO NEOs</w:t>
            </w:r>
            <w:r>
              <w:rPr>
                <w:spacing w:val="-2"/>
                <w:sz w:val="10"/>
              </w:rPr>
              <w:t>(3)</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923" w:type="dxa"/>
            <w:gridSpan w:val="10"/>
            <w:tcBorders>
              <w:bottom w:val="single" w:sz="2" w:space="0" w:color="000000"/>
            </w:tcBorders>
            <w:shd w:fill="auto" w:val="clear"/>
            <w:vAlign w:val="center"/>
          </w:tcPr>
          <w:p>
            <w:pPr>
              <w:pStyle w:val="TableContents"/>
              <w:spacing w:before="0" w:after="0"/>
              <w:jc w:val="center"/>
              <w:rPr>
                <w:spacing w:val="-3"/>
              </w:rPr>
            </w:pPr>
            <w:r>
              <w:rPr>
                <w:spacing w:val="-3"/>
              </w:rPr>
              <w:t xml:space="preserve">Value of Initial Fixed </w:t>
              <w:br/>
              <w:t xml:space="preserve">$100 Investment </w:t>
              <w:br/>
              <w:t xml:space="preserve">Based 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907"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Net </w:t>
              <w:br/>
              <w:t xml:space="preserve">Income </w:t>
              <w:br/>
              <w:t xml:space="preserve">(loss) </w:t>
              <w:br/>
              <w:t xml:space="preserve">(millions) </w:t>
            </w:r>
          </w:p>
        </w:tc>
        <w:tc>
          <w:tcPr>
            <w:tcW w:w="154"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63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63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4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Total </w:t>
              <w:br/>
              <w:t>TSR</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PHLX </w:t>
              <w:br/>
              <w:t xml:space="preserve">Semiconductor </w:t>
              <w:br/>
              <w:t xml:space="preserve">Sector </w:t>
              <w:br/>
              <w:t xml:space="preserve">Index </w:t>
              <w:br/>
              <w:t xml:space="preserve">(SOX) </w:t>
              <w:br/>
              <w:t xml:space="preserve">Total </w:t>
              <w:br/>
              <w:t xml:space="preserve">TSR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907"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tcMar>
              <w:bottom w:w="28" w:type="dxa"/>
            </w:tcMar>
            <w:vAlign w:val="center"/>
          </w:tcPr>
          <w:p>
            <w:pPr>
              <w:pStyle w:val="Normal"/>
              <w:rPr/>
            </w:pPr>
            <w:r>
              <w:rPr/>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45,125,920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74,718,861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4,760,015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jc w:val="right"/>
              <w:rPr/>
            </w:pPr>
            <w:r>
              <w:rPr/>
              <w:t>$</w:t>
            </w:r>
          </w:p>
        </w:tc>
        <w:tc>
          <w:tcPr>
            <w:tcW w:w="1087" w:type="dxa"/>
            <w:tcBorders/>
            <w:shd w:fill="CCEEFF" w:val="clear"/>
            <w:tcMar>
              <w:bottom w:w="0" w:type="dxa"/>
            </w:tcMar>
            <w:vAlign w:val="center"/>
          </w:tcPr>
          <w:p>
            <w:pPr>
              <w:pStyle w:val="TableContents"/>
              <w:spacing w:before="0" w:after="283"/>
              <w:jc w:val="right"/>
              <w:rPr/>
            </w:pPr>
            <w:r>
              <w:rPr/>
              <w:t>7,694,882</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121.02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279" w:type="dxa"/>
            <w:tcBorders/>
            <w:shd w:fill="CCEEFF" w:val="clear"/>
            <w:tcMar>
              <w:bottom w:w="0" w:type="dxa"/>
            </w:tcMar>
            <w:vAlign w:val="center"/>
          </w:tcPr>
          <w:p>
            <w:pPr>
              <w:pStyle w:val="TableContents"/>
              <w:spacing w:before="0" w:after="283"/>
              <w:jc w:val="right"/>
              <w:rPr/>
            </w:pPr>
            <w:r>
              <w:rPr/>
              <w:t>$</w:t>
            </w:r>
          </w:p>
        </w:tc>
        <w:tc>
          <w:tcPr>
            <w:tcW w:w="946" w:type="dxa"/>
            <w:tcBorders/>
            <w:shd w:fill="CCEEFF" w:val="clear"/>
            <w:tcMar>
              <w:bottom w:w="0" w:type="dxa"/>
            </w:tcMar>
            <w:vAlign w:val="center"/>
          </w:tcPr>
          <w:p>
            <w:pPr>
              <w:pStyle w:val="TableContents"/>
              <w:spacing w:before="0" w:after="283"/>
              <w:jc w:val="right"/>
              <w:rPr/>
            </w:pPr>
            <w:r>
              <w:rPr/>
              <w:t>106.65</w:t>
            </w:r>
          </w:p>
        </w:tc>
        <w:tc>
          <w:tcPr>
            <w:tcW w:w="13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510" w:type="dxa"/>
            <w:tcBorders/>
            <w:shd w:fill="CCEEFF" w:val="clear"/>
            <w:tcMar>
              <w:bottom w:w="0" w:type="dxa"/>
            </w:tcMar>
            <w:vAlign w:val="center"/>
          </w:tcPr>
          <w:p>
            <w:pPr>
              <w:pStyle w:val="TableContents"/>
              <w:spacing w:before="0" w:after="283"/>
              <w:jc w:val="right"/>
              <w:rPr/>
            </w:pPr>
            <w:r>
              <w:rPr/>
              <w:t>(82)</w:t>
            </w:r>
          </w:p>
        </w:tc>
        <w:tc>
          <w:tcPr>
            <w:tcW w:w="13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Amnon Shashua, in his capacity as CEO, is the Company’s principal executive officer for 2022. Compensation for our CEO reflects the amounts reported in the summary compensation table. </w:t>
      </w:r>
      <w:r>
        <mc:AlternateContent>
          <mc:Choice Requires="wps">
            <w:drawing>
              <wp:anchor behindDoc="0" distT="104140" distB="0" distL="0" distR="0" simplePos="0" locked="0" layoutInCell="1" allowOverlap="1" relativeHeight="139">
                <wp:simplePos x="0" y="0"/>
                <wp:positionH relativeFrom="column">
                  <wp:align>left</wp:align>
                </wp:positionH>
                <wp:positionV relativeFrom="line">
                  <wp:align>top</wp:align>
                </wp:positionV>
                <wp:extent cx="254000" cy="293370"/>
                <wp:effectExtent l="0" t="0" r="0" b="0"/>
                <wp:wrapSquare wrapText="largest"/>
                <wp:docPr id="132" name="Frame119"/>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non-CEO named executive officers for 2022 are: Anat Heller, Chief Financial Officer; Prof. Shai Shalev-Shwartz, Chief Technology Officer; Dr. Gaby Hayon, Executive Vice President, Research &amp; Development; and Nimrod Nehushtan Senior Vice President, Business Development &amp; Strategy and Co-Manager REM. Compensation for our non-CEO named executive officers reflects the average of amounts reported in the summary compensation table. </w:t>
      </w:r>
      <w:r>
        <mc:AlternateContent>
          <mc:Choice Requires="wps">
            <w:drawing>
              <wp:anchor behindDoc="0" distT="53340" distB="0" distL="0" distR="0" simplePos="0" locked="0" layoutInCell="1" allowOverlap="1" relativeHeight="140">
                <wp:simplePos x="0" y="0"/>
                <wp:positionH relativeFrom="column">
                  <wp:align>left</wp:align>
                </wp:positionH>
                <wp:positionV relativeFrom="line">
                  <wp:align>top</wp:align>
                </wp:positionV>
                <wp:extent cx="254000" cy="304800"/>
                <wp:effectExtent l="0" t="0" r="0" b="0"/>
                <wp:wrapSquare wrapText="largest"/>
                <wp:docPr id="133" name="Frame12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awards (RSUs) calculated in accordance with the SEC methodology for determining “compensation actually paid” for 2022. Pursuant to SEC rules, the PvP Table includes the change in fair value of multiple outstanding unvested equity awards for each year shown. </w:t>
      </w:r>
      <w:r>
        <mc:AlternateContent>
          <mc:Choice Requires="wps">
            <w:drawing>
              <wp:anchor behindDoc="0" distT="53340" distB="0" distL="0" distR="0" simplePos="0" locked="0" layoutInCell="1" allowOverlap="1" relativeHeight="141">
                <wp:simplePos x="0" y="0"/>
                <wp:positionH relativeFrom="column">
                  <wp:align>left</wp:align>
                </wp:positionH>
                <wp:positionV relativeFrom="line">
                  <wp:align>top</wp:align>
                </wp:positionV>
                <wp:extent cx="254000" cy="304800"/>
                <wp:effectExtent l="0" t="0" r="0" b="0"/>
                <wp:wrapSquare wrapText="largest"/>
                <wp:docPr id="134" name="Frame12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represents cumulative TSR for the period commencing on October 26, 2021 until December 31, 2022. For the Peer Group, the TSR is a weighted peer group TSR. </w:t>
      </w:r>
      <w:r>
        <mc:AlternateContent>
          <mc:Choice Requires="wps">
            <w:drawing>
              <wp:anchor behindDoc="0" distT="53340" distB="0" distL="0" distR="0" simplePos="0" locked="0" layoutInCell="1" allowOverlap="1" relativeHeight="142">
                <wp:simplePos x="0" y="0"/>
                <wp:positionH relativeFrom="column">
                  <wp:align>left</wp:align>
                </wp:positionH>
                <wp:positionV relativeFrom="line">
                  <wp:align>top</wp:align>
                </wp:positionV>
                <wp:extent cx="254000" cy="304800"/>
                <wp:effectExtent l="0" t="0" r="0" b="0"/>
                <wp:wrapSquare wrapText="largest"/>
                <wp:docPr id="135" name="Frame12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use any financial performance measures to link executive compensation actually paid to Company performance, and as permitted by the SEC, is not required to disclose a “tabular list” of its most important financial performance measures. </w:t>
      </w:r>
    </w:p>
    <w:p>
      <w:pPr>
        <w:pStyle w:val="TextBody"/>
        <w:spacing w:lineRule="atLeast" w:line="240" w:before="240" w:after="283"/>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Compensation actually paid” compared to TSR, and net income.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and net income are some indicators of the Company’s overall financial performance that may impact the value of NEOs’ total compensation; however, other factors are considered in setting NEOs’ compensation. See the Compensation Discussion and Analysis section of this proxy statement for additional information.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cumulative TSR for the period commencing on October 26, 2022 until December 31, 2022 as reported in the table above was 21.02%. During this same period, the cumulative TSR of the companies in our Peer Group was 6.65%.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company that had its initial public offering in 2022, our TSR and that of our peer group is for one partial year, so there is no link yet to the “compensation actually paid” to the CEO and the remaining non-CEO NEOs. Our net loss has increased in 2022, as compared to 2021. In any event, TSR and net income are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DCPN"/>
      <w:bookmarkEnd w:id="38"/>
      <w:r>
        <w:rPr>
          <w:rFonts w:ascii="calibri;arial;sans-serif" w:hAnsi="calibri;arial;sans-serif"/>
          <w:b w:val="false"/>
          <w:i w:val="false"/>
          <w:caps w:val="false"/>
          <w:smallCaps w:val="false"/>
          <w:color w:val="000000"/>
          <w:sz w:val="16"/>
        </w:rPr>
        <w:t>​</w:t>
      </w:r>
      <w:bookmarkStart w:id="39" w:name="tRCCE"/>
      <w:bookmarkEnd w:id="3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41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used in the design of our executive compensation program; as a result, net income and TSR do not directly impact the amount of “compensation actually paid” to the NEOs.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we paid to each non-employee member of our board of directors for fiscal year 2022. Other than as set forth in the table and described more fully below, during the fiscal year 2022, we did not pay any fees to, make any equity awards or non-equity awards to, or pay any other compensation to the non-employee members of our board of directors. </w:t>
      </w:r>
    </w:p>
    <w:tbl>
      <w:tblPr>
        <w:tblW w:w="7254" w:type="dxa"/>
        <w:jc w:val="left"/>
        <w:tblInd w:w="1393" w:type="dxa"/>
        <w:tblCellMar>
          <w:top w:w="0" w:type="dxa"/>
          <w:left w:w="0" w:type="dxa"/>
          <w:bottom w:w="43" w:type="dxa"/>
          <w:right w:w="0" w:type="dxa"/>
        </w:tblCellMar>
      </w:tblPr>
      <w:tblGrid>
        <w:gridCol w:w="2555"/>
        <w:gridCol w:w="109"/>
        <w:gridCol w:w="109"/>
        <w:gridCol w:w="126"/>
        <w:gridCol w:w="126"/>
        <w:gridCol w:w="887"/>
        <w:gridCol w:w="126"/>
        <w:gridCol w:w="109"/>
        <w:gridCol w:w="109"/>
        <w:gridCol w:w="127"/>
        <w:gridCol w:w="127"/>
        <w:gridCol w:w="1032"/>
        <w:gridCol w:w="127"/>
        <w:gridCol w:w="109"/>
        <w:gridCol w:w="109"/>
        <w:gridCol w:w="109"/>
        <w:gridCol w:w="109"/>
        <w:gridCol w:w="886"/>
        <w:gridCol w:w="109"/>
        <w:gridCol w:w="154"/>
      </w:tblGrid>
      <w:tr>
        <w:trPr/>
        <w:tc>
          <w:tcPr>
            <w:tcW w:w="2555"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6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Fees earned </w:t>
              <w:br/>
              <w:t xml:space="preserve">or paid in </w:t>
              <w:br/>
              <w:t xml:space="preserve">cash </w:t>
              <w:br/>
              <w:t>($)</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awards </w:t>
              <w:br/>
              <w:t>($)</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b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555" w:type="dxa"/>
            <w:tcBorders/>
            <w:shd w:fill="CCEEFF" w:val="clear"/>
            <w:tcMar>
              <w:bottom w:w="0" w:type="dxa"/>
            </w:tcMar>
            <w:vAlign w:val="center"/>
          </w:tcPr>
          <w:p>
            <w:pPr>
              <w:pStyle w:val="TableContents"/>
              <w:spacing w:before="0" w:after="0"/>
              <w:jc w:val="left"/>
              <w:rPr>
                <w:spacing w:val="4"/>
              </w:rPr>
            </w:pPr>
            <w:r>
              <w:rPr>
                <w:spacing w:val="4"/>
              </w:rPr>
              <w:t xml:space="preserve">Patrick P. Gelsinger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5"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54" w:type="dxa"/>
            <w:tcBorders/>
            <w:shd w:fill="CCEEFF" w:val="clear"/>
            <w:tcMar>
              <w:bottom w:w="0" w:type="dxa"/>
            </w:tcMar>
            <w:vAlign w:val="center"/>
          </w:tcPr>
          <w:p>
            <w:pPr>
              <w:pStyle w:val="TableContents"/>
              <w:spacing w:before="0" w:after="283"/>
              <w:rPr/>
            </w:pPr>
            <w:r>
              <w:rPr/>
              <w:t>​</w:t>
            </w:r>
          </w:p>
        </w:tc>
      </w:tr>
      <w:tr>
        <w:trPr/>
        <w:tc>
          <w:tcPr>
            <w:tcW w:w="2555" w:type="dxa"/>
            <w:tcBorders/>
            <w:shd w:fill="auto" w:val="clear"/>
            <w:tcMar>
              <w:bottom w:w="0" w:type="dxa"/>
            </w:tcMar>
            <w:vAlign w:val="center"/>
          </w:tcPr>
          <w:p>
            <w:pPr>
              <w:pStyle w:val="TableContents"/>
              <w:spacing w:before="0" w:after="0"/>
              <w:jc w:val="left"/>
              <w:rPr>
                <w:spacing w:val="4"/>
              </w:rPr>
            </w:pPr>
            <w:r>
              <w:rPr>
                <w:spacing w:val="4"/>
              </w:rPr>
              <w:t xml:space="preserve">Eyal Desheh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887" w:type="dxa"/>
            <w:tcBorders/>
            <w:shd w:fill="auto" w:val="clear"/>
            <w:tcMar>
              <w:bottom w:w="0" w:type="dxa"/>
            </w:tcMar>
            <w:vAlign w:val="center"/>
          </w:tcPr>
          <w:p>
            <w:pPr>
              <w:pStyle w:val="TableContents"/>
              <w:spacing w:before="0" w:after="283"/>
              <w:jc w:val="right"/>
              <w:rPr/>
            </w:pPr>
            <w:r>
              <w:rPr/>
              <w:t>11,014</w:t>
            </w:r>
          </w:p>
        </w:tc>
        <w:tc>
          <w:tcPr>
            <w:tcW w:w="1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2" w:type="dxa"/>
            <w:tcBorders/>
            <w:shd w:fill="auto" w:val="clear"/>
            <w:tcMar>
              <w:bottom w:w="0" w:type="dxa"/>
            </w:tcMar>
            <w:vAlign w:val="center"/>
          </w:tcPr>
          <w:p>
            <w:pPr>
              <w:pStyle w:val="TableContents"/>
              <w:spacing w:before="0" w:after="283"/>
              <w:jc w:val="right"/>
              <w:rPr/>
            </w:pPr>
            <w:r>
              <w:rPr/>
              <w:t>199,983</w:t>
            </w:r>
          </w:p>
        </w:tc>
        <w:tc>
          <w:tcPr>
            <w:tcW w:w="12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210,997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5" w:type="dxa"/>
            <w:tcBorders/>
            <w:shd w:fill="CCEEFF" w:val="clear"/>
            <w:tcMar>
              <w:bottom w:w="0" w:type="dxa"/>
            </w:tcMar>
            <w:vAlign w:val="center"/>
          </w:tcPr>
          <w:p>
            <w:pPr>
              <w:pStyle w:val="TableContents"/>
              <w:spacing w:before="0" w:after="0"/>
              <w:jc w:val="left"/>
              <w:rPr>
                <w:spacing w:val="4"/>
              </w:rPr>
            </w:pPr>
            <w:r>
              <w:rPr>
                <w:spacing w:val="4"/>
              </w:rPr>
              <w:t xml:space="preserve">Jon M. Hunstman, Jr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jc w:val="right"/>
              <w:rPr/>
            </w:pPr>
            <w:r>
              <w:rPr/>
              <w:t>​</w:t>
            </w:r>
          </w:p>
        </w:tc>
        <w:tc>
          <w:tcPr>
            <w:tcW w:w="887" w:type="dxa"/>
            <w:tcBorders/>
            <w:shd w:fill="CCEEFF" w:val="clear"/>
            <w:tcMar>
              <w:bottom w:w="0" w:type="dxa"/>
            </w:tcMar>
            <w:vAlign w:val="center"/>
          </w:tcPr>
          <w:p>
            <w:pPr>
              <w:pStyle w:val="TableContents"/>
              <w:spacing w:before="0" w:after="283"/>
              <w:jc w:val="right"/>
              <w:rPr/>
            </w:pPr>
            <w:r>
              <w:rPr/>
              <w:t>11,014</w:t>
            </w:r>
          </w:p>
        </w:tc>
        <w:tc>
          <w:tcPr>
            <w:tcW w:w="1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032" w:type="dxa"/>
            <w:tcBorders/>
            <w:shd w:fill="CCEEFF" w:val="clear"/>
            <w:tcMar>
              <w:bottom w:w="0" w:type="dxa"/>
            </w:tcMar>
            <w:vAlign w:val="center"/>
          </w:tcPr>
          <w:p>
            <w:pPr>
              <w:pStyle w:val="TableContents"/>
              <w:spacing w:before="0" w:after="283"/>
              <w:jc w:val="right"/>
              <w:rPr/>
            </w:pPr>
            <w:r>
              <w:rPr/>
              <w:t>199,983</w:t>
            </w:r>
          </w:p>
        </w:tc>
        <w:tc>
          <w:tcPr>
            <w:tcW w:w="1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210,997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55" w:type="dxa"/>
            <w:tcBorders/>
            <w:shd w:fill="auto" w:val="clear"/>
            <w:tcMar>
              <w:bottom w:w="0" w:type="dxa"/>
            </w:tcMar>
            <w:vAlign w:val="center"/>
          </w:tcPr>
          <w:p>
            <w:pPr>
              <w:pStyle w:val="TableContents"/>
              <w:spacing w:before="0" w:after="0"/>
              <w:jc w:val="left"/>
              <w:rPr>
                <w:spacing w:val="4"/>
              </w:rPr>
            </w:pPr>
            <w:r>
              <w:rPr>
                <w:spacing w:val="4"/>
              </w:rPr>
              <w:t xml:space="preserve">Claire C. McCaskill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887" w:type="dxa"/>
            <w:tcBorders/>
            <w:shd w:fill="auto" w:val="clear"/>
            <w:tcMar>
              <w:bottom w:w="0" w:type="dxa"/>
            </w:tcMar>
            <w:vAlign w:val="center"/>
          </w:tcPr>
          <w:p>
            <w:pPr>
              <w:pStyle w:val="TableContents"/>
              <w:spacing w:before="0" w:after="283"/>
              <w:jc w:val="right"/>
              <w:rPr/>
            </w:pPr>
            <w:r>
              <w:rPr/>
              <w:t>11,014</w:t>
            </w:r>
          </w:p>
        </w:tc>
        <w:tc>
          <w:tcPr>
            <w:tcW w:w="1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2" w:type="dxa"/>
            <w:tcBorders/>
            <w:shd w:fill="auto" w:val="clear"/>
            <w:tcMar>
              <w:bottom w:w="0" w:type="dxa"/>
            </w:tcMar>
            <w:vAlign w:val="center"/>
          </w:tcPr>
          <w:p>
            <w:pPr>
              <w:pStyle w:val="TableContents"/>
              <w:spacing w:before="0" w:after="283"/>
              <w:jc w:val="right"/>
              <w:rPr/>
            </w:pPr>
            <w:r>
              <w:rPr/>
              <w:t>199,983</w:t>
            </w:r>
          </w:p>
        </w:tc>
        <w:tc>
          <w:tcPr>
            <w:tcW w:w="12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210,997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5" w:type="dxa"/>
            <w:tcBorders/>
            <w:shd w:fill="CCEEFF" w:val="clear"/>
            <w:tcMar>
              <w:bottom w:w="0" w:type="dxa"/>
            </w:tcMar>
            <w:vAlign w:val="center"/>
          </w:tcPr>
          <w:p>
            <w:pPr>
              <w:pStyle w:val="TableContents"/>
              <w:spacing w:before="0" w:after="0"/>
              <w:jc w:val="left"/>
              <w:rPr>
                <w:spacing w:val="4"/>
              </w:rPr>
            </w:pPr>
            <w:r>
              <w:rPr>
                <w:spacing w:val="4"/>
              </w:rPr>
              <w:t xml:space="preserve">Christine Pambianchi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5"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54" w:type="dxa"/>
            <w:tcBorders/>
            <w:shd w:fill="CCEEFF" w:val="clear"/>
            <w:tcMar>
              <w:bottom w:w="0" w:type="dxa"/>
            </w:tcMar>
            <w:vAlign w:val="center"/>
          </w:tcPr>
          <w:p>
            <w:pPr>
              <w:pStyle w:val="TableContents"/>
              <w:spacing w:before="0" w:after="283"/>
              <w:rPr/>
            </w:pPr>
            <w:r>
              <w:rPr/>
              <w:t>​</w:t>
            </w:r>
          </w:p>
        </w:tc>
      </w:tr>
      <w:tr>
        <w:trPr/>
        <w:tc>
          <w:tcPr>
            <w:tcW w:w="2555" w:type="dxa"/>
            <w:tcBorders/>
            <w:shd w:fill="auto" w:val="clear"/>
            <w:tcMar>
              <w:bottom w:w="0" w:type="dxa"/>
            </w:tcMar>
            <w:vAlign w:val="center"/>
          </w:tcPr>
          <w:p>
            <w:pPr>
              <w:pStyle w:val="TableContents"/>
              <w:spacing w:before="0" w:after="0"/>
              <w:jc w:val="left"/>
              <w:rPr>
                <w:spacing w:val="4"/>
              </w:rPr>
            </w:pPr>
            <w:r>
              <w:rPr>
                <w:spacing w:val="4"/>
              </w:rPr>
              <w:t xml:space="preserve">Frank D. Yeary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887" w:type="dxa"/>
            <w:tcBorders/>
            <w:shd w:fill="auto" w:val="clear"/>
            <w:tcMar>
              <w:bottom w:w="0" w:type="dxa"/>
            </w:tcMar>
            <w:vAlign w:val="center"/>
          </w:tcPr>
          <w:p>
            <w:pPr>
              <w:pStyle w:val="TableContents"/>
              <w:spacing w:before="0" w:after="283"/>
              <w:jc w:val="right"/>
              <w:rPr/>
            </w:pPr>
            <w:r>
              <w:rPr/>
              <w:t>11,014</w:t>
            </w:r>
          </w:p>
        </w:tc>
        <w:tc>
          <w:tcPr>
            <w:tcW w:w="1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032" w:type="dxa"/>
            <w:tcBorders/>
            <w:shd w:fill="auto" w:val="clear"/>
            <w:tcMar>
              <w:bottom w:w="0" w:type="dxa"/>
            </w:tcMar>
            <w:vAlign w:val="center"/>
          </w:tcPr>
          <w:p>
            <w:pPr>
              <w:pStyle w:val="TableContents"/>
              <w:spacing w:before="0" w:after="283"/>
              <w:jc w:val="right"/>
              <w:rPr/>
            </w:pPr>
            <w:r>
              <w:rPr/>
              <w:t>199,983</w:t>
            </w:r>
          </w:p>
        </w:tc>
        <w:tc>
          <w:tcPr>
            <w:tcW w:w="12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210,997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55" w:type="dxa"/>
            <w:tcBorders/>
            <w:shd w:fill="CCEEFF" w:val="clear"/>
            <w:tcMar>
              <w:bottom w:w="0" w:type="dxa"/>
            </w:tcMar>
            <w:vAlign w:val="center"/>
          </w:tcPr>
          <w:p>
            <w:pPr>
              <w:pStyle w:val="TableContents"/>
              <w:spacing w:before="0" w:after="0"/>
              <w:jc w:val="left"/>
              <w:rPr>
                <w:spacing w:val="4"/>
              </w:rPr>
            </w:pPr>
            <w:r>
              <w:rPr>
                <w:spacing w:val="4"/>
              </w:rPr>
              <w:t xml:space="preserve">Saf Yeboah-Amankwah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5"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3" w:type="dxa"/>
            <w:gridSpan w:val="4"/>
            <w:tcBorders/>
            <w:shd w:fill="CCEEFF" w:val="clear"/>
            <w:tcMar>
              <w:bottom w:w="0" w:type="dxa"/>
            </w:tcMar>
            <w:vAlign w:val="center"/>
          </w:tcPr>
          <w:p>
            <w:pPr>
              <w:pStyle w:val="TableContents"/>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13" w:type="dxa"/>
            <w:gridSpan w:val="4"/>
            <w:tcBorders/>
            <w:shd w:fill="CCEEFF" w:val="clear"/>
            <w:tcMar>
              <w:bottom w:w="0" w:type="dxa"/>
            </w:tcMar>
            <w:vAlign w:val="center"/>
          </w:tcPr>
          <w:p>
            <w:pPr>
              <w:pStyle w:val="TableContents"/>
              <w:spacing w:before="0" w:after="0"/>
              <w:jc w:val="center"/>
              <w:rPr/>
            </w:pPr>
            <w:r>
              <w:rPr>
                <w:spacing w:val="4"/>
              </w:rPr>
              <w:t>N/A</w:t>
            </w:r>
            <w:r>
              <w:rPr/>
              <w:t xml:space="preserve"> </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represent the aggregate dollar amount of all fees earned or paid in cash to each non-employee director in fiscal year 2022 for their service as a director, including any annual retainer fees, committee and/or chair fees.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largest"/>
                <wp:docPr id="136" name="Frame1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2022. The ME RSUs vest over a three-year period.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largest"/>
                <wp:docPr id="137" name="Frame1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assists the Board in fulfilling its responsibilities with regard to compensation matters, and is responsible under its charter for determining the compensation of Mobileye’s executive officers. The Compensation Committee has reviewed and discussed the “Compensation Discussion and Analysis” section of this proxy statement with management. Based on this review and discussion, the Compensation Committee recommended to the Board of Directors that the “Compensation Discussion and Analysis” section be included in Mobileye’s 2022 Annual Report on Form 10-K (incorporated by reference) and in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as of March 8, 2023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Christine Pambianchi, Chair </w:t>
        <w:br/>
        <w:t xml:space="preserve">Eyal Desheh </w:t>
        <w:br/>
        <w:t>Frank D. Yeary</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AMI"/>
      <w:bookmarkEnd w:id="40"/>
      <w:r>
        <w:rPr>
          <w:rFonts w:ascii="calibri;arial;sans-serif" w:hAnsi="calibri;arial;sans-serif"/>
          <w:b w:val="false"/>
          <w:i w:val="false"/>
          <w:caps w:val="false"/>
          <w:smallCaps w:val="false"/>
          <w:color w:val="000000"/>
          <w:sz w:val="16"/>
        </w:rPr>
        <w:t>​</w:t>
      </w:r>
      <w:bookmarkStart w:id="41" w:name="tHWT2"/>
      <w:bookmarkEnd w:id="41"/>
      <w:r>
        <w:rPr>
          <w:rFonts w:ascii="calibri;arial;sans-serif" w:hAnsi="calibri;arial;sans-serif"/>
          <w:b w:val="false"/>
          <w:i w:val="false"/>
          <w:caps w:val="false"/>
          <w:smallCaps w:val="false"/>
          <w:color w:val="000000"/>
          <w:sz w:val="16"/>
        </w:rPr>
        <w:t>​</w:t>
      </w:r>
      <w:bookmarkStart w:id="42" w:name="tHDIA"/>
      <w:bookmarkEnd w:id="4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MEETING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2023 Annual Stockholders’ Meeting be conducted?</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Annual Stockholders’ Meeting will be conducted solely online via the Internet through a live webcast and online stockholder tools. We are using a virtual annual meeting format to facilitate stockholder attendance and participation by leveraging technology to communicate more effectively and efficiently with our stockholders. This format empowers stockholders to participate fully from any location around the world, at no cost. We have designed the virtual format to enhance stockholder access and participation and protect stockholder rights. For example: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participate in the virtual 2023 Annual Stockholders’ Meeting only if you were a Mobileye stockholder as of the close of business on April 24, 2023 or if you hold a valid proxy for the annual meeting. If you are not a Mobileye stockholder, you may still view the meeting online at www.virtualshareholdermeeting.com/MBLY2023. </w:t>
      </w:r>
    </w:p>
    <w:p>
      <w:pPr>
        <w:pStyle w:val="TextBody"/>
        <w:spacing w:lineRule="atLeast" w:line="22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Online. If you plan to attend the annual meeting online, please be aware of what you will need to gain admission, as described below. If you do not comply with the procedures described here for attending the annual meeting online, you will not be able to participate in the annual meeting but may view the annual meeting webcast. Stockholders may participate in the annual meeting by visiting www.virtualshareholdermeeting.com/MBLY2023; interested persons who were not stockholders as of the close of business on April 24, 2023 may view, but not participate, in the annual meeting via www.virtualshareholdermeeting.com/MBLY2023. </w:t>
      </w:r>
    </w:p>
    <w:tbl>
      <w:tblPr>
        <w:tblW w:w="8812" w:type="dxa"/>
        <w:jc w:val="left"/>
        <w:tblInd w:w="1393" w:type="dxa"/>
        <w:tblCellMar>
          <w:top w:w="0" w:type="dxa"/>
          <w:left w:w="0" w:type="dxa"/>
          <w:bottom w:w="0" w:type="dxa"/>
          <w:right w:w="0" w:type="dxa"/>
        </w:tblCellMar>
      </w:tblPr>
      <w:tblGrid>
        <w:gridCol w:w="124"/>
        <w:gridCol w:w="4280"/>
        <w:gridCol w:w="109"/>
        <w:gridCol w:w="109"/>
        <w:gridCol w:w="4035"/>
        <w:gridCol w:w="155"/>
      </w:tblGrid>
      <w:tr>
        <w:trPr/>
        <w:tc>
          <w:tcPr>
            <w:tcW w:w="124" w:type="dxa"/>
            <w:tcBorders/>
            <w:shd w:fill="auto" w:val="clear"/>
            <w:vAlign w:val="center"/>
          </w:tcPr>
          <w:p>
            <w:pPr>
              <w:pStyle w:val="TableContents"/>
              <w:spacing w:before="0" w:after="283"/>
              <w:rPr/>
            </w:pPr>
            <w:r>
              <w:rPr/>
              <w:t>​</w:t>
            </w:r>
          </w:p>
        </w:tc>
        <w:tc>
          <w:tcPr>
            <w:tcW w:w="4280" w:type="dxa"/>
            <w:tcBorders/>
            <w:shd w:fill="auto" w:val="clear"/>
            <w:vAlign w:val="center"/>
          </w:tcPr>
          <w:p>
            <w:pPr>
              <w:pStyle w:val="TableContents"/>
              <w:spacing w:before="0" w:after="0"/>
              <w:rPr>
                <w:b/>
              </w:rPr>
            </w:pPr>
            <w:r>
              <w:rPr>
                <w:b/>
                <w:spacing w:val="-4"/>
              </w:rPr>
              <w:t>Stockholders of Record</w:t>
            </w:r>
            <w:r>
              <w:rPr>
                <w:b/>
              </w:rPr>
              <w:t xml:space="preserve"> </w:t>
            </w:r>
          </w:p>
          <w:p>
            <w:pPr>
              <w:pStyle w:val="TableContents"/>
              <w:spacing w:before="120" w:after="283"/>
              <w:rPr/>
            </w:pPr>
            <w:r>
              <w:rPr>
                <w:spacing w:val="4"/>
              </w:rPr>
              <w:t>If you are a stockholder of record, you will need to use your control number on your Notice of Internet Availability or proxy card to log into www.virtualshareholdermeeting.com/MBLY2023.</w:t>
            </w:r>
            <w:r>
              <w:rPr/>
              <w:t xml:space="preserve"> </w:t>
            </w:r>
          </w:p>
          <w:p>
            <w:pPr>
              <w:pStyle w:val="TableContents"/>
              <w:spacing w:before="120" w:after="283"/>
              <w:rPr/>
            </w:pPr>
            <w:r>
              <w:rPr>
                <w:i/>
                <w:spacing w:val="4"/>
              </w:rPr>
              <w:t>Stockholders of record</w:t>
            </w:r>
            <w:r>
              <w:rPr>
                <w:spacing w:val="4"/>
              </w:rPr>
              <w:t xml:space="preserve"> — those holding shares directly with Computershare Trust Company, N.A. —  will be on a list maintained by the inspector of elections.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035" w:type="dxa"/>
            <w:tcBorders/>
            <w:shd w:fill="auto" w:val="clear"/>
            <w:vAlign w:val="center"/>
          </w:tcPr>
          <w:p>
            <w:pPr>
              <w:pStyle w:val="TableContents"/>
              <w:spacing w:before="0" w:after="0"/>
              <w:rPr>
                <w:b/>
              </w:rPr>
            </w:pPr>
            <w:r>
              <w:rPr>
                <w:b/>
                <w:spacing w:val="-4"/>
              </w:rPr>
              <w:t>Beneficial Stockholder</w:t>
            </w:r>
            <w:r>
              <w:rPr>
                <w:b/>
              </w:rPr>
              <w:t xml:space="preserve"> </w:t>
            </w:r>
          </w:p>
          <w:p>
            <w:pPr>
              <w:pStyle w:val="TableContents"/>
              <w:spacing w:before="120" w:after="283"/>
              <w:rPr/>
            </w:pPr>
            <w:r>
              <w:rPr>
                <w:spacing w:val="4"/>
              </w:rPr>
              <w:t xml:space="preserve">If you are a beneficial stockholder and your voting instruction form or Notice of Internet Availability (Notice) indicates that you may vote those shares through the </w:t>
            </w:r>
            <w:r>
              <w:rPr>
                <w:b/>
                <w:spacing w:val="-4"/>
              </w:rPr>
              <w:t>www.proxyvote.com</w:t>
            </w:r>
            <w:r>
              <w:rPr>
                <w:spacing w:val="4"/>
              </w:rPr>
              <w:t xml:space="preserve"> website, then you may access, participate in, and vote at the annual meeting with the 16-digit access code indicated on that voting instruction form or Notice. Otherwise, beneficial stockholders who do not have a control number or access code should contact their bank, broker or other nominee (preferably at least five days before the annual meeting) and obtain a “legal proxy” in order to be able to attend, participate in or vote at the annual meeting.</w:t>
            </w:r>
            <w:r>
              <w:rPr/>
              <w:t xml:space="preserve"> </w:t>
            </w:r>
          </w:p>
          <w:p>
            <w:pPr>
              <w:pStyle w:val="TableContents"/>
              <w:spacing w:before="120" w:after="283"/>
              <w:rPr/>
            </w:pPr>
            <w:r>
              <w:rPr>
                <w:spacing w:val="4"/>
              </w:rPr>
              <w:t>“</w:t>
            </w:r>
            <w:r>
              <w:rPr>
                <w:i/>
                <w:spacing w:val="4"/>
              </w:rPr>
              <w:t>Beneficial” or “street name” stockholders</w:t>
            </w:r>
            <w:r>
              <w:rPr>
                <w:spacing w:val="4"/>
              </w:rPr>
              <w:t> — those holding shares through a broker, bank, or other nominee.</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20" w:before="148"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access the meeting prior to the start time. Please allow ample time for online check-in, which will begin at 11:15 a.m. Eastern Time. If you have difficulties during the check-in time or during the annual meeting, we will have technicians ready to assist you with any difficulties you may have accessing the virtual meeting. If you encounter any difficulties accessing the virtual meeting during the check-in or course of the annual meeting, please call the number listed on the virtual meeting site.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Asking Questions.</w:t>
      </w:r>
      <w:r>
        <w:rPr>
          <w:rFonts w:ascii="Times New Roman;Times;serif" w:hAnsi="Times New Roman;Times;serif"/>
          <w:b w:val="false"/>
          <w:i w:val="false"/>
          <w:caps w:val="false"/>
          <w:smallCaps w:val="false"/>
          <w:color w:val="000000"/>
          <w:spacing w:val="4"/>
          <w:sz w:val="20"/>
        </w:rPr>
        <w:t xml:space="preserve">   Stockholders have multiple opportunities to submit questions to Mobileye for the annual meeting. Stockholders who wish to submit a question in advance may do so at either </w:t>
      </w:r>
      <w:r>
        <w:rPr>
          <w:rFonts w:ascii="Times New Roman;Times;serif" w:hAnsi="Times New Roman;Times;serif"/>
          <w:b/>
          <w:i w:val="false"/>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or on our annual meeting website, www.virtualshareholdermeeting.com/MBLY2023. Stockholders also may submit questions live during the meeting at the meeting website. Stockholders can also access copies of the proxy statement and annual report at our annual meeting website.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cannot attend, following the meeting,</w:t>
      </w:r>
      <w:r>
        <w:rPr>
          <w:rFonts w:ascii="Times New Roman;Times;serif" w:hAnsi="Times New Roman;Times;serif"/>
          <w:b w:val="false"/>
          <w:i w:val="false"/>
          <w:caps w:val="false"/>
          <w:smallCaps w:val="false"/>
          <w:color w:val="000000"/>
          <w:spacing w:val="4"/>
          <w:sz w:val="20"/>
        </w:rPr>
        <w:t xml:space="preserve"> a replay of our annual meeting webcast will be available at our Investor Relations website at https://ir.mobileye.com/ and remain for at least one year.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HDIV"/>
      <w:bookmarkEnd w:id="4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82"/>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in any of the following ways: </w:t>
      </w:r>
    </w:p>
    <w:tbl>
      <w:tblPr>
        <w:tblW w:w="8812" w:type="dxa"/>
        <w:jc w:val="left"/>
        <w:tblInd w:w="1393" w:type="dxa"/>
        <w:tblCellMar>
          <w:top w:w="0" w:type="dxa"/>
          <w:left w:w="0" w:type="dxa"/>
          <w:bottom w:w="0" w:type="dxa"/>
          <w:right w:w="0" w:type="dxa"/>
        </w:tblCellMar>
      </w:tblPr>
      <w:tblGrid>
        <w:gridCol w:w="124"/>
        <w:gridCol w:w="2789"/>
        <w:gridCol w:w="109"/>
        <w:gridCol w:w="109"/>
        <w:gridCol w:w="2164"/>
        <w:gridCol w:w="109"/>
        <w:gridCol w:w="109"/>
        <w:gridCol w:w="3144"/>
        <w:gridCol w:w="155"/>
      </w:tblGrid>
      <w:tr>
        <w:trPr/>
        <w:tc>
          <w:tcPr>
            <w:tcW w:w="124" w:type="dxa"/>
            <w:tcBorders/>
            <w:shd w:fill="auto" w:val="clear"/>
            <w:vAlign w:val="center"/>
          </w:tcPr>
          <w:p>
            <w:pPr>
              <w:pStyle w:val="TableContents"/>
              <w:spacing w:before="0" w:after="283"/>
              <w:rPr/>
            </w:pPr>
            <w:r>
              <w:rPr/>
              <w:t>​</w:t>
            </w:r>
          </w:p>
        </w:tc>
        <w:tc>
          <w:tcPr>
            <w:tcW w:w="2789" w:type="dxa"/>
            <w:tcBorders/>
            <w:shd w:fill="auto" w:val="clear"/>
            <w:vAlign w:val="center"/>
          </w:tcPr>
          <w:p>
            <w:pPr>
              <w:pStyle w:val="TableContents"/>
              <w:spacing w:before="0" w:after="0"/>
              <w:rPr/>
            </w:pPr>
            <w:r>
              <w:rPr/>
              <w:drawing>
                <wp:inline distT="0" distB="0" distL="0" distR="0">
                  <wp:extent cx="352425" cy="352425"/>
                  <wp:effectExtent l="0" t="0" r="0" b="0"/>
                  <wp:docPr id="1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4" descr=""/>
                          <pic:cNvPicPr>
                            <a:picLocks noChangeAspect="1" noChangeArrowheads="1"/>
                          </pic:cNvPicPr>
                        </pic:nvPicPr>
                        <pic:blipFill>
                          <a:blip r:embed="rId15"/>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64" w:type="dxa"/>
            <w:tcBorders/>
            <w:shd w:fill="auto" w:val="clear"/>
            <w:vAlign w:val="center"/>
          </w:tcPr>
          <w:p>
            <w:pPr>
              <w:pStyle w:val="TableContents"/>
              <w:spacing w:before="0" w:after="0"/>
              <w:rPr/>
            </w:pPr>
            <w:r>
              <w:rPr/>
              <w:drawing>
                <wp:inline distT="0" distB="0" distL="0" distR="0">
                  <wp:extent cx="352425" cy="352425"/>
                  <wp:effectExtent l="0" t="0" r="0" b="0"/>
                  <wp:docPr id="1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5" descr=""/>
                          <pic:cNvPicPr>
                            <a:picLocks noChangeAspect="1" noChangeArrowheads="1"/>
                          </pic:cNvPicPr>
                        </pic:nvPicPr>
                        <pic:blipFill>
                          <a:blip r:embed="rId16"/>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44" w:type="dxa"/>
            <w:tcBorders/>
            <w:shd w:fill="auto" w:val="clear"/>
            <w:vAlign w:val="center"/>
          </w:tcPr>
          <w:p>
            <w:pPr>
              <w:pStyle w:val="TableContents"/>
              <w:spacing w:before="0" w:after="0"/>
              <w:rPr/>
            </w:pPr>
            <w:r>
              <w:rPr/>
              <w:drawing>
                <wp:inline distT="0" distB="0" distL="0" distR="0">
                  <wp:extent cx="352425" cy="352425"/>
                  <wp:effectExtent l="0" t="0" r="0" b="0"/>
                  <wp:docPr id="14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6" descr=""/>
                          <pic:cNvPicPr>
                            <a:picLocks noChangeAspect="1" noChangeArrowheads="1"/>
                          </pic:cNvPicPr>
                        </pic:nvPicPr>
                        <pic:blipFill>
                          <a:blip r:embed="rId17"/>
                          <a:stretch>
                            <a:fillRect/>
                          </a:stretch>
                        </pic:blipFill>
                        <pic:spPr bwMode="auto">
                          <a:xfrm>
                            <a:off x="0" y="0"/>
                            <a:ext cx="352425" cy="352425"/>
                          </a:xfrm>
                          <a:prstGeom prst="rect">
                            <a:avLst/>
                          </a:prstGeom>
                        </pic:spPr>
                      </pic:pic>
                    </a:graphicData>
                  </a:graphic>
                </wp:inline>
              </w:drawing>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9" w:type="dxa"/>
            <w:tcBorders/>
            <w:shd w:fill="auto" w:val="clear"/>
            <w:vAlign w:val="center"/>
          </w:tcPr>
          <w:p>
            <w:pPr>
              <w:pStyle w:val="TableContents"/>
              <w:spacing w:before="0" w:after="283"/>
              <w:rPr/>
            </w:pPr>
            <w:r>
              <w:rPr>
                <w:spacing w:val="4"/>
              </w:rPr>
              <w:t xml:space="preserve">Go to </w:t>
            </w:r>
            <w:r>
              <w:rPr>
                <w:b/>
                <w:spacing w:val="-4"/>
              </w:rPr>
              <w:t>www.proxyvote.com</w:t>
            </w:r>
            <w:r>
              <w:rPr>
                <w:spacing w:val="4"/>
              </w:rPr>
              <w:t xml:space="preserve"> and follow the instructions provided.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64" w:type="dxa"/>
            <w:tcBorders/>
            <w:shd w:fill="auto" w:val="clear"/>
            <w:vAlign w:val="center"/>
          </w:tcPr>
          <w:p>
            <w:pPr>
              <w:pStyle w:val="TableContents"/>
              <w:spacing w:before="0" w:after="0"/>
              <w:rPr/>
            </w:pPr>
            <w:r>
              <w:rPr>
                <w:spacing w:val="4"/>
              </w:rPr>
              <w:t>Call the applicable number and follow the instructions provided.</w:t>
            </w:r>
            <w:r>
              <w:rPr/>
              <w:t xml:space="preserve"> </w:t>
            </w:r>
          </w:p>
          <w:p>
            <w:pPr>
              <w:pStyle w:val="TableContents"/>
              <w:spacing w:before="120" w:after="283"/>
              <w:rPr>
                <w:b/>
              </w:rPr>
            </w:pPr>
            <w:r>
              <w:rPr>
                <w:b/>
                <w:spacing w:val="-4"/>
              </w:rPr>
              <w:t xml:space="preserve">For stockholders of record: </w:t>
              <w:br/>
              <w:t>1-800-690-6903</w:t>
            </w:r>
            <w:r>
              <w:rPr>
                <w:b/>
              </w:rPr>
              <w:t xml:space="preserve"> </w:t>
            </w:r>
          </w:p>
          <w:p>
            <w:pPr>
              <w:pStyle w:val="TableContents"/>
              <w:spacing w:before="120" w:after="283"/>
              <w:rPr>
                <w:b/>
              </w:rPr>
            </w:pPr>
            <w:r>
              <w:rPr>
                <w:b/>
                <w:spacing w:val="-4"/>
              </w:rPr>
              <w:t xml:space="preserve">For beneficial stockholders: </w:t>
              <w:br/>
              <w:t>1-800-690-6903</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144" w:type="dxa"/>
            <w:tcBorders/>
            <w:shd w:fill="auto" w:val="clear"/>
            <w:vAlign w:val="center"/>
          </w:tcPr>
          <w:p>
            <w:pPr>
              <w:pStyle w:val="TableContents"/>
              <w:spacing w:before="0" w:after="283"/>
              <w:rPr/>
            </w:pPr>
            <w:r>
              <w:rPr>
                <w:spacing w:val="4"/>
              </w:rPr>
              <w:t>Mail, complete, sign, date, and mail the proxy card in the return envelope provided to you if you have received a printed version of these proxy materials.</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can vote via the Internet in advance of or during the meeting. Stockholders who attend the virtual annual meeting should follow the instructions at www.virtualshareholdermeeting.com/MBLY2023 to vote or submit questions during the meeting.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online during the meeting will replace any previous votes.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Revoking Your Proxy or Changing Your Vote.</w:t>
      </w:r>
      <w:r>
        <w:rPr>
          <w:rFonts w:ascii="Times New Roman;Times;serif" w:hAnsi="Times New Roman;Times;serif"/>
          <w:b w:val="false"/>
          <w:i w:val="false"/>
          <w:caps w:val="false"/>
          <w:smallCaps w:val="false"/>
          <w:color w:val="000000"/>
          <w:spacing w:val="4"/>
          <w:sz w:val="20"/>
        </w:rPr>
        <w:t xml:space="preserve">   Stockholders of record may revoke their proxy at any time before the electronic polls close by submitting a later-dated vote online during the annual meeting, via the Internet, by telephone, by mail, or by delivering instructions to our Secretary before the annual meeting commences. Beneficial stockholders may revoke any prior voting instructions by contacting the broker, bank, or other nominee that holds their shares or by voting online during the meeting.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Standards.</w:t>
      </w:r>
      <w:r>
        <w:rPr>
          <w:rFonts w:ascii="Times New Roman;Times;serif" w:hAnsi="Times New Roman;Times;serif"/>
          <w:b w:val="false"/>
          <w:i w:val="false"/>
          <w:caps w:val="false"/>
          <w:smallCaps w:val="false"/>
          <w:color w:val="000000"/>
          <w:spacing w:val="4"/>
          <w:sz w:val="20"/>
        </w:rPr>
        <w:t xml:space="preserve">   On April 24, 2023, the record date for the annual meeting, 51,912,143 shares of our Class A common stock and 750,000,000 of our Class B common stock were outstanding. In order to have a quorum at the meeting, one-third of the voting power of our capital stock issued and outstanding entitled to vote on the record date must be present at the scheduled time of the meeting in person or by proxy. Each share of our Class A common stock outstanding on the record date is entitled to one vote on each of the director nominees and one vote on each other matter and each share of our Class B common stock outstanding, which are owned entirely by Intel, are entitled to 10 votes on each of the director nominees and each other matter. Holders of our Class A common stock and Class B common stock will vote together as a single class on all matters described in this proxy statement. To be elected, directors must receive a plurality of the votes cast. Approval of each of the other matters on the agenda requires the affirmative vote of a majority of the shares of common stock (voting as a single class) present or represented by proxy during the meeting.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Abstentions and Broker Non-Votes.</w:t>
      </w:r>
      <w:r>
        <w:rPr>
          <w:rFonts w:ascii="Times New Roman;Times;serif" w:hAnsi="Times New Roman;Times;serif"/>
          <w:b w:val="false"/>
          <w:i w:val="false"/>
          <w:caps w:val="false"/>
          <w:smallCaps w:val="false"/>
          <w:color w:val="000000"/>
          <w:spacing w:val="4"/>
          <w:sz w:val="20"/>
        </w:rPr>
        <w:t xml:space="preserve">   Shares marked “withhold” and shares not represented at the meeting have no effect on the election of directors. For each of the other proposals, abstentions have the same effect as “against” votes. If you are a beneficial holder and do not provide specific voting instructions to your broker, the organization that holds your shares will not be authorized to vote your shares on discretionary proposals, which would result in “broker non-votes” on proposals other than the ratification of the selection of PwC as our independent registered public accounting firm. Any shares represented by “broker non-votes” are not considered votes cast or entitled to vote and therefore will not impact the outcome of such proposals. Accordingly, we encourage you to vote promptly, even if you plan to attend the virtual annual meeting.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describes the proposals to be considered at the meeting, the vote required to elect directors and to adopt each other proposal, and the manner in which votes will be counted: </w:t>
      </w:r>
    </w:p>
    <w:tbl>
      <w:tblPr>
        <w:tblW w:w="9662" w:type="dxa"/>
        <w:jc w:val="left"/>
        <w:tblInd w:w="543" w:type="dxa"/>
        <w:tblCellMar>
          <w:top w:w="0" w:type="dxa"/>
          <w:left w:w="0" w:type="dxa"/>
          <w:bottom w:w="43" w:type="dxa"/>
          <w:right w:w="0" w:type="dxa"/>
        </w:tblCellMar>
      </w:tblPr>
      <w:tblGrid>
        <w:gridCol w:w="2834"/>
        <w:gridCol w:w="109"/>
        <w:gridCol w:w="109"/>
        <w:gridCol w:w="1106"/>
        <w:gridCol w:w="109"/>
        <w:gridCol w:w="109"/>
        <w:gridCol w:w="1988"/>
        <w:gridCol w:w="109"/>
        <w:gridCol w:w="109"/>
        <w:gridCol w:w="1497"/>
        <w:gridCol w:w="109"/>
        <w:gridCol w:w="109"/>
        <w:gridCol w:w="1209"/>
        <w:gridCol w:w="156"/>
      </w:tblGrid>
      <w:tr>
        <w:trPr/>
        <w:tc>
          <w:tcPr>
            <w:tcW w:w="2834" w:type="dxa"/>
            <w:tcBorders>
              <w:bottom w:val="single" w:sz="2" w:space="0" w:color="000000"/>
            </w:tcBorders>
            <w:shd w:fill="auto" w:val="clear"/>
            <w:vAlign w:val="center"/>
          </w:tcPr>
          <w:p>
            <w:pPr>
              <w:pStyle w:val="TableContents"/>
              <w:spacing w:before="0" w:after="0"/>
              <w:jc w:val="left"/>
              <w:rPr>
                <w:spacing w:val="-3"/>
              </w:rPr>
            </w:pPr>
            <w:r>
              <w:rPr>
                <w:spacing w:val="-3"/>
              </w:rPr>
              <w:t xml:space="preserve">Proposal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06" w:type="dxa"/>
            <w:tcBorders>
              <w:bottom w:val="single" w:sz="2" w:space="0" w:color="000000"/>
            </w:tcBorders>
            <w:shd w:fill="auto" w:val="clear"/>
            <w:vAlign w:val="center"/>
          </w:tcPr>
          <w:p>
            <w:pPr>
              <w:pStyle w:val="TableContents"/>
              <w:spacing w:before="0" w:after="0"/>
              <w:jc w:val="center"/>
              <w:rPr>
                <w:spacing w:val="-3"/>
              </w:rPr>
            </w:pPr>
            <w:r>
              <w:rPr>
                <w:spacing w:val="-3"/>
              </w:rPr>
              <w:t xml:space="preserve">Voting Options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8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Vote Required to </w:t>
              <w:br/>
              <w:t xml:space="preserve">Adopt the Proposal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Effect of </w:t>
              <w:br/>
              <w:t xml:space="preserve">Abstentions/Withhold***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09" w:type="dxa"/>
            <w:tcBorders>
              <w:bottom w:val="single" w:sz="2" w:space="0" w:color="000000"/>
            </w:tcBorders>
            <w:shd w:fill="auto" w:val="clear"/>
            <w:vAlign w:val="center"/>
          </w:tcPr>
          <w:p>
            <w:pPr>
              <w:pStyle w:val="TableContents"/>
              <w:spacing w:before="0" w:after="0"/>
              <w:jc w:val="center"/>
              <w:rPr>
                <w:spacing w:val="-3"/>
              </w:rPr>
            </w:pPr>
            <w:r>
              <w:rPr>
                <w:spacing w:val="-3"/>
              </w:rPr>
              <w:t xml:space="preserve">Effect of “Broker </w:t>
              <w:br/>
              <w:t xml:space="preserve">Non-Votes”**** </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834" w:type="dxa"/>
            <w:tcBorders/>
            <w:shd w:fill="auto" w:val="clear"/>
            <w:tcMar>
              <w:bottom w:w="0" w:type="dxa"/>
            </w:tcMar>
            <w:vAlign w:val="center"/>
          </w:tcPr>
          <w:p>
            <w:pPr>
              <w:pStyle w:val="TableContents"/>
              <w:spacing w:before="0" w:after="283"/>
              <w:rPr>
                <w:spacing w:val="4"/>
              </w:rPr>
            </w:pPr>
            <w:r>
              <w:rPr>
                <w:spacing w:val="4"/>
              </w:rPr>
              <w:t xml:space="preserve">Election of 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6" w:type="dxa"/>
            <w:tcBorders/>
            <w:shd w:fill="auto" w:val="clear"/>
            <w:tcMar>
              <w:bottom w:w="0" w:type="dxa"/>
            </w:tcMar>
            <w:vAlign w:val="center"/>
          </w:tcPr>
          <w:p>
            <w:pPr>
              <w:pStyle w:val="TableContents"/>
              <w:spacing w:lineRule="atLeast" w:line="216" w:before="0" w:after="0"/>
              <w:rPr>
                <w:spacing w:val="4"/>
              </w:rPr>
            </w:pPr>
            <w:r>
              <w:rPr>
                <w:spacing w:val="4"/>
              </w:rPr>
              <w:t xml:space="preserve">For or withhold on each nominee.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before="0" w:after="283"/>
              <w:rPr>
                <w:spacing w:val="4"/>
              </w:rPr>
            </w:pPr>
            <w:r>
              <w:rPr>
                <w:spacing w:val="4"/>
              </w:rPr>
              <w:t xml:space="preserve">Plurality of votes cast.*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7" w:type="dxa"/>
            <w:tcBorders/>
            <w:shd w:fill="auto" w:val="clear"/>
            <w:tcMar>
              <w:bottom w:w="0" w:type="dxa"/>
            </w:tcMar>
            <w:vAlign w:val="center"/>
          </w:tcPr>
          <w:p>
            <w:pPr>
              <w:pStyle w:val="TableContents"/>
              <w:spacing w:before="0" w:after="283"/>
              <w:rPr>
                <w:spacing w:val="4"/>
              </w:rPr>
            </w:pPr>
            <w:r>
              <w:rPr>
                <w:spacing w:val="4"/>
              </w:rPr>
              <w:t xml:space="preserve">No effect.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9" w:type="dxa"/>
            <w:tcBorders/>
            <w:shd w:fill="auto" w:val="clear"/>
            <w:tcMar>
              <w:bottom w:w="0" w:type="dxa"/>
            </w:tcMar>
            <w:vAlign w:val="center"/>
          </w:tcPr>
          <w:p>
            <w:pPr>
              <w:pStyle w:val="TableContents"/>
              <w:spacing w:before="0" w:after="283"/>
              <w:rPr/>
            </w:pPr>
            <w:r>
              <w:rPr>
                <w:spacing w:val="4"/>
              </w:rPr>
              <w:t>No effect.</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2834" w:type="dxa"/>
            <w:tcBorders/>
            <w:shd w:fill="auto" w:val="clear"/>
            <w:tcMar>
              <w:bottom w:w="0" w:type="dxa"/>
            </w:tcMar>
            <w:vAlign w:val="center"/>
          </w:tcPr>
          <w:p>
            <w:pPr>
              <w:pStyle w:val="TableContents"/>
              <w:spacing w:lineRule="atLeast" w:line="216" w:before="0" w:after="0"/>
              <w:rPr>
                <w:spacing w:val="4"/>
              </w:rPr>
            </w:pPr>
            <w:r>
              <w:rPr>
                <w:spacing w:val="4"/>
              </w:rPr>
              <w:t xml:space="preserve">Ratification of selection of PricewaterhouseCoopers International Limited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6" w:type="dxa"/>
            <w:tcBorders/>
            <w:shd w:fill="auto" w:val="clear"/>
            <w:tcMar>
              <w:bottom w:w="0" w:type="dxa"/>
            </w:tcMar>
            <w:vAlign w:val="center"/>
          </w:tcPr>
          <w:p>
            <w:pPr>
              <w:pStyle w:val="TableContents"/>
              <w:spacing w:before="0" w:after="283"/>
              <w:rPr>
                <w:spacing w:val="4"/>
              </w:rPr>
            </w:pPr>
            <w:r>
              <w:rPr>
                <w:spacing w:val="4"/>
              </w:rPr>
              <w:t xml:space="preserve">For, against, or abstain.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lineRule="atLeast" w:line="216" w:before="0" w:after="0"/>
              <w:rPr>
                <w:spacing w:val="4"/>
              </w:rPr>
            </w:pPr>
            <w:r>
              <w:rPr>
                <w:spacing w:val="4"/>
              </w:rPr>
              <w:t xml:space="preserve">Majority of shares present or represented.**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7" w:type="dxa"/>
            <w:tcBorders/>
            <w:shd w:fill="auto" w:val="clear"/>
            <w:tcMar>
              <w:bottom w:w="0" w:type="dxa"/>
            </w:tcMar>
            <w:vAlign w:val="center"/>
          </w:tcPr>
          <w:p>
            <w:pPr>
              <w:pStyle w:val="TableContents"/>
              <w:spacing w:lineRule="atLeast" w:line="216" w:before="0" w:after="0"/>
              <w:rPr>
                <w:spacing w:val="4"/>
              </w:rPr>
            </w:pPr>
            <w:r>
              <w:rPr>
                <w:spacing w:val="4"/>
              </w:rPr>
              <w:t xml:space="preserve">Counted as “against” vote.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9" w:type="dxa"/>
            <w:tcBorders/>
            <w:shd w:fill="auto" w:val="clear"/>
            <w:tcMar>
              <w:bottom w:w="0" w:type="dxa"/>
            </w:tcMar>
            <w:vAlign w:val="center"/>
          </w:tcPr>
          <w:p>
            <w:pPr>
              <w:pStyle w:val="TableContents"/>
              <w:spacing w:lineRule="atLeast" w:line="216" w:before="0" w:after="0"/>
              <w:rPr>
                <w:spacing w:val="4"/>
              </w:rPr>
            </w:pPr>
            <w:r>
              <w:rPr>
                <w:spacing w:val="4"/>
              </w:rPr>
              <w:t xml:space="preserve">Broker has discretion to vote. </w:t>
            </w:r>
          </w:p>
        </w:tc>
        <w:tc>
          <w:tcPr>
            <w:tcW w:w="156" w:type="dxa"/>
            <w:tcBorders/>
            <w:shd w:fill="auto" w:val="clear"/>
            <w:tcMar>
              <w:bottom w:w="0" w:type="dxa"/>
            </w:tcMar>
            <w:vAlign w:val="center"/>
          </w:tcPr>
          <w:p>
            <w:pPr>
              <w:pStyle w:val="TableContents"/>
              <w:spacing w:before="0" w:after="283"/>
              <w:rPr/>
            </w:pPr>
            <w:r>
              <w:rPr/>
              <w:t>​</w:t>
            </w:r>
          </w:p>
        </w:tc>
      </w:tr>
      <w:tr>
        <w:trPr/>
        <w:tc>
          <w:tcPr>
            <w:tcW w:w="2834" w:type="dxa"/>
            <w:tcBorders/>
            <w:shd w:fill="auto" w:val="clear"/>
            <w:tcMar>
              <w:bottom w:w="0" w:type="dxa"/>
            </w:tcMar>
            <w:vAlign w:val="center"/>
          </w:tcPr>
          <w:p>
            <w:pPr>
              <w:pStyle w:val="TableContents"/>
              <w:spacing w:lineRule="atLeast" w:line="216" w:before="0" w:after="0"/>
              <w:rPr>
                <w:spacing w:val="4"/>
              </w:rPr>
            </w:pPr>
            <w:r>
              <w:rPr>
                <w:spacing w:val="4"/>
              </w:rPr>
              <w:t xml:space="preserve">Advisory vote to approve executive compensation of our listed officers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6" w:type="dxa"/>
            <w:tcBorders/>
            <w:shd w:fill="auto" w:val="clear"/>
            <w:tcMar>
              <w:bottom w:w="0" w:type="dxa"/>
            </w:tcMar>
            <w:vAlign w:val="center"/>
          </w:tcPr>
          <w:p>
            <w:pPr>
              <w:pStyle w:val="TableContents"/>
              <w:spacing w:before="0" w:after="283"/>
              <w:rPr>
                <w:spacing w:val="4"/>
              </w:rPr>
            </w:pPr>
            <w:r>
              <w:rPr>
                <w:spacing w:val="4"/>
              </w:rPr>
              <w:t xml:space="preserve">For, against, or abstain.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before="0" w:after="283"/>
              <w:rPr>
                <w:spacing w:val="4"/>
              </w:rPr>
            </w:pPr>
            <w:r>
              <w:rPr>
                <w:spacing w:val="4"/>
              </w:rPr>
              <w:t xml:space="preserve">Majority of shares present or represented.**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7" w:type="dxa"/>
            <w:tcBorders/>
            <w:shd w:fill="auto" w:val="clear"/>
            <w:tcMar>
              <w:bottom w:w="0" w:type="dxa"/>
            </w:tcMar>
            <w:vAlign w:val="center"/>
          </w:tcPr>
          <w:p>
            <w:pPr>
              <w:pStyle w:val="TableContents"/>
              <w:spacing w:before="0" w:after="283"/>
              <w:rPr>
                <w:spacing w:val="4"/>
              </w:rPr>
            </w:pPr>
            <w:r>
              <w:rPr>
                <w:spacing w:val="4"/>
              </w:rPr>
              <w:t xml:space="preserve">Counted as “against” vote.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9" w:type="dxa"/>
            <w:tcBorders/>
            <w:shd w:fill="auto" w:val="clear"/>
            <w:tcMar>
              <w:bottom w:w="0" w:type="dxa"/>
            </w:tcMar>
            <w:vAlign w:val="center"/>
          </w:tcPr>
          <w:p>
            <w:pPr>
              <w:pStyle w:val="TableContents"/>
              <w:spacing w:before="0" w:after="283"/>
              <w:rPr/>
            </w:pPr>
            <w:r>
              <w:rPr>
                <w:spacing w:val="4"/>
              </w:rPr>
              <w:t>No effect.</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2834" w:type="dxa"/>
            <w:tcBorders/>
            <w:shd w:fill="auto" w:val="clear"/>
            <w:tcMar>
              <w:bottom w:w="0" w:type="dxa"/>
            </w:tcMar>
            <w:vAlign w:val="center"/>
          </w:tcPr>
          <w:p>
            <w:pPr>
              <w:pStyle w:val="TableContents"/>
              <w:spacing w:lineRule="atLeast" w:line="216" w:before="0" w:after="0"/>
              <w:rPr/>
            </w:pPr>
            <w:r>
              <w:rPr>
                <w:spacing w:val="4"/>
              </w:rPr>
              <w:t>Advisory vote to determine the frequency of future advisory votes on executive compensation</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6" w:type="dxa"/>
            <w:tcBorders/>
            <w:shd w:fill="auto" w:val="clear"/>
            <w:tcMar>
              <w:bottom w:w="0" w:type="dxa"/>
            </w:tcMar>
            <w:vAlign w:val="center"/>
          </w:tcPr>
          <w:p>
            <w:pPr>
              <w:pStyle w:val="TableContents"/>
              <w:spacing w:lineRule="atLeast" w:line="216" w:before="0" w:after="0"/>
              <w:rPr/>
            </w:pPr>
            <w:r>
              <w:rPr>
                <w:spacing w:val="4"/>
              </w:rPr>
              <w:t>1 year, 2 years, 3 years, or abstain.</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lineRule="atLeast" w:line="216" w:before="0" w:after="0"/>
              <w:rPr>
                <w:spacing w:val="4"/>
              </w:rPr>
            </w:pPr>
            <w:r>
              <w:rPr>
                <w:spacing w:val="4"/>
              </w:rPr>
              <w:t xml:space="preserve">Majority of shares present or represented (if no choice receives a majority, then the choice that receives the plurality of votes cast will be considered approved).**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7" w:type="dxa"/>
            <w:tcBorders/>
            <w:shd w:fill="auto" w:val="clear"/>
            <w:tcMar>
              <w:bottom w:w="0" w:type="dxa"/>
            </w:tcMar>
            <w:vAlign w:val="center"/>
          </w:tcPr>
          <w:p>
            <w:pPr>
              <w:pStyle w:val="TableContents"/>
              <w:spacing w:lineRule="atLeast" w:line="216" w:before="0" w:after="0"/>
              <w:rPr/>
            </w:pPr>
            <w:r>
              <w:rPr>
                <w:spacing w:val="4"/>
              </w:rPr>
              <w:t>Counted as “against” vote (if no choice receives a majority, then none).</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9" w:type="dxa"/>
            <w:tcBorders/>
            <w:shd w:fill="auto" w:val="clear"/>
            <w:tcMar>
              <w:bottom w:w="0" w:type="dxa"/>
            </w:tcMar>
            <w:vAlign w:val="center"/>
          </w:tcPr>
          <w:p>
            <w:pPr>
              <w:pStyle w:val="TableContents"/>
              <w:spacing w:before="0" w:after="283"/>
              <w:rPr/>
            </w:pPr>
            <w:r>
              <w:rPr>
                <w:spacing w:val="4"/>
              </w:rPr>
              <w:t>No effect.</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any shares not voted “for” a particular candidate, whether as a result of a “withhold” vote or broker non-vote, will not be counted in such candidate’s favor and will have no effect on the election results. </w:t>
      </w:r>
      <w:r>
        <mc:AlternateContent>
          <mc:Choice Requires="wps">
            <w:drawing>
              <wp:anchor behindDoc="0" distT="114300" distB="0" distL="0" distR="0" simplePos="0" locked="0" layoutInCell="1" allowOverlap="1" relativeHeight="145">
                <wp:simplePos x="0" y="0"/>
                <wp:positionH relativeFrom="column">
                  <wp:align>left</wp:align>
                </wp:positionH>
                <wp:positionV relativeFrom="line">
                  <wp:align>top</wp:align>
                </wp:positionV>
                <wp:extent cx="304800" cy="293370"/>
                <wp:effectExtent l="0" t="0" r="0" b="0"/>
                <wp:wrapSquare wrapText="largest"/>
                <wp:docPr id="141" name="Frame125"/>
                <a:graphic xmlns:a="http://schemas.openxmlformats.org/drawingml/2006/main">
                  <a:graphicData uri="http://schemas.microsoft.com/office/word/2010/wordprocessingShape">
                    <wps:wsp>
                      <wps:cNvSpPr txBox="1"/>
                      <wps:spPr>
                        <a:xfrm>
                          <a:off x="0" y="0"/>
                          <a:ext cx="304800" cy="293370"/>
                        </a:xfrm>
                        <a:prstGeom prst="rect"/>
                      </wps:spPr>
                      <wps:txbx>
                        <w:txbxContent>
                          <w:p>
                            <w:pPr>
                              <w:pStyle w:val="TextBody"/>
                              <w:spacing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the shares of common stock represented at the annual meeting and entitled to vote thereon. </w:t>
      </w:r>
      <w:r>
        <mc:AlternateContent>
          <mc:Choice Requires="wps">
            <w:drawing>
              <wp:anchor behindDoc="0" distT="63500" distB="0" distL="0" distR="0" simplePos="0" locked="0" layoutInCell="1" allowOverlap="1" relativeHeight="146">
                <wp:simplePos x="0" y="0"/>
                <wp:positionH relativeFrom="column">
                  <wp:align>left</wp:align>
                </wp:positionH>
                <wp:positionV relativeFrom="line">
                  <wp:align>top</wp:align>
                </wp:positionV>
                <wp:extent cx="304800" cy="304800"/>
                <wp:effectExtent l="0" t="0" r="0" b="0"/>
                <wp:wrapSquare wrapText="largest"/>
                <wp:docPr id="142" name="Frame126"/>
                <a:graphic xmlns:a="http://schemas.openxmlformats.org/drawingml/2006/main">
                  <a:graphicData uri="http://schemas.microsoft.com/office/word/2010/wordprocessingShape">
                    <wps:wsp>
                      <wps:cNvSpPr txBox="1"/>
                      <wps:spPr>
                        <a:xfrm>
                          <a:off x="0" y="0"/>
                          <a:ext cx="304800" cy="304800"/>
                        </a:xfrm>
                        <a:prstGeom prst="rect"/>
                      </wps:spPr>
                      <wps:txbx>
                        <w:txbxContent>
                          <w:p>
                            <w:pPr>
                              <w:pStyle w:val="TextBody"/>
                              <w:spacing w:lineRule="atLeast" w:line="240"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marked “abstain.” </w:t>
      </w:r>
      <w:r>
        <mc:AlternateContent>
          <mc:Choice Requires="wps">
            <w:drawing>
              <wp:anchor behindDoc="0" distT="63500" distB="0" distL="0" distR="0" simplePos="0" locked="0" layoutInCell="1" allowOverlap="1" relativeHeight="147">
                <wp:simplePos x="0" y="0"/>
                <wp:positionH relativeFrom="column">
                  <wp:align>left</wp:align>
                </wp:positionH>
                <wp:positionV relativeFrom="line">
                  <wp:align>top</wp:align>
                </wp:positionV>
                <wp:extent cx="304800" cy="304800"/>
                <wp:effectExtent l="0" t="0" r="0" b="0"/>
                <wp:wrapSquare wrapText="largest"/>
                <wp:docPr id="143" name="Frame127"/>
                <a:graphic xmlns:a="http://schemas.openxmlformats.org/drawingml/2006/main">
                  <a:graphicData uri="http://schemas.microsoft.com/office/word/2010/wordprocessingShape">
                    <wps:wsp>
                      <wps:cNvSpPr txBox="1"/>
                      <wps:spPr>
                        <a:xfrm>
                          <a:off x="0" y="0"/>
                          <a:ext cx="304800" cy="304800"/>
                        </a:xfrm>
                        <a:prstGeom prst="rect"/>
                      </wps:spPr>
                      <wps:txbx>
                        <w:txbxContent>
                          <w:p>
                            <w:pPr>
                              <w:pStyle w:val="TextBody"/>
                              <w:spacing w:lineRule="atLeast" w:line="240"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holder and do not provide specific voting instructions to the holder’s broker, the organization that holds the beneficial owner’s shares may not be authorized to vote your shares, which would result in “broker non-votes.” </w:t>
      </w:r>
      <w:r>
        <mc:AlternateContent>
          <mc:Choice Requires="wps">
            <w:drawing>
              <wp:anchor behindDoc="0" distT="63500" distB="0" distL="0" distR="0" simplePos="0" locked="0" layoutInCell="1" allowOverlap="1" relativeHeight="148">
                <wp:simplePos x="0" y="0"/>
                <wp:positionH relativeFrom="column">
                  <wp:align>left</wp:align>
                </wp:positionH>
                <wp:positionV relativeFrom="line">
                  <wp:align>top</wp:align>
                </wp:positionV>
                <wp:extent cx="304800" cy="304800"/>
                <wp:effectExtent l="0" t="0" r="0" b="0"/>
                <wp:wrapSquare wrapText="largest"/>
                <wp:docPr id="144" name="Frame128"/>
                <a:graphic xmlns:a="http://schemas.openxmlformats.org/drawingml/2006/main">
                  <a:graphicData uri="http://schemas.microsoft.com/office/word/2010/wordprocessingShape">
                    <wps:wsp>
                      <wps:cNvSpPr txBox="1"/>
                      <wps:spPr>
                        <a:xfrm>
                          <a:off x="0" y="0"/>
                          <a:ext cx="304800" cy="304800"/>
                        </a:xfrm>
                        <a:prstGeom prst="rect"/>
                      </wps:spPr>
                      <wps:txbx>
                        <w:txbxContent>
                          <w:p>
                            <w:pPr>
                              <w:pStyle w:val="TextBody"/>
                              <w:spacing w:lineRule="atLeast" w:line="240"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Instructions.</w:t>
      </w:r>
      <w:r>
        <w:rPr>
          <w:rFonts w:ascii="Times New Roman;Times;serif" w:hAnsi="Times New Roman;Times;serif"/>
          <w:b w:val="false"/>
          <w:i w:val="false"/>
          <w:caps w:val="false"/>
          <w:smallCaps w:val="false"/>
          <w:color w:val="000000"/>
          <w:spacing w:val="4"/>
          <w:sz w:val="20"/>
        </w:rPr>
        <w:t xml:space="preserve">   If you complete and submit your proxy voting instructions, the individuals named as proxies will follow your instructions. If you are a stockholder of record and you submit proxy voting instructions but do not direct how to vote on each item, the individuals named as proxies will vote as the Board recommends on each proposal. The individuals named as proxies will vote on any other matters properly presented at the annual meeting in accordance with their best judgment. Our Bylaws set forth requirements for advance notice of any nominations or agenda items to be brought up for voting at the annual meeting, and we have not received timely notice of any such matters that we expect to be presented at the annual meeting other than the items from the Board of Directors described in this proxy statement.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Electronic Availability of Proxy Statement and Annual Report.</w:t>
      </w:r>
      <w:r>
        <w:rPr>
          <w:rFonts w:ascii="Times New Roman;Times;serif" w:hAnsi="Times New Roman;Times;serif"/>
          <w:b w:val="false"/>
          <w:i w:val="false"/>
          <w:caps w:val="false"/>
          <w:smallCaps w:val="false"/>
          <w:color w:val="000000"/>
          <w:spacing w:val="4"/>
          <w:sz w:val="20"/>
        </w:rPr>
        <w:t xml:space="preserve">   As permitted by SEC rules, we 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may sign up to receive future proxy materials and other shareholder communications electronically instead of by mail. In order to receive the communications electronically, you must have an e-mail account, access to the Internet through an Internet service provider, and a web browser that supports secure connections. Visit </w:t>
      </w:r>
      <w:r>
        <w:rPr>
          <w:rFonts w:ascii="Times New Roman;Times;serif" w:hAnsi="Times New Roman;Times;serif"/>
          <w:b/>
          <w:i w:val="false"/>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for additional information regarding electronic delivery enrollment.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16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proxies solicited and what is the cost?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expense of soliciting proxies, and we have retained Broadridge Investor Communications Solutions, Inc. (“Broadridge”) to solicit proxies for a fee of $34,000, plus a reasonable amount to cover expenses. Our directors, officers, and other employees, without additional compensation, may also solicit proxies personally or in writing, by telephone, e-mail, or otherwise. We are required to request brokers, banks, and other nominees that hold stock in their names to furnish our proxy materials to the beneficial owners of the stock, and we must reimburse these brokers, banks, and other nominees for the expenses of doing so, in accordance with statutory fee schedules.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counts the votes?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Broadridge has been engaged as our independent inspector of elections to tabulate stockholder votes for the annual meeting.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company make a list of stockholders entitled to vote at the 2023 Annual Stockholders’ Meeting available?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Mobileye’s list of stockholders as of April 24, 2023 will be available for inspection for the 10 days prior to the annual meeting. If you want to inspect the stockholder list, please contact our Investor Relations department at https://ir.mobileye.com/ir-resources/contact-ir to schedule an appointment. In addition, the list of stockholders will also be available during the annual meeting through the meeting website for those stockholders who choose to attend.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will the company announce the voting results?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announce preliminary results during the annual meeting. We will report final results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pacing w:val="4"/>
          <w:sz w:val="20"/>
        </w:rPr>
        <w:t xml:space="preserve"> and in a filing with the SEC on Form 8-K.</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TMA"/>
      <w:bookmarkEnd w:id="44"/>
      <w:r>
        <w:rPr>
          <w:rFonts w:ascii="calibri;arial;sans-serif" w:hAnsi="calibri;arial;sans-serif"/>
          <w:b w:val="false"/>
          <w:i w:val="false"/>
          <w:caps w:val="false"/>
          <w:smallCaps w:val="false"/>
          <w:color w:val="000000"/>
          <w:sz w:val="16"/>
        </w:rPr>
        <w:t>​</w:t>
      </w:r>
      <w:bookmarkStart w:id="45" w:name="t2SPO"/>
      <w:bookmarkEnd w:id="4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Stockholder Proposals or Nominations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to be included in the proxy statement.</w:t>
      </w:r>
      <w:r>
        <w:rPr>
          <w:rFonts w:ascii="Times New Roman;Times;serif" w:hAnsi="Times New Roman;Times;serif"/>
          <w:b w:val="false"/>
          <w:i w:val="false"/>
          <w:caps w:val="false"/>
          <w:smallCaps w:val="false"/>
          <w:color w:val="000000"/>
          <w:spacing w:val="4"/>
          <w:sz w:val="20"/>
        </w:rPr>
        <w:t xml:space="preserve">   Pursuant to Rule 14a-8 under the Exchange Act some stockholder proposals may be eligible for inclusion in our 2024 proxy statement. These stockholder proposals must be submitted, along with proof of ownership of our stock in accordance with Rule 14a-8, to our principal executive offices in care of our Secretary by one of the means discussed below in the “Communicating with Us” section of this proxy statement. Failure to deliver a proposal in accordance with this procedure may result in the proposal not being deemed timely received. We must receive all submissions no later than the close of business (5:00 p.m. Eastern Time) on December 30, 2023 (120 days from the anniversary of our mailing this proxy statement). </w:t>
      </w:r>
    </w:p>
    <w:p>
      <w:pPr>
        <w:pStyle w:val="TextBody"/>
        <w:spacing w:lineRule="atLeast" w:line="230" w:before="160" w:after="283"/>
        <w:ind w:left="1393" w:right="0" w:firstLine="400"/>
        <w:rPr/>
      </w:pPr>
      <w:r>
        <w:rPr>
          <w:rFonts w:ascii="Times New Roman;Times;serif" w:hAnsi="Times New Roman;Times;serif"/>
          <w:b w:val="false"/>
          <w:i w:val="false"/>
          <w:caps w:val="false"/>
          <w:smallCaps w:val="false"/>
          <w:color w:val="000000"/>
          <w:spacing w:val="4"/>
          <w:sz w:val="20"/>
        </w:rPr>
        <w:t xml:space="preserve">We strongly encourage any stockholder interested in submitting a proposal to contact our Secretary in advance of this deadline to discuss the proposal, and stockholders may find it helpful to consult knowledgeable counsel with regard to the detailed requirements of applicable securities laws. Submitting a stockholder proposal does not guarantee that we will include it in our proxy statement. Our Nominating and Corporate Governance Committee reviews all stockholder proposals and makes recommendations to the Board for action on such proposals. For information on recommending individuals for consideration as director nominees, see the “Board of Directors Matters; Proposal No. 1: Election of Directors; Director Nomination Process — Committee Process” section on </w:t>
      </w:r>
      <w:r>
        <w:rPr>
          <w:rFonts w:ascii="Times New Roman;Times;serif" w:hAnsi="Times New Roman;Times;serif"/>
          <w:b/>
          <w:i w:val="false"/>
          <w:caps w:val="false"/>
          <w:smallCaps w:val="false"/>
          <w:color w:val="000000"/>
          <w:spacing w:val="-4"/>
          <w:sz w:val="20"/>
        </w:rPr>
        <w:t xml:space="preserve">page </w:t>
      </w:r>
      <w:hyperlink w:anchor="tDNP">
        <w:r>
          <w:rPr>
            <w:rStyle w:val="InternetLink"/>
          </w:rPr>
          <w:t>5</w:t>
        </w:r>
      </w:hyperlink>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 and director nominations to be presented at the annual meeting.</w:t>
      </w:r>
      <w:r>
        <w:rPr>
          <w:rFonts w:ascii="Times New Roman;Times;serif" w:hAnsi="Times New Roman;Times;serif"/>
          <w:b w:val="false"/>
          <w:i w:val="false"/>
          <w:caps w:val="false"/>
          <w:smallCaps w:val="false"/>
          <w:color w:val="000000"/>
          <w:spacing w:val="4"/>
          <w:sz w:val="20"/>
        </w:rPr>
        <w:t xml:space="preserve">   A stockholder who intends to nominate a candidate for election to the Board or to propose any business for presentation at our 2024 annual meeting (other than precatory (non-binding) proposals presented under Rule 14a-8) pursuant to the advance notice provisions of the Bylaws, must give notice to our Secretary not later than the close of business (5:00 p.m. Eastern Time) on January 29, 2024 (90 days from the anniversary of our mailing this proxy statement) and not earlier than the close of business (5:00 p.m. Eastern Time) on December 30, 2023 (120 days from the anniversary of our mailing this proxy statement). The notice must include information specified in our Bylaws, including information concerning the nominee or proposal, as the case may be, and information about the stockholder’s ownership of and agreements related to our stock. In addition to satisfying the deadlines in the advance notice provisions of our Bylaws, a stockholder who intends to solicit proxies pursuant to Rule 14a-19 in support of nominees submitted under these advance notice provisions for the 2024 annual meeting must notify our Secretary in writing not later than the close of business (5:00 p.m. Eastern Time) on April 15, 2024 (60 days prior to the anniversary of the 2023 annual meeting).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entertain any proposals or nominations at the annual meeting that do not meet the requirements set forth in our Bylaws.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Bylaws, stockholders should contact our Secretary. We strongly encourage stockholders to seek advice from knowledgeable counsel before submitting a proposal or a nomination.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Statements in this proxy statement that are not statements of historical fact, including statements about our beliefs and expectations, are forward-looking statements and should be evaluated as such. Forward-looking statements include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CWU"/>
      <w:bookmarkEnd w:id="4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or projections. Although we believe that these forward-looking statements and projections are based on reasonable assumptions at the time they are made, you should be aware that many factors could cause actual results to differ materially from those expressed in the forward-looking statements and projections. 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addressable markets, estimated vehicle production and market opportunity, potential production volumes associated with design wins and other characterizations of future events or circumstances; future responses to and effects of the COVID-19 pandemic; availability, uses, sufficiency and cost of capital and capital resources, including expected returns to stockholders such as dividends, and the expected timing of future dividends; tax- and accounting-related expectations. Detailed information regarding these and other factors that could affect Mobileye’s business and results is included in Mobileye’s SEC filings, including the company’s 2022 Annual Report on Form 10-K, particularly in the section entitled the “Risk Factors”. Copies of these filings may be obtained by visiting our Investor Relations website at ir.mobileye.com or the SEC’s website at www.sec.gov.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Website references.</w:t>
      </w:r>
      <w:r>
        <w:rPr>
          <w:rFonts w:ascii="Times New Roman;Times;serif" w:hAnsi="Times New Roman;Times;serif"/>
          <w:b w:val="false"/>
          <w:i w:val="false"/>
          <w:caps w:val="false"/>
          <w:smallCaps w:val="false"/>
          <w:color w:val="000000"/>
          <w:spacing w:val="4"/>
          <w:sz w:val="20"/>
        </w:rPr>
        <w:t xml:space="preserve">   Website references throughout this document are provided for convenience only, and the content on the referenced websites is not incorporated herein by reference and does not constitute a part of this proxy statement.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trademarks.</w:t>
      </w:r>
      <w:r>
        <w:rPr>
          <w:rFonts w:ascii="Times New Roman;Times;serif" w:hAnsi="Times New Roman;Times;serif"/>
          <w:b w:val="false"/>
          <w:i w:val="false"/>
          <w:caps w:val="false"/>
          <w:smallCaps w:val="false"/>
          <w:color w:val="000000"/>
          <w:spacing w:val="4"/>
          <w:sz w:val="20"/>
        </w:rPr>
        <w:t>   The Mobileye name, our logo, and other trademarks mentioned in this proxy statement, including, among others, EyeQ</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EyeQ Kit™, Road Experience Management™, REM™, True Redundancy™, Mobileye Chauffeur™, Mobileye Drive™, Mobileye SuperVision™, and Moovit, are the property of Mobileye. Trade names, trademarks, and service marks of other companies appearing in this proxy statement are the property of their respective 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financial statements for the year ended December 31, 2022 are included in our 2022 Annual Report on Form 10-K. Our 2022 Annual Report on Form 10-K and this proxy statement are available on our website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and are available from the SEC at its website at </w:t>
      </w:r>
      <w:r>
        <w:rPr>
          <w:rFonts w:ascii="Times New Roman;Times;serif" w:hAnsi="Times New Roman;Times;serif"/>
          <w:b/>
          <w:i w:val="false"/>
          <w:caps w:val="false"/>
          <w:smallCaps w:val="false"/>
          <w:color w:val="000000"/>
          <w:spacing w:val="-4"/>
          <w:sz w:val="20"/>
        </w:rPr>
        <w:t>www.sec.gov</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You may also receive a copy of our Annual Report without charge by sending a written request to our Investor Relations department at https://ir.mobileye.com/ir-resources/contact-ir.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Communicating with 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Visit our main website at </w:t>
      </w:r>
      <w:r>
        <w:rPr>
          <w:rFonts w:ascii="Times New Roman;Times;serif" w:hAnsi="Times New Roman;Times;serif"/>
          <w:b/>
          <w:i w:val="false"/>
          <w:caps w:val="false"/>
          <w:smallCaps w:val="false"/>
          <w:color w:val="000000"/>
          <w:spacing w:val="-4"/>
          <w:sz w:val="20"/>
        </w:rPr>
        <w:t>https://www.mobileye.com/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for information on our products and technologies, marketing programs, worldwide locations, customer support, job listings, and other company-related topics. Our Investor Relations website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contains information regarding our recent and historical financial and operational results, strategic priorities, operating segments, news, investor events and webcasts, stock information, corporate governance and corporate responsibility initiatives, as well as links to our SEC filings and our Governance site. </w:t>
      </w:r>
    </w:p>
    <w:p>
      <w:pPr>
        <w:pStyle w:val="TextBody"/>
        <w:spacing w:lineRule="atLeast" w:line="250" w:before="160" w:after="283"/>
        <w:ind w:left="1393" w:right="0" w:firstLine="40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communicate with the Board, suggest a director candidate, make a stockholder proposal, provide notice of an intention to nominate candidates (including proxy access candidates) or introduce business at the annual meeting, or revoke a prior proxy instruction, contact our Secretary via e-mail at </w:t>
      </w:r>
      <w:r>
        <w:rPr>
          <w:rFonts w:ascii="Times New Roman;Times;serif" w:hAnsi="Times New Roman;Times;serif"/>
          <w:b/>
          <w:i w:val="false"/>
          <w:caps w:val="false"/>
          <w:smallCaps w:val="false"/>
          <w:color w:val="000000"/>
          <w:spacing w:val="-4"/>
          <w:sz w:val="20"/>
        </w:rPr>
        <w:t>secretary@mobileye.com</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or by mail to Mobileye Global Inc., c/o Mobileye B.V., Har Hotzvim, 13 Hartom Street, P.O. Box 45157, Jerusalem, Israel, Attn: Liz Cohen-Yerushalmi, Secretary.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DS1R"/>
      <w:bookmarkEnd w:id="47"/>
      <w:r>
        <w:rPr>
          <w:rFonts w:ascii="calibri;arial;sans-serif" w:hAnsi="calibri;arial;sans-serif"/>
          <w:b w:val="false"/>
          <w:i w:val="false"/>
          <w:caps w:val="false"/>
          <w:smallCaps w:val="false"/>
          <w:color w:val="000000"/>
          <w:sz w:val="16"/>
        </w:rPr>
        <w:t>​</w:t>
      </w:r>
      <w:bookmarkStart w:id="48" w:name="tSSTS"/>
      <w:bookmarkEnd w:id="4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50" w:type="dxa"/>
          <w:right w:w="0" w:type="dxa"/>
        </w:tblCellMar>
      </w:tblPr>
      <w:tblGrid>
        <w:gridCol w:w="4057"/>
        <w:gridCol w:w="109"/>
        <w:gridCol w:w="109"/>
        <w:gridCol w:w="4382"/>
        <w:gridCol w:w="155"/>
      </w:tblGrid>
      <w:tr>
        <w:trPr/>
        <w:tc>
          <w:tcPr>
            <w:tcW w:w="4057" w:type="dxa"/>
            <w:tcBorders>
              <w:bottom w:val="single" w:sz="2" w:space="0" w:color="000000"/>
            </w:tcBorders>
            <w:shd w:fill="auto" w:val="clear"/>
            <w:vAlign w:val="center"/>
          </w:tcPr>
          <w:p>
            <w:pPr>
              <w:pStyle w:val="TableContents"/>
              <w:spacing w:before="0" w:after="0"/>
              <w:rPr>
                <w:spacing w:val="-3"/>
              </w:rPr>
            </w:pPr>
            <w:r>
              <w:rPr>
                <w:spacing w:val="-3"/>
              </w:rPr>
              <w:t xml:space="preserve">For questions regarding: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382" w:type="dxa"/>
            <w:tcBorders>
              <w:bottom w:val="single" w:sz="2" w:space="0" w:color="000000"/>
            </w:tcBorders>
            <w:shd w:fill="auto" w:val="clear"/>
            <w:vAlign w:val="center"/>
          </w:tcPr>
          <w:p>
            <w:pPr>
              <w:pStyle w:val="TableContents"/>
              <w:spacing w:before="0" w:after="0"/>
              <w:rPr>
                <w:spacing w:val="-3"/>
              </w:rPr>
            </w:pPr>
            <w:r>
              <w:rPr>
                <w:spacing w:val="-3"/>
              </w:rPr>
              <w:t xml:space="preserve">Contact: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057" w:type="dxa"/>
            <w:tcBorders/>
            <w:shd w:fill="auto" w:val="clear"/>
            <w:tcMar>
              <w:bottom w:w="0" w:type="dxa"/>
            </w:tcMar>
            <w:vAlign w:val="center"/>
          </w:tcPr>
          <w:p>
            <w:pPr>
              <w:pStyle w:val="TableContents"/>
              <w:spacing w:before="0" w:after="283"/>
              <w:rPr>
                <w:spacing w:val="4"/>
              </w:rPr>
            </w:pPr>
            <w:r>
              <w:rPr>
                <w:spacing w:val="4"/>
              </w:rPr>
              <w:t xml:space="preserve">Annual meeting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82" w:type="dxa"/>
            <w:tcBorders/>
            <w:shd w:fill="auto" w:val="clear"/>
            <w:tcMar>
              <w:bottom w:w="0" w:type="dxa"/>
            </w:tcMar>
            <w:vAlign w:val="center"/>
          </w:tcPr>
          <w:p>
            <w:pPr>
              <w:pStyle w:val="TableContents"/>
              <w:spacing w:before="0" w:after="283"/>
              <w:rPr>
                <w:spacing w:val="4"/>
              </w:rPr>
            </w:pPr>
            <w:r>
              <w:rPr>
                <w:spacing w:val="4"/>
              </w:rPr>
              <w:t xml:space="preserve">Mobileye Investor Relations </w:t>
              <w:br/>
              <w:t xml:space="preserve">https://ir.mobileye.com/ir-resources/contact-ir </w:t>
            </w:r>
          </w:p>
        </w:tc>
        <w:tc>
          <w:tcPr>
            <w:tcW w:w="155" w:type="dxa"/>
            <w:tcBorders/>
            <w:shd w:fill="auto" w:val="clear"/>
            <w:tcMar>
              <w:bottom w:w="0" w:type="dxa"/>
            </w:tcMar>
            <w:vAlign w:val="center"/>
          </w:tcPr>
          <w:p>
            <w:pPr>
              <w:pStyle w:val="TableContents"/>
              <w:spacing w:before="0" w:after="283"/>
              <w:rPr/>
            </w:pPr>
            <w:r>
              <w:rPr/>
              <w:t>​</w:t>
            </w:r>
          </w:p>
        </w:tc>
      </w:tr>
      <w:tr>
        <w:trPr/>
        <w:tc>
          <w:tcPr>
            <w:tcW w:w="4057" w:type="dxa"/>
            <w:tcBorders/>
            <w:shd w:fill="auto" w:val="clear"/>
            <w:tcMar>
              <w:bottom w:w="0" w:type="dxa"/>
            </w:tcMar>
            <w:vAlign w:val="center"/>
          </w:tcPr>
          <w:p>
            <w:pPr>
              <w:pStyle w:val="TableContents"/>
              <w:spacing w:before="0" w:after="283"/>
              <w:rPr>
                <w:spacing w:val="4"/>
              </w:rPr>
            </w:pPr>
            <w:r>
              <w:rPr>
                <w:spacing w:val="4"/>
              </w:rPr>
              <w:t xml:space="preserve">Stock ownership for stockholders of record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82" w:type="dxa"/>
            <w:tcBorders/>
            <w:shd w:fill="auto" w:val="clear"/>
            <w:tcMar>
              <w:bottom w:w="0" w:type="dxa"/>
            </w:tcMar>
            <w:vAlign w:val="center"/>
          </w:tcPr>
          <w:p>
            <w:pPr>
              <w:pStyle w:val="TableContents"/>
              <w:spacing w:before="0" w:after="283"/>
              <w:rPr/>
            </w:pPr>
            <w:r>
              <w:rPr>
                <w:spacing w:val="4"/>
              </w:rPr>
              <w:t>Computershare Trust Company, N.A.</w:t>
            </w:r>
            <w:r>
              <w:rPr/>
              <w:t xml:space="preserve"> </w:t>
              <w:br/>
            </w:r>
            <w:r>
              <w:rPr>
                <w:b/>
                <w:spacing w:val="-4"/>
              </w:rPr>
              <w:t>www.computershare.com/contactus</w:t>
            </w:r>
            <w:r>
              <w:rPr/>
              <w:t xml:space="preserve"> </w:t>
              <w:br/>
            </w:r>
            <w:r>
              <w:rPr>
                <w:spacing w:val="4"/>
              </w:rPr>
              <w:t xml:space="preserve">(800) 736-3001 (within the US and Canada) </w:t>
              <w:br/>
              <w:t xml:space="preserve">(312) 575-3100 (worldwide) </w:t>
            </w:r>
          </w:p>
        </w:tc>
        <w:tc>
          <w:tcPr>
            <w:tcW w:w="155" w:type="dxa"/>
            <w:tcBorders/>
            <w:shd w:fill="auto" w:val="clear"/>
            <w:tcMar>
              <w:bottom w:w="0" w:type="dxa"/>
            </w:tcMar>
            <w:vAlign w:val="center"/>
          </w:tcPr>
          <w:p>
            <w:pPr>
              <w:pStyle w:val="TableContents"/>
              <w:spacing w:before="0" w:after="283"/>
              <w:rPr/>
            </w:pPr>
            <w:r>
              <w:rPr/>
              <w:t>​</w:t>
            </w:r>
          </w:p>
        </w:tc>
      </w:tr>
      <w:tr>
        <w:trPr/>
        <w:tc>
          <w:tcPr>
            <w:tcW w:w="4057" w:type="dxa"/>
            <w:tcBorders/>
            <w:shd w:fill="auto" w:val="clear"/>
            <w:tcMar>
              <w:bottom w:w="0" w:type="dxa"/>
            </w:tcMar>
            <w:vAlign w:val="center"/>
          </w:tcPr>
          <w:p>
            <w:pPr>
              <w:pStyle w:val="TableContents"/>
              <w:spacing w:before="0" w:after="283"/>
              <w:rPr>
                <w:spacing w:val="4"/>
              </w:rPr>
            </w:pPr>
            <w:r>
              <w:rPr>
                <w:spacing w:val="4"/>
              </w:rPr>
              <w:t xml:space="preserve">Stock ownership for beneficial 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82" w:type="dxa"/>
            <w:tcBorders/>
            <w:shd w:fill="auto" w:val="clear"/>
            <w:tcMar>
              <w:bottom w:w="0" w:type="dxa"/>
            </w:tcMar>
            <w:vAlign w:val="center"/>
          </w:tcPr>
          <w:p>
            <w:pPr>
              <w:pStyle w:val="TableContents"/>
              <w:spacing w:before="0" w:after="283"/>
              <w:rPr/>
            </w:pPr>
            <w:r>
              <w:rPr>
                <w:spacing w:val="4"/>
              </w:rPr>
              <w:t>Your broker, bank, or other nominee</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the Company’s directors, executive officers, and persons who own more than 10% of our common stock to file reports of their ownership and changes in ownership of our common stock with the SEC. Based solely on a review of such reports and written representations from the directors and executive officers, the Company believes that its executive officers and directors complied with all applicable Section 16(a) filing requirements during the fiscal year ended December 31, 2022 in a timely manner, except the Form 3 for Mr. Nehushtan was not timely filed.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Sharing the Same Last Name and Address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the expense of delivering duplicate proxy materials to stockholders who may have more than one account holding Mobileye stock but who share the same address, we have adopted an SEC-approved procedure called “householding.” Under this procedure, certain stockholders of record who have the same address and last name, and who do not participate in electronic delivery of proxy materials, will receive a single copy of our Notice of Internet Availability of Proxy Materials and, as applicable, any additional proxy materials that are delivered until such time as one or more of these stockholders notify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a single set of proxy materials as a result of householding and you would like to have separate copies of our Notice of Internet Availability of Proxy Materials, annual report, or proxy statement mailed to you, please submit a request to our Secretary at the address specified above under “Other Matters; Communicating with Us,” or contact our Investor Relations department at https://ir.mobileye.com/ir-resources/contact-ir, and we will promptly send you the requested materials. However, please note that if you want to receive a paper proxy or voting instruction form or other proxy materials for this year’s annual meeting, you will need to follow the instructions included in the Notice of Internet Availability that was sent to you. You can also contact our Investor Relations department if you received multiple copies of the annual meeting materials and would prefer to receive a single copy in the future, or if you would like to opt out of householding for future mailings.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stockholder and you share an address with other beneficial stockholders, your broker, bank, or other institution is permitted to deliver a single copy of the proxy materials and Notice of Internet Availability of Proxy Materials to your address, unless you otherwise request separate copies.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Order of 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Liz Cohen-Yerushalmi </w:t>
        <w:br/>
        <w:t>Secretary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Jerusalem, Israel </w:t>
        <w:br/>
        <w:t>April 28, 2023</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1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7" descr=""/>
                    <pic:cNvPicPr>
                      <a:picLocks noChangeAspect="1" noChangeArrowheads="1"/>
                    </pic:cNvPicPr>
                  </pic:nvPicPr>
                  <pic:blipFill>
                    <a:blip r:embed="rId18"/>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6953250" cy="8829675"/>
            <wp:effectExtent l="0" t="0" r="0" b="0"/>
            <wp:docPr id="1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8" descr=""/>
                    <pic:cNvPicPr>
                      <a:picLocks noChangeAspect="1" noChangeArrowheads="1"/>
                    </pic:cNvPicPr>
                  </pic:nvPicPr>
                  <pic:blipFill>
                    <a:blip r:embed="rId19"/>
                    <a:stretch>
                      <a:fillRect/>
                    </a:stretch>
                  </pic:blipFill>
                  <pic:spPr bwMode="auto">
                    <a:xfrm>
                      <a:off x="0" y="0"/>
                      <a:ext cx="6953250" cy="8829675"/>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Signature [PLEASE SIGN WITHIN BOX] Date Signature (Joint Owners) DateTO VOTE, MARK BLOCKS BELOW IN BLUE OR BLACK INK AS FOLLOWS:KEEP THIS PORTION FOR YOUR RECORDSTHIS PROXY CARD IS VALID ONLY WHEN SIGNED AND DATED. DETACH AND RETURN THIS PORTION ONLYV15719-P92723For Against AbstainFor WithholdMOBILEYE GLOBAL INC.MOBILEYE GLOBAL INC.P.O. BOX 45157JERUSALEM 9777513ISRAELPlease sign exactly as your name(s) appear(s) hereon. When signing as attorney, executor,administrator, or other fiduciary, please give full title as such. Joint owners should each signpersonally. All holders must sign. If a corporation or partnership, please sign in full corporateor partnership name by authorized officer.2. Ratification of selection of PricewaterhouseCoopersInternational Limited as our independent registered publicaccounting firm for 2023.3. Advisory vote on executive compensation.4. Advisory vote on "say-on-pay" and "say-on-pay"frequency.NOTE: We also will transact such other business as may properlycome before the meeting or any adjournment thereof.The Board of Directors recommends you vote1 Year on the following proposal:! ! ! !1a. Amnon Shashua1e. Claire C. McCaskill1c. Eyal Desheh1g. Frank D. Yeary1b. Patrick P. Gelsinger1f. Christine Pambianchi1d. Jon M. Huntsman, Jr.1h. Saf Yeboah-Amankwah1. Election of DirectorsNominees:The Board of Directors recommends you vote FOR thefollowing proposals:! !! !! !! !! !! ! ! ! !! !! !1 Year 2 Years 3 Years Abstain! ! !For Against AbstainVOTE BY INTERNETBefore The Meeting - Go to www.proxyvote.com or scan the QR Barcode aboveUse the Internet to transmit your voting instructions and for electronic delivery ofinformation up until 11:59 p.m. Eastern Time the day before the cut-off date or meetingdate. Have your proxy card in hand when you access the web site and follow theinstructions to obtain your records and to create an electronic voting instruction form.During The Meeting - Go to www.virtualshareholdermeeting.com/MBLY2023You may attend the meeting via the Internet and vote during the meeting. Havethe information that is printed in the box marked by the arrow available and followthe instructions.VOTE BY PHONE - 1-800-690-6903Use any touch-tone telephone to transmit your voting instructions up until 11:59 p.m.Eastern Time the day before the cut-off date or meeting date. Have your proxy card inhand when you call and then follow the instructions.VOTE BY MAILMark, sign and date your proxy card and return it in the postage-paid envelope wehave provided or return it to Vote Processing, c/o Broadridge, 51 Mercedes Way,Edgewood, NY 11717.SCAN TOVIEW MATERIALS &amp; VOTE w</w:t>
      </w:r>
      <w:r>
        <w:rPr>
          <w:rFonts w:ascii="Times New Roman;Times;serif" w:hAnsi="Times New Roman;Times;serif"/>
          <w:b w:val="false"/>
          <w:i w:val="false"/>
          <w:caps w:val="false"/>
          <w:smallCaps w:val="false"/>
          <w:color w:val="FFFFFF"/>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9" descr=""/>
                    <pic:cNvPicPr>
                      <a:picLocks noChangeAspect="1" noChangeArrowheads="1"/>
                    </pic:cNvPicPr>
                  </pic:nvPicPr>
                  <pic:blipFill>
                    <a:blip r:embed="rId2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Meeting:The Notice and Proxy Statement and Form 10-K are available at www.proxyvote.com.MOBILEYE GLOBAL INC.ANNUAL MEETING OF STOCKHOLDERSJUNE 14, 2023 11:30 AM EASTERN TIMETHIS PROXY IS SOLICITED ON BEHALF OF THE BOARD OF DIRECTORSPatrick P. Gelsinger, Amnon Shashua, Liz Cohen-Yerushalmi, or any of them, each with the power of substitution, are hereby authorized to represent and vote the shares of the undersigned, with all the powers which the undersigned would possess if personally present, at the Annual Stockholders' Meeting of Mobileye Global Inc. to be held on June 14, 2023 or at any postponement or adjournment thereof.If this proxy is properly executed, shares represented by this proxy will be voted as directed by the stockholder. If no such directions are indicated, the Proxies will vote FOR all the nominees listed on Proposal 1, and FOR Proposals 2 and 3, and 1 YEAR on Proposal 4.In their discretion, the Proxies are authorized to vote upon such other business as may properly come before the Annual Meeting or any postponement or adjournment thereof.Continued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29099</Words>
  <CharactersWithSpaces>191635</CharactersWithSpaces>
  <Paragraphs>4625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