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Schell Christoph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Mobileye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MOBILEYE B.V.</w:t>
      </w:r>
    </w:p>
    <w:p>
      <w:pPr>
        <w:spacing w:after="0" w:line="70"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HAR HOTZVIM, SHLOMO MOMO HALEVI STREET 1</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9777015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06/18/2024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jc w:val="both"/>
        <w:ind w:firstLine="915"/>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Liz Cohen Yerushalmi, Jesse Infeld, Sandra Manor Richter, Tali Har Oz, Ayelet Melissa Mael and Rinat Kriheli of Mobileye Global Inc. (the “Company”), signing individually, the undersigned’s true and lawful attorneys-in-fact and agents to:</w:t>
      </w:r>
    </w:p>
    <w:p>
      <w:pPr>
        <w:spacing w:after="0" w:line="196" w:lineRule="exact"/>
        <w:rPr>
          <w:sz w:val="20"/>
          <w:szCs w:val="20"/>
          <w:color w:val="auto"/>
        </w:rPr>
      </w:pPr>
    </w:p>
    <w:p>
      <w:pPr>
        <w:jc w:val="both"/>
        <w:ind w:firstLine="915"/>
        <w:spacing w:after="0" w:line="258" w:lineRule="auto"/>
        <w:tabs>
          <w:tab w:leader="none" w:pos="126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jc w:val="both"/>
        <w:ind w:firstLine="915"/>
        <w:spacing w:after="0" w:line="266" w:lineRule="auto"/>
        <w:tabs>
          <w:tab w:leader="none" w:pos="126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jc w:val="both"/>
        <w:ind w:firstLine="915"/>
        <w:spacing w:after="0" w:line="261" w:lineRule="auto"/>
        <w:tabs>
          <w:tab w:leader="none" w:pos="126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915"/>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915"/>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as applicable.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240665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74" w:right="479" w:bottom="1440" w:gutter="0" w:footer="0" w:header="0"/>
        </w:sectPr>
      </w:pPr>
    </w:p>
    <w:bookmarkStart w:id="2" w:name="page3"/>
    <w:bookmarkEnd w:id="2"/>
    <w:p>
      <w:pPr>
        <w:ind w:left="9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the date written below.</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7,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Christoph Schell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Christoph 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549910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700"/>
      </w:cols>
      <w:pgMar w:left="480" w:top="8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93234"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2024-06-18T15:49:50Z</dcterms:created>
  <dcterms:modified xsi:type="dcterms:W3CDTF">2024-06-18T15:49:50Z</dcterms:modified>
</cp:coreProperties>
</file>