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6</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60741F104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11,354,073.00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13,537,373.00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13,537,373.00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Mobileye Global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ind w:left="920" w:right="60" w:hanging="912"/>
        <w:spacing w:after="0"/>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HAR HOTZVIM, 13 HARTOM STREET, HAR HOTZVIM, 13 HARTOM STREET, JERUSALEM, ISRAEL, 97775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860"/>
        <w:spacing w:after="0" w:line="256" w:lineRule="auto"/>
        <w:rPr>
          <w:sz w:val="20"/>
          <w:szCs w:val="20"/>
          <w:color w:val="auto"/>
        </w:rPr>
      </w:pPr>
      <w:r>
        <w:rPr>
          <w:rFonts w:ascii="Times New Roman" w:cs="Times New Roman" w:eastAsia="Times New Roman" w:hAnsi="Times New Roman"/>
          <w:sz w:val="22"/>
          <w:szCs w:val="22"/>
          <w:color w:val="auto"/>
        </w:rPr>
        <w:t>Calton Square 1 Greenside Row Edinburgh EH1 3AN Scotland UK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Scotland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60741F104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Investment Adviser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13,537,373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13.47 %</w:t>
      </w:r>
    </w:p>
    <w:p>
      <w:pPr>
        <w:spacing w:after="0" w:line="44" w:lineRule="exact"/>
        <w:rPr>
          <w:sz w:val="20"/>
          <w:szCs w:val="20"/>
          <w:color w:val="auto"/>
        </w:rPr>
      </w:pPr>
    </w:p>
    <w:p>
      <w:pPr>
        <w:sectPr>
          <w:pgSz w:w="11900" w:h="16877"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77"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11,354,073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13,537,373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2"/>
          <w:szCs w:val="22"/>
          <w:color w:val="auto"/>
        </w:rPr>
        <w:t>Securities reported on this Schedule 13G as being beneficially owned by Baillie Gifford &amp; Co. are held by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Securities representing more than 5% of the class are held on behalf of Vanguard International Growth Fund, a US registered investment company sub-advised by Baillie Gifford Overseas Limited.</w:t>
      </w:r>
    </w:p>
    <w:p>
      <w:pPr>
        <w:spacing w:after="0" w:line="1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77"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55"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w:t>
      </w:r>
    </w:p>
    <w:p>
      <w:pPr>
        <w:sectPr>
          <w:pgSz w:w="11900" w:h="16877" w:orient="portrait"/>
          <w:cols w:equalWidth="0" w:num="1">
            <w:col w:w="11140"/>
          </w:cols>
          <w:pgMar w:left="360" w:top="111" w:right="399" w:bottom="0" w:gutter="0" w:footer="0" w:header="0"/>
          <w:type w:val="continuous"/>
        </w:sectPr>
      </w:pPr>
    </w:p>
    <w:bookmarkStart w:id="3" w:name="page4"/>
    <w:bookmarkEnd w:id="3"/>
    <w:p>
      <w:pPr>
        <w:ind w:left="720" w:right="220"/>
        <w:spacing w:after="0"/>
        <w:rPr>
          <w:sz w:val="20"/>
          <w:szCs w:val="20"/>
          <w:color w:val="auto"/>
        </w:rPr>
      </w:pPr>
      <w:r>
        <w:rPr>
          <w:rFonts w:ascii="Times New Roman" w:cs="Times New Roman" w:eastAsia="Times New Roman" w:hAnsi="Times New Roman"/>
          <w:sz w:val="22"/>
          <w:szCs w:val="22"/>
          <w:color w:val="auto"/>
        </w:rPr>
        <w:t>connection with a nomination under § 240.14a-11. By signing below I certify that, to the best of my knowledge and belief, the foreign regulatory scheme applicable to Investment Adviser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BAILLIE GIFFORD &amp; CO</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Grant Meikle</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Regulatory Reporting Manager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08/04/2025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2025-08-04T10:51:26Z</dcterms:created>
  <dcterms:modified xsi:type="dcterms:W3CDTF">2025-08-04T10:51:26Z</dcterms:modified>
</cp:coreProperties>
</file>