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17, 2025 (June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198755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1 Shlomo Momo HaLevi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June 12, 2025, Mobileye Global Inc. (the “Company”) held its annual meeting of stockholders via virtual webcast (the “Annual Meeting”). At the Annual Meeting, the Company’s stockholders voted on four proposals, each of which is described in more detail in the Company's definitive proxy statement filed with the Securities and Exchange Commission on April 25, 2025 (the “Proxy Statement”). A total of 80,983,627 shares of the Company’s Class A common stock and 711,500,000 shares of the Company’s Class B common stock were present or represented by proxy at the Annual Meeting, representing 99.7% of the combined voting power of the shares of Class A common stock and Class B common stock (voting together as a class) outstanding as of the close of business on April 15, 2025, the record date for the determination of stockholders entitled to vote at the Annual Meeting. Holders of shares of the Company’s Class A common stock were entitled to one vote for each share held as of the close of business on the record date, and holders of shares of the Company’s Class B common stock were entitled to ten votes for each share held as of the record date.</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on the three proposals considered and voted upon at the Annual Meeting, all of which were described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Election of Directors – </w:t>
      </w:r>
      <w:r>
        <w:rPr>
          <w:rFonts w:ascii="Times New Roman" w:cs="Times New Roman" w:eastAsia="Times New Roman" w:hAnsi="Times New Roman"/>
          <w:sz w:val="18"/>
          <w:szCs w:val="18"/>
          <w:b w:val="1"/>
          <w:bCs w:val="1"/>
          <w:i w:val="1"/>
          <w:iCs w:val="1"/>
          <w:color w:val="auto"/>
        </w:rPr>
        <w:t>All Directors Elected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Nominee</w:t>
            </w:r>
          </w:p>
        </w:tc>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For</w:t>
            </w: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Withhold</w:t>
            </w: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7,153,031,116</w:t>
            </w:r>
          </w:p>
        </w:tc>
        <w:tc>
          <w:tcPr>
            <w:tcW w:w="3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18,357,541</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 Yeboah-Amankwah</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7,146,674,077</w:t>
            </w:r>
          </w:p>
        </w:tc>
        <w:tc>
          <w:tcPr>
            <w:tcW w:w="360" w:type="dxa"/>
            <w:vAlign w:val="bottom"/>
          </w:tcPr>
          <w:p>
            <w:pPr>
              <w:spacing w:after="0"/>
              <w:rPr>
                <w:sz w:val="18"/>
                <w:szCs w:val="18"/>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24,714,580</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Bombach</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7,148,852,502</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22,536,155</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Elaine L. Chao</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7,171,102,061</w:t>
            </w:r>
          </w:p>
        </w:tc>
        <w:tc>
          <w:tcPr>
            <w:tcW w:w="3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286,596</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Desheh</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7,151,448,285</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19,940,372</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7,151,965,894</w:t>
            </w:r>
          </w:p>
        </w:tc>
        <w:tc>
          <w:tcPr>
            <w:tcW w:w="360" w:type="dxa"/>
            <w:vAlign w:val="bottom"/>
          </w:tcPr>
          <w:p>
            <w:pPr>
              <w:spacing w:after="0"/>
              <w:rPr>
                <w:sz w:val="18"/>
                <w:szCs w:val="18"/>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19,422,763</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 Schell</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7,146,668,652</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24,720,005</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shd w:val="clear" w:color="auto" w:fill="CCEEFF"/>
          </w:tcPr>
          <w:p>
            <w:pPr>
              <w:spacing w:after="0"/>
              <w:rPr>
                <w:sz w:val="18"/>
                <w:szCs w:val="18"/>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7,170,750,368</w:t>
            </w:r>
          </w:p>
        </w:tc>
        <w:tc>
          <w:tcPr>
            <w:tcW w:w="3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638,289</w:t>
            </w:r>
          </w:p>
        </w:tc>
        <w:tc>
          <w:tcPr>
            <w:tcW w:w="200" w:type="dxa"/>
            <w:vAlign w:val="bottom"/>
          </w:tcPr>
          <w:p>
            <w:pPr>
              <w:spacing w:after="0"/>
              <w:rPr>
                <w:sz w:val="20"/>
                <w:szCs w:val="20"/>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24,594,970</w:t>
            </w:r>
          </w:p>
        </w:tc>
        <w:tc>
          <w:tcPr>
            <w:tcW w:w="100" w:type="dxa"/>
            <w:vAlign w:val="bottom"/>
          </w:tcPr>
          <w:p>
            <w:pPr>
              <w:spacing w:after="0"/>
              <w:rPr>
                <w:sz w:val="20"/>
                <w:szCs w:val="20"/>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2.</w:t>
            </w:r>
          </w:p>
        </w:tc>
        <w:tc>
          <w:tcPr>
            <w:tcW w:w="80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Ratification of Selection of Independent Registered Public Accounting Firm – </w:t>
            </w:r>
            <w:r>
              <w:rPr>
                <w:rFonts w:ascii="Times New Roman" w:cs="Times New Roman" w:eastAsia="Times New Roman" w:hAnsi="Times New Roman"/>
                <w:sz w:val="18"/>
                <w:szCs w:val="18"/>
                <w:b w:val="1"/>
                <w:bCs w:val="1"/>
                <w:i w:val="1"/>
                <w:iCs w:val="1"/>
                <w:color w:val="auto"/>
              </w:rPr>
              <w:t>Approved</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80" w:type="dxa"/>
            <w:vAlign w:val="bottom"/>
          </w:tcPr>
          <w:p>
            <w:pPr>
              <w:spacing w:after="0"/>
              <w:rPr>
                <w:sz w:val="24"/>
                <w:szCs w:val="24"/>
                <w:color w:val="auto"/>
              </w:rPr>
            </w:pPr>
          </w:p>
        </w:tc>
        <w:tc>
          <w:tcPr>
            <w:tcW w:w="19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5"/>
              </w:rPr>
              <w:t>For</w:t>
            </w:r>
          </w:p>
        </w:tc>
        <w:tc>
          <w:tcPr>
            <w:tcW w:w="29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31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Abstain</w:t>
            </w:r>
          </w:p>
        </w:tc>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7,195,197,080</w:t>
            </w: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267,977</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518,570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3.</w:t>
            </w:r>
          </w:p>
        </w:tc>
        <w:tc>
          <w:tcPr>
            <w:tcW w:w="4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Advisory Vote to on Executive Compensation – </w:t>
            </w:r>
            <w:r>
              <w:rPr>
                <w:rFonts w:ascii="Times New Roman" w:cs="Times New Roman" w:eastAsia="Times New Roman" w:hAnsi="Times New Roman"/>
                <w:sz w:val="18"/>
                <w:szCs w:val="18"/>
                <w:b w:val="1"/>
                <w:bCs w:val="1"/>
                <w:i w:val="1"/>
                <w:iCs w:val="1"/>
                <w:color w:val="auto"/>
              </w:rPr>
              <w:t>Approved</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80" w:type="dxa"/>
            <w:vAlign w:val="bottom"/>
          </w:tcPr>
          <w:p>
            <w:pPr>
              <w:spacing w:after="0"/>
              <w:rPr>
                <w:sz w:val="24"/>
                <w:szCs w:val="24"/>
                <w:color w:val="auto"/>
              </w:rPr>
            </w:pPr>
          </w:p>
        </w:tc>
        <w:tc>
          <w:tcPr>
            <w:tcW w:w="19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5"/>
              </w:rPr>
              <w:t>For</w:t>
            </w:r>
          </w:p>
        </w:tc>
        <w:tc>
          <w:tcPr>
            <w:tcW w:w="29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31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Abstain</w:t>
            </w:r>
          </w:p>
        </w:tc>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7,137,638,355</w:t>
            </w: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33,656,519</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93,783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8"/>
              </w:rPr>
              <w:t>24,594,970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4.</w:t>
            </w:r>
          </w:p>
        </w:tc>
        <w:tc>
          <w:tcPr>
            <w:tcW w:w="80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Approval of the Amended and Restated Mobileye Global Inc. 2022 Equity Incentive Plan – </w:t>
            </w:r>
            <w:r>
              <w:rPr>
                <w:rFonts w:ascii="Times New Roman" w:cs="Times New Roman" w:eastAsia="Times New Roman" w:hAnsi="Times New Roman"/>
                <w:sz w:val="18"/>
                <w:szCs w:val="18"/>
                <w:b w:val="1"/>
                <w:bCs w:val="1"/>
                <w:i w:val="1"/>
                <w:iCs w:val="1"/>
                <w:color w:val="auto"/>
              </w:rPr>
              <w:t>Approved</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80" w:type="dxa"/>
            <w:vAlign w:val="bottom"/>
          </w:tcPr>
          <w:p>
            <w:pPr>
              <w:spacing w:after="0"/>
              <w:rPr>
                <w:sz w:val="24"/>
                <w:szCs w:val="24"/>
                <w:color w:val="auto"/>
              </w:rPr>
            </w:pPr>
          </w:p>
        </w:tc>
        <w:tc>
          <w:tcPr>
            <w:tcW w:w="19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5"/>
              </w:rPr>
              <w:t>For</w:t>
            </w:r>
          </w:p>
        </w:tc>
        <w:tc>
          <w:tcPr>
            <w:tcW w:w="29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31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Abstain</w:t>
            </w:r>
          </w:p>
        </w:tc>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7,134,579,228</w:t>
            </w: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36,703,463</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105,966</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8"/>
              </w:rPr>
              <w:t>24,594,970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17, 2025</w:t>
      </w:r>
      <w:r>
        <w:rPr>
          <w:sz w:val="20"/>
          <w:szCs w:val="20"/>
          <w:color w:val="auto"/>
        </w:rPr>
        <w:tab/>
      </w: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80"/>
      </w:cols>
      <w:pgMar w:left="320" w:top="9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2025-06-17T16:05:26Z</dcterms:created>
  <dcterms:modified xsi:type="dcterms:W3CDTF">2025-06-17T16:05:26Z</dcterms:modified>
</cp:coreProperties>
</file>