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5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00" w:type="dxa"/>
            <w:vAlign w:val="bottom"/>
            <w:gridSpan w:val="21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00" w:type="dxa"/>
            <w:vAlign w:val="bottom"/>
            <w:gridSpan w:val="21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0" w:type="dxa"/>
            <w:vAlign w:val="bottom"/>
            <w:gridSpan w:val="2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500" w:type="dxa"/>
            <w:vAlign w:val="bottom"/>
            <w:gridSpan w:val="19"/>
            <w:vMerge w:val="restart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2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50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00" w:type="dxa"/>
            <w:vAlign w:val="bottom"/>
            <w:gridSpan w:val="1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11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1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1"/>
                </w:rPr>
                <w:t>Hayon Gavriel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Mobileye Global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MBLY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07/10/2023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restart"/>
          </w:tcPr>
          <w:p>
            <w:pPr>
              <w:ind w:left="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MOBILEYE B.V., HAR HOTZVIM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 HARTOM STREET, P.O. BOX 45157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JERUSALEM   L3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977513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40" w:type="dxa"/>
            <w:vAlign w:val="bottom"/>
            <w:gridSpan w:val="15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9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2C2C2C"/>
            </w:tcBorders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37,037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1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07/10/2023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37,037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37,037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-8890</wp:posOffset>
            </wp:positionH>
            <wp:positionV relativeFrom="paragraph">
              <wp:posOffset>-5815965</wp:posOffset>
            </wp:positionV>
            <wp:extent cx="7045325" cy="58293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5829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(RSU) represents the right to receive, following vesting, one share of Class A common stock of Mobileye Global Inc.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4"/>
        <w:spacing w:after="0" w:line="242" w:lineRule="auto"/>
        <w:tabs>
          <w:tab w:leader="none" w:pos="17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Unless forfeited earlier under the terms of the RSU Agreement, the RSUs will vest as follows: (a) 40% of the RSUs vest and convert into common stock on the first anniversary of the grant date (which grant date is July 10, 2023), (b) 30% of the RSUs vest and convert into common stock on the second anniversary of the grant date and (c) 30% of the RSUs vest and convert into common stock on the third anniversary of the grant date. If a vesting date falls on a non-business date, the next business date shall apply.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Officer Title: Executive Vice President, Research and Development</w:t>
      </w:r>
    </w:p>
    <w:p>
      <w:pPr>
        <w:spacing w:after="0" w:line="56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Liz Cohen-Yerushalmi,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07/12/2023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Attorney-in-Fact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480" w:firstLine="4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927550" TargetMode="External"/><Relationship Id="rId9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2023-07-12T15:12:45Z</dcterms:created>
  <dcterms:modified xsi:type="dcterms:W3CDTF">2023-07-12T15:12:45Z</dcterms:modified>
</cp:coreProperties>
</file>