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Shashua Amnon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MOBILEYE N.V., HAR</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HOTZVIM</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13 HARTOM STREET, NO. 45157</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460" w:type="dxa"/>
            <w:vAlign w:val="bottom"/>
            <w:vMerge w:val="restart"/>
          </w:tcPr>
          <w:p>
            <w:pPr>
              <w:ind w:left="18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720" w:type="dxa"/>
            <w:vAlign w:val="bottom"/>
            <w:gridSpan w:val="3"/>
          </w:tcPr>
          <w:p>
            <w:pPr>
              <w:ind w:left="60"/>
              <w:spacing w:after="0" w:line="16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0000FF"/>
              </w:rPr>
              <w:t>CEO and President</w:t>
            </w:r>
          </w:p>
        </w:tc>
        <w:tc>
          <w:tcPr>
            <w:tcW w:w="2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right"/>
              <w:ind w:right="56"/>
              <w:spacing w:after="0"/>
              <w:rPr>
                <w:sz w:val="20"/>
                <w:szCs w:val="20"/>
                <w:color w:val="auto"/>
              </w:rPr>
            </w:pPr>
            <w:r>
              <w:rPr>
                <w:rFonts w:ascii="Times New Roman" w:cs="Times New Roman" w:eastAsia="Times New Roman" w:hAnsi="Times New Roman"/>
                <w:sz w:val="20"/>
                <w:szCs w:val="20"/>
                <w:color w:val="0000FF"/>
              </w:rPr>
              <w:t>676,190</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1,428,571</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following vesting, one share of Class A common stock of Mobileye Global Inc.</w:t>
      </w:r>
    </w:p>
    <w:p>
      <w:pPr>
        <w:spacing w:after="0" w:line="52" w:lineRule="exact"/>
        <w:rPr>
          <w:rFonts w:ascii="Times New Roman" w:cs="Times New Roman" w:eastAsia="Times New Roman" w:hAnsi="Times New Roman"/>
          <w:sz w:val="15"/>
          <w:szCs w:val="15"/>
          <w:color w:val="008000"/>
        </w:rPr>
      </w:pPr>
    </w:p>
    <w:p>
      <w:pPr>
        <w:jc w:val="both"/>
        <w:ind w:left="40" w:right="140" w:firstLine="5"/>
        <w:spacing w:after="0" w:line="244"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Unless earlier forfeited under the terms of the RSU, the RSU will vest as follows: (a) 40% of the RSUs vest and convert into common stock on the six-month anniversary of the grant date (which grant date is October 26, 2022), (b) 30% of the RSUs vest and convert into common stock on the first anniversary of the grant date and (c) 30% of the RSUs vest and convert into common stock on the second anniversary of the grant date. If a vesting date falls on a non-business date, the next business date shall apply.</w:t>
      </w:r>
    </w:p>
    <w:p>
      <w:pPr>
        <w:spacing w:after="0" w:line="29"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Unless earlier forfeited under the terms of the RSU, the RSU will vest as follows: (a) 50% of the RSUs vest and convert into common stock on the fourth anniversary of the grant date (which grant date is October 26, 2022) and (b) 50% of the RSUs vest and convert into common stock on the fifth anniversary of the grant date. If a vesting date falls on a non-business date, the next business date shall apply.</w:t>
      </w:r>
    </w:p>
    <w:p>
      <w:pPr>
        <w:spacing w:after="0" w:line="19"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916"/>
        <w:spacing w:after="0" w:line="258" w:lineRule="auto"/>
        <w:tabs>
          <w:tab w:leader="none" w:pos="171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6"/>
        <w:spacing w:after="0" w:line="266" w:lineRule="auto"/>
        <w:tabs>
          <w:tab w:leader="none" w:pos="156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6"/>
        <w:spacing w:after="0" w:line="261" w:lineRule="auto"/>
        <w:tabs>
          <w:tab w:leader="none" w:pos="15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29,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Amnon Shashua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29689"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2022-10-26T20:14:49Z</dcterms:created>
  <dcterms:modified xsi:type="dcterms:W3CDTF">2022-10-26T20:14:49Z</dcterms:modified>
</cp:coreProperties>
</file>