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20" w:hanging="211"/>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30, 2024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20" w:hanging="211"/>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0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5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c/o Mobileye B.V.</w:t>
            </w:r>
          </w:p>
        </w:tc>
        <w:tc>
          <w:tcPr>
            <w:tcW w:w="43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Har Hotzvim, 1 Shlomo Momo HaLevi Street</w:t>
            </w:r>
          </w:p>
        </w:tc>
        <w:tc>
          <w:tcPr>
            <w:tcW w:w="4300" w:type="dxa"/>
            <w:vAlign w:val="bottom"/>
          </w:tcPr>
          <w:p>
            <w:pPr>
              <w:spacing w:after="0"/>
              <w:rPr>
                <w:sz w:val="18"/>
                <w:szCs w:val="18"/>
                <w:color w:val="auto"/>
              </w:rPr>
            </w:pPr>
          </w:p>
        </w:tc>
      </w:tr>
      <w:tr>
        <w:trPr>
          <w:trHeight w:val="216"/>
        </w:trPr>
        <w:tc>
          <w:tcPr>
            <w:tcW w:w="51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Jerusalem 9777015, Israel</w:t>
            </w:r>
          </w:p>
        </w:tc>
        <w:tc>
          <w:tcPr>
            <w:tcW w:w="4300" w:type="dxa"/>
            <w:vAlign w:val="bottom"/>
          </w:tcPr>
          <w:p>
            <w:pPr>
              <w:spacing w:after="0"/>
              <w:rPr>
                <w:sz w:val="18"/>
                <w:szCs w:val="18"/>
                <w:color w:val="auto"/>
              </w:rPr>
            </w:pPr>
          </w:p>
        </w:tc>
      </w:tr>
      <w:tr>
        <w:trPr>
          <w:trHeight w:val="234"/>
        </w:trPr>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3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97"/>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300" w:type="dxa"/>
            <w:vAlign w:val="bottom"/>
          </w:tcPr>
          <w:p>
            <w:pPr>
              <w:spacing w:after="0"/>
              <w:rPr>
                <w:sz w:val="24"/>
                <w:szCs w:val="24"/>
                <w:color w:val="auto"/>
              </w:rPr>
            </w:pPr>
          </w:p>
        </w:tc>
      </w:tr>
    </w:tbl>
    <w:p>
      <w:pPr>
        <w:spacing w:after="0" w:line="99" w:lineRule="exact"/>
        <w:rPr>
          <w:sz w:val="24"/>
          <w:szCs w:val="24"/>
          <w:color w:val="auto"/>
        </w:rPr>
      </w:pPr>
    </w:p>
    <w:p>
      <w:pPr>
        <w:sectPr>
          <w:pgSz w:w="11900" w:h="16838" w:orient="portrait"/>
          <w:cols w:equalWidth="0" w:num="1">
            <w:col w:w="9920"/>
          </w:cols>
          <w:pgMar w:left="980" w:top="661" w:right="999" w:bottom="1440" w:gutter="0" w:footer="0" w:header="0"/>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9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9280"/>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94,901,460 shares of Class A common stock, $0.01 par value, outstanding at May 2, 2024</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942975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111760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9"/>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80" w:type="dxa"/>
            <w:vAlign w:val="bottom"/>
            <w:gridSpan w:val="8"/>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gridSpan w:val="1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30, 2024</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9"/>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80" w:type="dxa"/>
            <w:vAlign w:val="bottom"/>
            <w:gridSpan w:val="11"/>
            <w:vMerge w:val="restart"/>
          </w:tcPr>
          <w:p>
            <w:pPr>
              <w:spacing w:after="0"/>
              <w:rPr>
                <w:sz w:val="24"/>
                <w:szCs w:val="24"/>
                <w:color w:val="auto"/>
              </w:rPr>
            </w:pPr>
          </w:p>
        </w:tc>
        <w:tc>
          <w:tcPr>
            <w:tcW w:w="13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80" w:type="dxa"/>
            <w:vAlign w:val="bottom"/>
            <w:gridSpan w:val="11"/>
            <w:vMerge w:val="continu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020" w:type="dxa"/>
            <w:vAlign w:val="bottom"/>
            <w:gridSpan w:val="9"/>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80" w:type="dxa"/>
            <w:vAlign w:val="bottom"/>
            <w:gridSpan w:val="8"/>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80" w:type="dxa"/>
            <w:vAlign w:val="bottom"/>
            <w:gridSpan w:val="2"/>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120" w:type="dxa"/>
            <w:vAlign w:val="bottom"/>
            <w:gridSpan w:val="5"/>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320" w:type="dxa"/>
            <w:vAlign w:val="bottom"/>
            <w:gridSpan w:val="6"/>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80" w:type="dxa"/>
            <w:vAlign w:val="bottom"/>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80" w:type="dxa"/>
            <w:vAlign w:val="bottom"/>
            <w:gridSpan w:val="3"/>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100" w:type="dxa"/>
            <w:vAlign w:val="bottom"/>
            <w:gridSpan w:val="14"/>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100" w:type="dxa"/>
            <w:vAlign w:val="bottom"/>
            <w:gridSpan w:val="4"/>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80" w:type="dxa"/>
            <w:vAlign w:val="bottom"/>
            <w:gridSpan w:val="13"/>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40" w:type="dxa"/>
            <w:vAlign w:val="bottom"/>
            <w:gridSpan w:val="18"/>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80" w:type="dxa"/>
            <w:vAlign w:val="bottom"/>
            <w:gridSpan w:val="17"/>
          </w:tcPr>
          <w:p>
            <w:pPr>
              <w:spacing w:after="0"/>
              <w:rPr>
                <w:sz w:val="17"/>
                <w:szCs w:val="17"/>
                <w:color w:val="auto"/>
              </w:rPr>
            </w:pPr>
          </w:p>
        </w:tc>
        <w:tc>
          <w:tcPr>
            <w:tcW w:w="1320" w:type="dxa"/>
            <w:vAlign w:val="bottom"/>
          </w:tcPr>
          <w:p>
            <w:pPr>
              <w:jc w:val="center"/>
              <w:ind w:left="93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48" w:right="10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 2023 was a 52-week fiscal year; fiscal year 2024 is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13"/>
                <w:szCs w:val="13"/>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2,066</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13,511</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15,342</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94,731,407 as of March 30, 2024 and 94,652,348 as of December 30, 2023</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711,500,000 as of March 30, 2024 and December 30, 2023</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14,924</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15,342</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per share amounts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 per share attributed</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 Class A and Class B stockholders (in millions):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5"/>
          </w:tcPr>
          <w:p>
            <w:pPr>
              <w:ind w:lef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6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1"/>
                <w:szCs w:val="11"/>
                <w:color w:val="auto"/>
              </w:rPr>
            </w:pPr>
          </w:p>
        </w:tc>
        <w:tc>
          <w:tcPr>
            <w:tcW w:w="10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55"/>
        </w:trPr>
        <w:tc>
          <w:tcPr>
            <w:tcW w:w="4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 dollars in millions, except per share amounts</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8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802</w:t>
            </w:r>
          </w:p>
        </w:tc>
        <w:tc>
          <w:tcPr>
            <w:tcW w:w="12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w:t>
            </w:r>
          </w:p>
        </w:tc>
        <w:tc>
          <w:tcPr>
            <w:tcW w:w="1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14,737</w:t>
            </w:r>
          </w:p>
        </w:tc>
        <w:tc>
          <w:tcPr>
            <w:tcW w:w="14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w:t>
            </w:r>
          </w:p>
        </w:tc>
        <w:tc>
          <w:tcPr>
            <w:tcW w:w="12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April 1, 2023</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802</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14,800</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w:t>
            </w: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14,787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9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30, 2023</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14,886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March 30, 2024</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806</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14,943</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14,763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(218)</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Adjustments to reconcile net income (loss) to net cash provided by operating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Exchange rate differences on cash and cash equivalents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with related party, net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trade accounts receivable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Decrease (increase) in other current assets</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inventories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accounts payable, accrued expenses and related party payable</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(62)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 (decrease) in employee-related accrued expenses and long term benefits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 (decrease) in other current liabilities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Decrease (increase) in other long term assets</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Increase (decrease) in long-term liabilities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(22)</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 recharge</w:t>
            </w:r>
          </w:p>
        </w:tc>
        <w:tc>
          <w:tcPr>
            <w:tcW w:w="1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and cash equivalents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Balance of cash, cash equivalents and restricted cash, at beginning of year</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of cash,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1,238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Supplementary non-cash investing and financing activities: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 cash purchase of property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share based compensation recharge</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Tax sharing agreement with Parent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received (paid) for income taxes, net of refunds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 all of the Class B common stock of Mobileye, which as of March 30, 2024, represents approximately 88.3% of our outstanding common stock and 98.7% of the voting power of our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and Central Israel, to which the Israel Defense Forces have responded. In addition, Hezbollah has attacked military and civilian targets in Northern Israel, to which Israel has responded. Further, on April 13, 2024, Iran launched a series of drone and missile strikes against Israel, to which Israel has responded. How long and how severe the current conflict in Gaza, Northern Israel or the broader region becomes is unknown at this time and any continued clash among Israel, Hamas, Hezbollah, Iran or other countries or militant groups in the region may escalate in the future into a greater regional conflict. To date our operations and financial results have not been materially affected, although as of May 1, 2024 approximately 4% of our employees have been called to reserve duty in the Israel Defense Forces. We expect that the current conflict in the Gaza Strip and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business, results of operations and financial condition.</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events during the reporting period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18, 2024, the Company announced the winding down of the Aftermarket Solutions Unit that provides retrofitted advanced driver assistance technology. This decision was made following a thorough review of this unit’s business prospects and investment needs showing that since automakers and other vehicle manufacturers have steadily increased the rate at which integrated ADAS solutions are installed on new vehicles, the demand and future addressable market for retrofitted ADAS solutions has declined. As a result, this division has seen its revenues decline meaningfully, and in recent years has not positively contributed to Mobileye’s profitability. The plan for winding down of the Aftermarket Solutions Unit includes a reduction in workforce of over 100 employees worldwide. The affected employees will be entitled to additional termination costs in the amount of approximately $4 million, which was recognized as an expense in the three months ended March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2023 was a 52-week fiscal year; fiscal year 2024 is also a 52-week fiscal year.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30, 2024 shown in this report are not necessarily indicative of the results to be expected for the full year ending 2024. The condensed consolidated financial statements should be read in conjunction with the audited consolidated financial statements for the fiscal year ended December 30,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30, 2023. For further detail, see Note 2 in the audited consolidated financial statements for the fiscal year ended December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 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March 30, 2024 and April 1, 2023, amounted to $12 million and $8 million respectively.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$36 million and $17 million were offset against research and development costs in the three months ended March 30, 2024 and April 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hedges forecasted cash flows denominated in Israeli Shekels (“ILS”) related to the Company. ILS is the largest operating expense currency of the Company. Intel combines all of its ILS exposures, and as part of Intel’s hedging program enters into hedging contracts to hedge Intel’s combined ILS exposure. Derivative gains and losses attributed to these condensed consolidated financial statements are recorded under accumulated other comprehensive income (loss) and reclassified into earnings in the same period or periods during which the hedged transaction affects the statement of operations.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2022, the Company de-designated its remaining cash flow hedges for forecasted operating expenses denominated in ILS and no longer participates in the hedging services agreement with Intel. As the hedged transactions and cash flows related to the outstanding instruments were expected to occur as originally forecasted, the associated gains and losses deferred in accumulated other comprehensive income (loss) on the Company’s consolidated balance sheet were reclassified into earnings in the same period or periods during which the originally hedged transactions affect earnings. Any subsequent changes in the fair value of the outstanding derivative instruments after the de-designation and termination of hedge accounting were immediately reflected in operating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Pr>
          <w:p>
            <w:pPr>
              <w:spacing w:after="0"/>
              <w:rPr>
                <w:sz w:val="15"/>
                <w:szCs w:val="15"/>
                <w:color w:val="auto"/>
              </w:rPr>
            </w:pPr>
          </w:p>
        </w:tc>
        <w:tc>
          <w:tcPr>
            <w:tcW w:w="332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out of accumulated other comprehensive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effects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periods presented in the consolidated financial statements, certain components of the Company’s business operations were included in the consolidated U.S. domestic income tax return filed by the Company’s Parent. The Company also files various foreign income tax returns on a separate basis, distinct from its Parent. The income tax provision included in the Company’s condensed consolidated financial statements has been calculated using the separate return method, as if the Company had filed its own tax returns.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entered into a Tax Sharing Agreement with its Parent that establishes the amount of cash payable for the Company’s share of the tax liability owed on consolidated tax return filings with its Parent. Any differences between taxes payable to the Company’s Parent under the Tax Sharing Agreement and the current tax provision computed on a separate return basis, is reflected as adjustments to additional paid-in capital in the condensed consolidated statement of changes in equity and financing activities within the condensed consolidated statement of cash flows (see also Note 7).</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reflects tax loss and tax credit carry-forward attributes under the separate return method approach. Such tax attributes may not be benefited in the same period as the Company’s Parent on a consolidated tax return. As a result, there are inherent differences between the Company’s separate tax return method approach and certain actual tax returns filed on a consolidated basis with Intel.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money market funds, and also trade accounts receivable.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 term bank deposits are held in the aforementioned banks. The money market funds consist of institutional investors money market funds and are readily redeemable to cash. Accordingly, management believes that these bank deposits and money market funds, have minimal credit risk.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receivables are derived primarily from sales to Tier 1 suppliers to the automotive manufacturing industry located mainly in the U.S., Europe, and China. Concentration of credit risk with respect to accounts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March 30, 2024 and December 30, 2023, the credit loss allowance of trade accounts receivable was not material. For the three months ended March 30, 2024 and April 1, 2023 , the charge-offs and recoveries in relation to the credit losses were not material.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Any issues that occur and persist in connection with the manufacture, delivery, quality, or cost of the assembly and testing of inventory could have a material adverse effect on the Company’s business, results of operations and financial condition. See below regarding a shortage in EyeQ™ SoC that the Company experienced during 2021 and 2022 and may experience in the future, including in ECUs for SuperVision™ and other components for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During the fiscal years 2022 and 2021, due to global supply chain constraints and shortage of semiconductors, the Company’s sole supplier was not able to meet demand of the Company for EyeQ™ SoCs, causing a significant reduction in the Company’s inventory levels. Starting in late 2022 and early 2023, such supply chain constraints and shortage abated and during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SuperVision™ ECUs on hand. The reoccurrence of shortages and supply chain constraints in EyeQ™ SoCs and ECUs for SuperVision™ and in components of our other products,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Sustaining the Company’s production trajectory require the readiness and solvency of its suppliers and vendors, a stable and motivated production workforce and ongoing government cooperation, including for travel and visa allowances, which governments may restrict. Although we cannot fully predict the length and the severity of the impact these pressures would have on a long-term basis, we do not anticipate that short-term supply chain constraints would materially adversely affect our results of operations, capital resources, sales, profits, and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is evaluating the potential impact of this guidance on its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The ASU improves reportable segments disclosure requirements, primarily through enhanced disclosures about significant segment expenses. The ASU is effective for fiscal years beginning after December 15, 2023, and interim periods within fiscal years beginning after December 15, 2024. Early adoption is permitted. The Company is evaluating the potential impact of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8"/>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the periods presented in these condensed consolidated financial statements.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440" w:type="dxa"/>
            <w:vAlign w:val="bottom"/>
            <w:gridSpan w:val="4"/>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expenses totaled $14 million and $7 million for the three months ended March 30, 2024 and April 1, 2023, respectively. During the three months ended March 30, 2024, the Company derecognized the cost and accumulated depreciation of fully depreciated assets in the amount of $6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Share-based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Mobileye IPO in October 2022, the Company’s employees are incentivized and rewarded through the grant of the Company’s equity awards under the Mobileye Global Inc. 2022 Equity Incentive Plan (“the 2022 Plan”), which are granted for Class A shares and vest upon the satisfaction of a service-based vesting condition, mostly over service periods of three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March 30, 2024 for RSUs granted to Company’s employees under the 2022 Plan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3"/>
                <w:szCs w:val="13"/>
                <w:color w:val="auto"/>
              </w:rPr>
            </w:pPr>
          </w:p>
        </w:tc>
        <w:tc>
          <w:tcPr>
            <w:tcW w:w="1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3"/>
                <w:szCs w:val="13"/>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30, 2024</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the unrecognized compensation cost related to all unvested RSUs granted under the 2022 Plan, was $291 million, which is expected to be recognized as expense over a weighted-average period of 1.96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March 30, 2024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6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42"/>
        </w:trPr>
        <w:tc>
          <w:tcPr>
            <w:tcW w:w="29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8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$ 4.0 - 21.6</w:t>
            </w:r>
          </w:p>
        </w:tc>
        <w:tc>
          <w:tcPr>
            <w:tcW w:w="1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9"/>
        </w:trPr>
        <w:tc>
          <w:tcPr>
            <w:tcW w:w="3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options activity for the three months ended March 30, 2024 for options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Aggregated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14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30, 2023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as of March 30, 2024</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9"/>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 March 30, 2024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right="2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Intel’s ordinary shares. On March 30, 2024 and December 30, 2023, the share price was $44.17 and $50.25. This represents the potential pre-tax amount receivable by the option holders had all option holders exercised their options as of such date.</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March 30, 2024 are 7 thousand options with an average weighted exercise price of $21.6.</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March 30, 2024 for RSUs granted to the Company’s employees for Intel’s common stock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30,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March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30, 2024, the unrecognized compensation cost related to stock options and RSUs granted under the Intel 2006 Plan was $59 million, which will be recognized over a weighted average period of 0.8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00" w:type="dxa"/>
            <w:vAlign w:val="bottom"/>
          </w:tcPr>
          <w:p>
            <w:pPr>
              <w:spacing w:after="0"/>
              <w:rPr>
                <w:sz w:val="12"/>
                <w:szCs w:val="12"/>
                <w:color w:val="auto"/>
              </w:rPr>
            </w:pPr>
          </w:p>
        </w:tc>
        <w:tc>
          <w:tcPr>
            <w:tcW w:w="124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30, 2024 and April 1, 2023, the computation of diluted earnings (loss) per share attributable to common stockholders does not include potential common shares, related to restricted stock units granted under the 2022 plan to the Company’s employees, as the effect of their inclusion would have been anti-dilutive due to a net loss in the three months ended March 30, 2024 and April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income tax benefit (provision) included in these condensed consolidated financial statements has been calculated using the separate return method, as if the Company had filed its own tax returns. Net operating losses generated by the Company that have been utilized as part of the Parent’s consolidated income tax return filings but have not been utilized by the Company under the separate return method approach, have been reflected in these condensed consolidated financial statements because the Company will recognize a benefit for the separate return method net operating losses when determined to be realizable, whether as a deduction against current taxable income in future periods or upon recognition of associated deferred tax assets based on valuation allowance assessments. As the Company has jurisdictions that have sustained recent losses based on the separate return method, a valuation allowance is required for deferred tax assets for which no benefit can be currently realized.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 for income tax in the three months ended March 30, 2024, was $3 million compared to a provision for income tax of $(6) million in the three months ended April 1, 2023, mainly due to a higher loss before income taxes in the three months ended March 30, 2024 compared to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30,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$5 million and $4 million for the three months ended March 30, 2024 and April 1, 2023, respectively.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March 30, 2024 and April 1, 2023, were $0.6 million and $1.3 million,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Travel related reimbursements totaled $0.6 million and $0.7 million for three months ended March 30, 2024 and April 1, 2023,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March 30, 2024 and April 1, 2023 were $1.5 million and $0.4 million,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will not apply to projects for the development and manufacture of a Lidar sensor system for automobiles, for which the LiDAR Product Collaboration Agreement will apply. Pursuant to the Technology and Services Agreement, the Company and Intel will agree to statements of work with additional terms for Technology Projects.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 incurred under this agreement for the three months ended March 30, 2024 and April 1, 2023 was $1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LiDAR Product Collaboration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provides the terms that will apply to the Company’s collaboration with Intel for the development and manufacture of a Lidar sensor system for ADAS and AV in automobiles (“LiDAR Projects”). On some of the LiDAR programs joint funding will apply between Intel and Mobileye until the end of 2027 whereby Mobileye will bear its own Lidar sensor system development costs up to the first $40 million per year and Intel will bear up to $20 million per year of Mobileye’s Lidar sensor system development costs that are greater than $40 million per year.</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LiDAR Product Collaboration Agreement further provides that Intel will manufacture certain components for the Company to market and sell as part of a FMCW (frequency-modulated continuous wave) lidar sensor system solely for external environment sensing for ADAS and AV in automobiles. The price for the components Intel will manufacture for the Company will be based on a cost-plus model. In addition, the agreement also includes a profit-sharing model under which Mobileye will pay Intel a share of the gross profit for each LiDAR sensor system or components thereof, based on Intel technology, sold by Mobileye.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Mobileye opted to pursue a different lidar technology, and as a result, Mobileye and Intel are no longer actively working on developing the LiDAR Project under the LiDAR Product Collaboration Agreement. Mobileye and Intel have begun negotiation of an amendment to the LiDAR Product Collaboration Agreement which contemplates the parties’ cessation of lidar development work and Mobileye’s potential, continued use of certain licenses granted by Intel under the LiDAR Product Collaboration Agreement. In connection with the foregoing, Mobileye would no longer be obligated to share its profits associated with the LiDAR Project with Intel, and Intel would no longer be obligated to provide development services for the LiDAR Project and fund Mobileye’s lidar investments beyond the $40 million per year threshold set forth in the LiDAR Product Collaboration Agreement. Final commercial terms for this amendment remain subject to further negotiation by Mobileye and Intel.</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amounts received or receivable from Intel under this agreement for the three months ended March 30, 2024 and April 1, 2023.</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audit or other tax proceedings. As of March 30, 2024 and December 30, 2023, the related party payable to Intel, pursuant to the Tax Sharing Agreement, was $37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5"/>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6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$ 1,603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$ 1,697</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$ 1,942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$ 2,053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133</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of 2024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1,942</w:t>
            </w: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the Company’s only reportable operating segment and Moovit is presented within “Other” as per ASC 280, Segment Reporting.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performance is the operating income reported excluding the amortization of acquisition-related intangible assets. The CODM uses segment performance to allocate resources (including employees and financial resources) to segments in the annual budget and forecasting process and also uses that measure to assess the segment performance. The measure of assets has not been disclosed for each segment as it is not regularly reviewed by the CODM.</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1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30, 2024</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6"/>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financial income (expense), net</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April 1, 2023</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6"/>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Amounts not</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allocated to</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4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financial income (expense), net</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before taxes on income</w:t>
            </w:r>
          </w:p>
        </w:tc>
        <w:tc>
          <w:tcPr>
            <w:tcW w:w="1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66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Borders>
              <w:top w:val="single" w:sz="8" w:color="auto"/>
            </w:tcBorders>
            <w:gridSpan w:val="5"/>
          </w:tcPr>
          <w:p>
            <w:pPr>
              <w:jc w:val="right"/>
              <w:ind w:right="155"/>
              <w:spacing w:after="0" w:line="118" w:lineRule="exact"/>
              <w:rPr>
                <w:sz w:val="20"/>
                <w:szCs w:val="20"/>
                <w:color w:val="auto"/>
              </w:rPr>
            </w:pPr>
            <w:r>
              <w:rPr>
                <w:rFonts w:ascii="Times New Roman" w:cs="Times New Roman" w:eastAsia="Times New Roman" w:hAnsi="Times New Roman"/>
                <w:sz w:val="13"/>
                <w:szCs w:val="13"/>
                <w:b w:val="1"/>
                <w:bCs w:val="1"/>
                <w:color w:val="auto"/>
              </w:rPr>
              <w:t>Mrach 30,</w:t>
            </w: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0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3"/>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USA</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24"/>
        <w:spacing w:after="0" w:line="20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72% and 88% of our revenue for each of the three months ended March 30, 2024 and April 1, 2023, respectively.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gridSpan w:val="8"/>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4"/>
        </w:trPr>
        <w:tc>
          <w:tcPr>
            <w:tcW w:w="73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5"/>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920" w:type="dxa"/>
            <w:vAlign w:val="bottom"/>
            <w:tcBorders>
              <w:top w:val="single" w:sz="8" w:color="auto"/>
            </w:tcBorders>
          </w:tcPr>
          <w:p>
            <w:pPr>
              <w:jc w:val="right"/>
              <w:ind w:right="195"/>
              <w:spacing w:after="0" w:line="145"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3"/>
        </w:trPr>
        <w:tc>
          <w:tcPr>
            <w:tcW w:w="73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12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12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876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8"/>
        </w:trPr>
        <w:tc>
          <w:tcPr>
            <w:tcW w:w="7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17"/>
        </w:trPr>
        <w:tc>
          <w:tcPr>
            <w:tcW w:w="7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gridSpan w:val="5"/>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98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180" w:type="dxa"/>
            <w:vAlign w:val="bottom"/>
          </w:tcPr>
          <w:p>
            <w:pPr>
              <w:spacing w:after="0"/>
              <w:rPr>
                <w:sz w:val="10"/>
                <w:szCs w:val="10"/>
                <w:color w:val="auto"/>
              </w:rPr>
            </w:pPr>
          </w:p>
        </w:tc>
      </w:tr>
      <w:tr>
        <w:trPr>
          <w:trHeight w:val="173"/>
        </w:trPr>
        <w:tc>
          <w:tcPr>
            <w:tcW w:w="7380" w:type="dxa"/>
            <w:vAlign w:val="bottom"/>
          </w:tcPr>
          <w:p>
            <w:pPr>
              <w:spacing w:after="0"/>
              <w:rPr>
                <w:sz w:val="15"/>
                <w:szCs w:val="15"/>
                <w:color w:val="auto"/>
              </w:rPr>
            </w:pP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44 %</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Customer F</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We intend to defend the matter vigorously. No provision was recorded in the financial statements as of March 30,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We intend to defend the matter vigorously. No provision was recorded in the financial statements as of March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April 2024, the Company’s compensation committee approved the issuance of restricted stock units to be issued under our 2022 Equity Incentive Plan. The total aggregate fair value of RSUs granted was $26.6 million, which consisted of 967 thousand RSUs, which will vest over a service period of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of March 30, 2024, our solutions had been installed in approximately 800 vehicle models (including local country, year, and other vehicle model variations), and our System-on-Chips (“SoCs”) had been deployed in approximately 170 million vehicles. We are actively working with more than 50 Original Equipment Manufacturers (“OEMs”) worldwide on the implementation of our ADAS solutions. In the three months ended March 30, 2024, we shipped approximately 3.6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 decrease from the approximately 8.1 million of our systems that we shipped in the first three months of 2023, due to high excess inventory at our Tier 1 customers, as announced earlier this year.</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Hezbollah has attacked military and civilian targets in Northern Israel, to which Israel has responded. Further, on April 13, 2024, Iran launched a series of drone and missile strikes against Israel, to which Israel has responded. How long and how severe the current conflict in Gaza, Northern Israel or the broader region becomes is unknown at this time and any continued clash among Israel, Hamas, Hezbollah, Iran or other countries or militant groups in the region may escalate in the future into a greater regional conflict. To date, our operations have not been materially affected, although as of May 1, 2024 approximately 4.0% of our employees have been called to reserve duty in the Israel Defense Forces. We expect that the current conflict in the Gaza Strip and the security escalation in Israel will not have a material impact on our business results in the short term. However, since this is an event beyond our control, its continuation or cessation may affect our expectations. We continue to monitor political and military developments closely and examine the consequences for our operations and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our surround computer vision Mobileye SuperVision™ solution, productization of software-defined imaging radars and our True Redundancy™ architecture, we believe that we will be positioned to deliver an autonomous driving solution that can enable the mass adoption of AV.</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20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83" w:lineRule="exact"/>
        <w:rPr>
          <w:sz w:val="20"/>
          <w:szCs w:val="20"/>
          <w:color w:val="auto"/>
        </w:rPr>
      </w:pPr>
    </w:p>
    <w:p>
      <w:pPr>
        <w:jc w:val="both"/>
        <w:ind w:firstLine="324"/>
        <w:spacing w:after="0" w:line="221"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w:t>
      </w:r>
    </w:p>
    <w:p>
      <w:pPr>
        <w:spacing w:after="0" w:line="8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development of our FMCW lidar, and the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2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long-term effects of the COVID-19 pandemic and the global semi-conductor shortage. While automotive production has now recovered to approximately 2019 levels, current uncertain economic conditions and inflation may contribute to a reduction in consumer demand. On the other hand, pent up demand from years of below peak production levels could lead to better than expected production.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that our customers have used the vast majority of this excess customer inventory in the first quarter of 2024, in accordance with our expectations, and we expect that orders will normalize during the remainder of 2024, but there is no guarantee that they will do so. ADAS volumes have grown faster in recent years than the overall automotive market as ADAS penetration rates have increased, and we believe that we will continue to benefit from that trend. However, our revenue of $239 million in the three months ended March 30, 2024 was down 48% year-over-year, primarily due to the aforementioned utilization of excess inventory by our customers during the first quarter of 2024. Continued or future constraint on global automotive production resulting from supply chain shortages and the effects of economic uncertainty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w:t>
      </w:r>
    </w:p>
    <w:p>
      <w:pPr>
        <w:spacing w:after="0" w:line="196"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development of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8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184" w:lineRule="exact"/>
        <w:rPr>
          <w:sz w:val="20"/>
          <w:szCs w:val="20"/>
          <w:color w:val="auto"/>
        </w:rPr>
      </w:pPr>
    </w:p>
    <w:p>
      <w:pPr>
        <w:jc w:val="both"/>
        <w:ind w:firstLine="324"/>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on hand, mitigating the potential for future supply constraints to cause a shortfall of chips. However, in the event of a reoccurence of supply chain constraints, and subject to the duration and severity thereof, we may be required to operate with minimal or no inventory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or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ECUs on hand.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to fulfill customer orders and if such a shortfall of chips of ECUs were to occur, we may be unable to offset future supply constraints through the use of inventory on hand. Our results of operations in the three months ended March 30, 2024 have not been impacted by any shortfall of chips.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recently public company, we have implemented and will continue to implement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procedures and processes for the purpose of addressing the standards and requirements applicable to public companies. In particular, we expect our accounting, legal and personnel-related expenses to increase as we continue to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will reflect the impact of these expenses. We also expect the costs of our insurance, including directors’ and officers’ insurance and insurance coverage for AV activity, to increase as a result of higher premiums.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connection with the Mobileye IPO, we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compensation has been, and will continue to be, an important part of our future compensation strategy and a significant component of our future expenses, which we expect to increase over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72% and 88% of our revenue for the three months ended March 30, 2024 and April 1, 2023, respectively. Sales of our SuperVision™ product represented the majority of the remainder of our revenue for the three months ended March 30, 2024 and April 1, 2023.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personnel-related expenses, including share-based compensation, facilities, equipment and supplies for research and development activities , material, parts and other prototype development, cloud computing services, consulting, and other professional services, including data labeling, quality assurance within the development programs, and allocated overhead costs.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In the near term, we expect that our research and development expenses will increase compared to 2023, also as a percentage of total revenue,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productization of our AV solutions and active sensor suite.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as well as legal and accounting fees, litigation expenses, and fees for professional and contract services.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moderately in absolute dollars but to decrease as a percentage of total revenue as our business grows. The expected increase is mainly associated with the costs related to being a public company, including the need to hire more personnel to support compliance with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Income (Expense), net</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Other financial income (expense), net, consists primarily of income related to investments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the OECD announced an Inclusive Framework on Base Erosion and Profit Shifting including Pillar Two Model Rules defining the global minimum tax in 2021,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we operate in.</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periods presented in our condensed consolidated financial statements, certain components of our business operations were included in the consolidated U.S. tax return filed by Intel. We also file certain foreign income tax returns on a separate basis, distinct from Intel. The income tax provision included in our condensed consolidated financial statements has been calculated using the separate return method as if we had filed our own tax returns. We present tax loss and tax credit carry-forward amounts that have not been utilized by Intel only to the extent such tax attributes can be claimed as a benefit consistent with our separate income tax return method approach. The use of the separate return method may result in differences between our income tax provision compared to Intel’s consolidated income tax provision.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from which we have not benefited due to a valuation allowance position. If warranted, based on the assessment of verifiable evidence in support of the realization of the deferred tax assets, the valuation allowances may be released, resulting in a tax benefit.</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allowance for the periods presented in our condensed consolidated financial statements primarily related to U.S. branch deferred tax assets not currently expected to be realized given that we have sustained recent losses based on the separate return method.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net operating losses and tax credit carry-forward tax attributes generated by the Company that have been utilized as part of Intel’s consolidated income tax return filings, but have not been utilized by the Company under the separate return method approach, have been reflected in these condensed consolidated financial statements because the Company will recognize a benefit based on the separate return method when determined to be realizable.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tcPr>
          <w:p>
            <w:pPr>
              <w:jc w:val="center"/>
              <w:ind w:left="534"/>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27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4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0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63 %</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9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(100)%</w:t>
            </w:r>
          </w:p>
        </w:tc>
        <w:tc>
          <w:tcPr>
            <w:tcW w:w="84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(81)</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financial income (expense), net</w:t>
            </w:r>
          </w:p>
        </w:tc>
        <w:tc>
          <w:tcPr>
            <w:tcW w:w="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6"/>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0" w:type="dxa"/>
            <w:vAlign w:val="bottom"/>
          </w:tcPr>
          <w:p>
            <w:pPr>
              <w:spacing w:after="0"/>
              <w:rPr>
                <w:sz w:val="1"/>
                <w:szCs w:val="1"/>
                <w:color w:val="auto"/>
              </w:rPr>
            </w:pPr>
          </w:p>
        </w:tc>
      </w:tr>
      <w:tr>
        <w:trPr>
          <w:trHeight w:val="173"/>
        </w:trPr>
        <w:tc>
          <w:tcPr>
            <w:tcW w:w="5660" w:type="dxa"/>
            <w:vAlign w:val="bottom"/>
            <w:tcBorders>
              <w:bottom w:val="single" w:sz="8" w:color="CCEEFF"/>
            </w:tcBorders>
            <w:vMerge w:val="continue"/>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1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March 30,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April 1,</w:t>
            </w:r>
          </w:p>
        </w:tc>
        <w:tc>
          <w:tcPr>
            <w:tcW w:w="0" w:type="dxa"/>
            <w:vAlign w:val="bottom"/>
          </w:tcPr>
          <w:p>
            <w:pPr>
              <w:spacing w:after="0"/>
              <w:rPr>
                <w:sz w:val="1"/>
                <w:szCs w:val="1"/>
                <w:color w:val="auto"/>
              </w:rPr>
            </w:pPr>
          </w:p>
        </w:tc>
      </w:tr>
      <w:tr>
        <w:trPr>
          <w:trHeight w:val="173"/>
        </w:trPr>
        <w:tc>
          <w:tcPr>
            <w:tcW w:w="5660" w:type="dxa"/>
            <w:vAlign w:val="bottom"/>
            <w:tcBorders>
              <w:bottom w:val="single" w:sz="8" w:color="CCEEFF"/>
            </w:tcBorders>
            <w:vMerge w:val="continue"/>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4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right="35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Comparison of the Three Months ended March 30, 2024 and April 1, 2023 </w:t>
      </w:r>
      <w:r>
        <w:rPr>
          <w:rFonts w:ascii="Times New Roman" w:cs="Times New Roman" w:eastAsia="Times New Roman" w:hAnsi="Times New Roman"/>
          <w:sz w:val="18"/>
          <w:szCs w:val="18"/>
          <w:b w:val="1"/>
          <w:bCs w:val="1"/>
          <w:i w:val="1"/>
          <w:iCs w:val="1"/>
          <w:color w:val="auto"/>
        </w:rPr>
        <w:t>Revenue</w:t>
      </w:r>
    </w:p>
    <w:p>
      <w:pPr>
        <w:jc w:val="both"/>
        <w:ind w:firstLine="324"/>
        <w:spacing w:after="0" w:line="212" w:lineRule="auto"/>
        <w:rPr>
          <w:sz w:val="20"/>
          <w:szCs w:val="20"/>
          <w:color w:val="auto"/>
        </w:rPr>
      </w:pPr>
      <w:r>
        <w:rPr>
          <w:rFonts w:ascii="Times New Roman" w:cs="Times New Roman" w:eastAsia="Times New Roman" w:hAnsi="Times New Roman"/>
          <w:sz w:val="18"/>
          <w:szCs w:val="18"/>
          <w:color w:val="auto"/>
        </w:rPr>
        <w:t>In the three months ended March 30, 2024, revenue decreased by $219 million, or 48%, compared to the three months ended April 1, 2023, due to a decrease of $233 million, or 58%,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primarily attributable to a 56% reduction in volume resulting from the usage of meaningful excess inventory at our previously accumulated Tier 1 customers to satisfy demand. This was partially offset by an increase of $14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increased by approximately 13%, primarily due to the higher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first quarter of 2023.</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In the three months ended March 30, 2024, our cost of revenue decreased by $66 million, or 26%, compared to the three months ended April 1, 2023, primarily due to a decrease of $44 million in manufacturing costs, mainly resulting from the reduction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as well as a decrease of $22 million in amortization of intangible assets.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In the three months ended March 30, 2024, our gross profit decreased by $153 million, or 74%, compared to the three months ended April 1, 2023. This decrease was mainly driven by the decrease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attributable to the usage of meaningful inventory at our Tier 1 customers to satisfy demand.</w:t>
      </w:r>
    </w:p>
    <w:p>
      <w:pPr>
        <w:spacing w:after="0" w:line="15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gross margin decreased from 45% for the three months ended April 1, 2023, to 23% for the three months ended March 30, 2024. This decrease was primarily due to the increase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well as a higher impact of amortization of intangible assets as a percentage of revenue. In addition, there was an increase in the average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compared to the first quarter of 2023 since we entered 2023 with an opening balance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that we previously acquired at lower-than-current prices.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March 30, 2024, increased by $8 million, or 3%, compared to the three months ended April 1, 2023. This increase was primarily due to an increase in occupancy and related expenses associated with the occupancy of the new campus and additional sites. Average research and development headcount increased by 351 employees, however the related payroll expenses were mainly offset by ILS/USD foreign exchange rate impact and military duty reserve refunds from the state of Israel. In addition, an increase related to investments attributable to new product development and cloud computing services was offset by higher NRE reimbursements.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March 30, 2024, increased by $1 million, or 3%, compared to the three months ended April 1, 2023.</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March 30, 2024, decreased by $5 million, or 25%, compared to the three months ended April 1, 2023. This decrease was primarily due to a decrease in share-based compensation expenses.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Income (expense),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financial income, net, in the three months ended March 30, 2024, was $17 million compared to $8 million in the three months ended April 1, 2023. This increase was mainly due to an increase of $6 million in interest earned on investment in money market funds and short term bank deposits, as well as an increase of $3 million derived from the impact of fluctuations in foreign exchange rates.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Benefit for income tax in the three months ended March 30, 2024, was $3 million compared to a provision for income tax of $(6) million in the three months ended April 1, 2023, mainly due to a higher loss before income taxes in the three months ended March 30, 2024 compared to prior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the construction of our new sites and campus, data storage and other computer related equipment and were $22 million and $26 million for the three months ended March 30, 2024 and April 1, 2023,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2024 to be slightly above our total capital expenditures in 2023, mainly due to investments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40" w:type="dxa"/>
            <w:vAlign w:val="bottom"/>
          </w:tcPr>
          <w:p>
            <w:pPr>
              <w:spacing w:after="0"/>
              <w:rPr>
                <w:sz w:val="15"/>
                <w:szCs w:val="15"/>
                <w:color w:val="auto"/>
              </w:rPr>
            </w:pPr>
          </w:p>
        </w:tc>
        <w:tc>
          <w:tcPr>
            <w:tcW w:w="31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30, 2024 compared to the three months ended April 1, 2023, the $131 million decrease in cash provided by operating activities was mainly due to an increase of $139 million in net loss. The decrease in trade accounts receivable due to reduction in revenue, was largely offset by a decrease in accounts payable and an increase in other current assets.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three months ended March 30, 2024 and the three months ended April 1, 2023 was $22 million and $26 million, respectively, consisting of capital expenditures.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three months ended March 30, 2024 and the three months ended April 1, 2023 was $4 million and $3 million, respectively, consisting of share-based compensation recharge payments made to Intel.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Severance pay liability increased from $56 million as of December 30, 2023, to $57 million as of March 30, 2024.</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$51 million as of December 30, 2023 to $55 million as of March 30, 2024, reflecting mainly new lease contracts and amendments to existing agreements, partially offset by the progress in lease payments for existing arrangements.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$12 million as of March 30, 2024 (denominated in New Israeli Shekels) mainly in connection with lease agreements and import of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gridSpan w:val="5"/>
          </w:tcPr>
          <w:p>
            <w:pPr>
              <w:jc w:val="right"/>
              <w:ind w:right="85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1880" w:type="dxa"/>
            <w:vAlign w:val="bottom"/>
            <w:gridSpan w:val="3"/>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1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39 %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and margin</w:t>
            </w: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180" w:type="dxa"/>
            <w:vAlign w:val="bottom"/>
          </w:tcPr>
          <w:p>
            <w:pPr>
              <w:spacing w:after="0"/>
              <w:rPr>
                <w:sz w:val="18"/>
                <w:szCs w:val="18"/>
                <w:color w:val="auto"/>
              </w:rPr>
            </w:pP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Our Adjusted Gross Margin decreased from 71% for the three months ended April 1, 2023 to 62% for the three months ended March 30, 2024. The decrease was primarily due to the increase in the percentage of revenue attributable to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In addition there was an increase in the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compared to the first quarter of 2023 since we entered 2023 with an opening balance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inventory that we previously acquired at lower-than-current prices.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and share-based compensation expense. Operating margin is calculated as operating income (loss) divided by total revenue, and Adjusted Operating Margin is calculated as Adjusted Operating Income (Loss) divided by total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1900" w:type="dxa"/>
            <w:vAlign w:val="bottom"/>
            <w:gridSpan w:val="3"/>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and operating margin</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income (loss) and margin</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27 %</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1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loss increased by $157 million in the three months ended March 30, 2024 compared to the three months ended April 1, 2023, mainly due to a decrease in revenue, partially offset by a decrease in share-based compensation and amortization expenses.</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We had an Adjusted Operating Loss of $65 million in the three months ended March 30, 2024 compared to an Adjusted Operating Income of $124 million in the three months ended April 1, 2023, primarily due to the decrease in revenue.</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Adjusted Operating Margin declined from a positive 27% for the three months ended April 1, 2023 to a negative (27)% for the three months ended March 30, 2024, primarily due to a lower Adjusted Gross Margin and operating expenses that were similar to the prior year, but significantly higher as a percentage of revenue, given the unusually low revenue base.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5"/>
          </w:tcPr>
          <w:p>
            <w:pPr>
              <w:jc w:val="right"/>
              <w:ind w:right="816"/>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2024</w:t>
            </w:r>
          </w:p>
        </w:tc>
        <w:tc>
          <w:tcPr>
            <w:tcW w:w="1900" w:type="dxa"/>
            <w:vAlign w:val="bottom"/>
            <w:gridSpan w:val="3"/>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(loss)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loss increased by $139 million in the three months ended March 30, 2024, compared the three months ended April 1, 2023, primarily due to the decrease in revenue, partially offset by a decrease in both share-based compensation and amortization expenses of acquired intangible assets, as well as an increase in other financial income.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an Adjusted Net Loss of $55 in the three months ended March 30, 2024 compared to an Adjusted Net Income of $115 in the three months ended April 1, 2023, primarily due to the decrease in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firstLine="459"/>
        <w:spacing w:after="0" w:line="258"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2023 Annual Report on Form 10-K, as filed with the SEC on February 23, 2024 (the “2023 Form 10-K”) describe the significant accounting policies and methods used in the preparation of the Company’s condensed consolidated financial statements. There have been no material changes to the Company’s critical accounting estimates since the 2023 Form 10-K.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COVID-19 pandemic and responses to future pandemics;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the Israeli military operations in response to the October 7, 2023 terrorist attacks,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2023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2023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2023 Form 10 - 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in money market funds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including U.S. treasury bonds. Our short term deposits are redeemable upon demand and held in banks domiciled in the U.S. and Europe, as well as in Israel. As of March 30, 2024 and December 30, 2023, our investment in money market funds was $940 million and $932 million, respectively and our short term deposits were $226 million and $222 million, respectively.</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and short term deposits is to fund our cash requirements in the ordinary course of business and preserve principal. We do not enter into investments for trading or speculative purposes.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During the fourth quarter of 2022, we de-designated the remaining cash flow hedges for forecasted operating expenses denominated in ILS and will no longer be participating in Intel’s corporate hedging program. We plan to reassess what, if any, hedging arrangements we will have in subsequent fiscal years.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$17 million in the three months ended March 30, 2024. The effect of a 10% change in the U.S. dollar / New Israeli Shekel exchange rate would not have had a material impact on our cash flows in the three months ended April 1, 2023 since in the first quarter of 2023 we were still affected by the hedging program with Intel.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March 30, 2024 that have materially affected, or are reasonably likely to materially affect, our internal control over financial reporting.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of operations, and could cause the market value of our common stock to decline.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asserting violations of Sections 10(b) and 20(a) of the Securities Exchange Act of 1934 in connection with defendants’ alleged misstatements and omissions concerning the build-up of excess inventory by certain Tier 1 Mobileye customers. The complaint seeks unspecified damages and other relief on behalf of all persons and entities who purchased or otherwise acquired Mobileye securities between January 26, 2023 and January 3, 2024. We intend to defend the matter vigorously. No provision was recorded in the 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We intend to defend the matter vigorously. No provision was recorded in the financial statements.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We intend to defend the matter vigorously. No provision was recorded in the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2023 Form 10-K. The risks described in the section entitled “Item 1A. Risk Factors” in our 2023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March 30, 2024.</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31.1*</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4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the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1140" w:type="dxa"/>
            <w:vAlign w:val="bottom"/>
            <w:gridSpan w:val="2"/>
          </w:tcPr>
          <w:p>
            <w:pPr>
              <w:spacing w:after="0"/>
              <w:rPr>
                <w:sz w:val="17"/>
                <w:szCs w:val="17"/>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32.1*</w:t>
            </w: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Executive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196"/>
        </w:trPr>
        <w:tc>
          <w:tcPr>
            <w:tcW w:w="980" w:type="dxa"/>
            <w:vAlign w:val="bottom"/>
          </w:tcPr>
          <w:p>
            <w:pPr>
              <w:jc w:val="center"/>
              <w:ind w:right="490"/>
              <w:spacing w:after="0" w:line="196" w:lineRule="exact"/>
              <w:rPr>
                <w:sz w:val="20"/>
                <w:szCs w:val="20"/>
                <w:color w:val="auto"/>
              </w:rPr>
            </w:pPr>
            <w:r>
              <w:rPr>
                <w:rFonts w:ascii="Times New Roman" w:cs="Times New Roman" w:eastAsia="Times New Roman" w:hAnsi="Times New Roman"/>
                <w:sz w:val="18"/>
                <w:szCs w:val="18"/>
                <w:color w:val="auto"/>
                <w:w w:val="98"/>
              </w:rPr>
              <w:t>32.2*</w:t>
            </w:r>
          </w:p>
        </w:tc>
        <w:tc>
          <w:tcPr>
            <w:tcW w:w="86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Certificate of the Chief Financial Officer of Mobileye Global Inc. pursuant to 18 U.S.C. § 1350 as adopted pursuant to</w:t>
            </w:r>
          </w:p>
        </w:tc>
      </w:tr>
      <w:tr>
        <w:trPr>
          <w:trHeight w:val="196"/>
        </w:trPr>
        <w:tc>
          <w:tcPr>
            <w:tcW w:w="980" w:type="dxa"/>
            <w:vAlign w:val="bottom"/>
          </w:tcPr>
          <w:p>
            <w:pPr>
              <w:spacing w:after="0"/>
              <w:rPr>
                <w:sz w:val="17"/>
                <w:szCs w:val="17"/>
                <w:color w:val="auto"/>
              </w:rPr>
            </w:pPr>
          </w:p>
        </w:tc>
        <w:tc>
          <w:tcPr>
            <w:tcW w:w="86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80" w:type="dxa"/>
            <w:vAlign w:val="bottom"/>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r>
      <w:tr>
        <w:trPr>
          <w:trHeight w:val="218"/>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101*</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financial statements from Mobileye Global Inc.’s Quarterly Report on Form 10-Q for the three months</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ended March 30, 2024, filed with the Securities and Exchange Commission on May 8, 2024, formatted in iXBRL</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eXtensible Business Reporting Language): (i) the Consolidated Balance Sheets, (ii) the Consolidated Statements</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Operations and Comprehensive Income (Loss), (iii) the Consolidated Statements of Changes in Equity, (iv) the</w:t>
            </w:r>
          </w:p>
        </w:tc>
      </w:tr>
      <w:tr>
        <w:trPr>
          <w:trHeight w:val="216"/>
        </w:trPr>
        <w:tc>
          <w:tcPr>
            <w:tcW w:w="980" w:type="dxa"/>
            <w:vAlign w:val="bottom"/>
          </w:tcPr>
          <w:p>
            <w:pPr>
              <w:spacing w:after="0"/>
              <w:rPr>
                <w:sz w:val="18"/>
                <w:szCs w:val="18"/>
                <w:color w:val="auto"/>
              </w:rPr>
            </w:pP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Cash Flows and (v) the Notes to Consolidated Financial Statements.</w:t>
            </w:r>
          </w:p>
        </w:tc>
      </w:tr>
      <w:tr>
        <w:trPr>
          <w:trHeight w:val="234"/>
        </w:trPr>
        <w:tc>
          <w:tcPr>
            <w:tcW w:w="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104*</w:t>
            </w:r>
          </w:p>
        </w:tc>
        <w:tc>
          <w:tcPr>
            <w:tcW w:w="8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4640" w:type="dxa"/>
            <w:vAlign w:val="bottom"/>
          </w:tcPr>
          <w:p>
            <w:pPr>
              <w:spacing w:after="0"/>
              <w:rPr>
                <w:sz w:val="18"/>
                <w:szCs w:val="18"/>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Moran Shemesh Rojansky</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18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1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17145</wp:posOffset>
            </wp:positionV>
            <wp:extent cx="29743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18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of the Sarbanes-Oxley Act of 2002.</w:t>
      </w:r>
    </w:p>
    <w:p>
      <w:pPr>
        <w:spacing w:after="0" w:line="18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30, 2024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17145</wp:posOffset>
            </wp:positionV>
            <wp:extent cx="29660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Ex. 32.2: Certificate of the Chief Financial Officer of Mobileye Global Inc. pursuant to 18 U.S.C. § 1350 as adopted pursuant to Section 906 of the Sarbanes-Oxley Act of 2002.</w:t>
      </w:r>
    </w:p>
    <w:p>
      <w:pPr>
        <w:spacing w:after="0" w:line="11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March 30, 2024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4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3331845</wp:posOffset>
            </wp:positionH>
            <wp:positionV relativeFrom="paragraph">
              <wp:posOffset>17145</wp:posOffset>
            </wp:positionV>
            <wp:extent cx="29660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2024-05-08T16:06:13Z</dcterms:created>
  <dcterms:modified xsi:type="dcterms:W3CDTF">2024-05-08T16:06:13Z</dcterms:modified>
</cp:coreProperties>
</file>