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4975d1_8k.htm"/>
      <w:bookmarkStart w:id="1" w:name="kstm2624975d1_8k"/>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2_edei--DocumentType_c20260903__20"/>
      <w:bookmarkEnd w:id="2"/>
      <w:r>
        <w:rPr>
          <w:rFonts w:ascii="Times New Roman;Times;Serif" w:hAnsi="Times New Roman;Times;Serif"/>
          <w:b/>
          <w:i w:val="false"/>
          <w:caps w:val="false"/>
          <w:smallCaps w:val="false"/>
          <w:sz w:val="28"/>
        </w:rPr>
        <w:t>8-K</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September 10, 2026 (</w:t>
      </w:r>
      <w:bookmarkStart w:id="3" w:name="xdx_90F_edei--DocumentPeriodEndDate_c202"/>
      <w:bookmarkEnd w:id="3"/>
      <w:r>
        <w:rPr>
          <w:rFonts w:ascii="Times New Roman;Times;Serif" w:hAnsi="Times New Roman;Times;Serif"/>
          <w:b/>
          <w:i w:val="false"/>
          <w:caps w:val="false"/>
          <w:smallCaps w:val="false"/>
          <w:sz w:val="20"/>
        </w:rPr>
        <w:t>September 3, 2026)</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B_edei--EntityRegistrantName_c2026"/>
      <w:bookmarkEnd w:id="4"/>
      <w:r>
        <w:rPr>
          <w:rFonts w:ascii="Times New Roman;Times;Serif" w:hAnsi="Times New Roman;Times;Serif"/>
          <w:b/>
          <w:i w:val="false"/>
          <w:caps w:val="false"/>
          <w:smallCaps w:val="false"/>
          <w:sz w:val="36"/>
        </w:rPr>
        <w:t>Mobileye Global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8505" w:type="dxa"/>
        <w:jc w:val="left"/>
        <w:tblInd w:w="0" w:type="dxa"/>
        <w:tblLayout w:type="fixed"/>
        <w:tblCellMar>
          <w:top w:w="0" w:type="dxa"/>
          <w:left w:w="0" w:type="dxa"/>
          <w:bottom w:w="0" w:type="dxa"/>
          <w:right w:w="0" w:type="dxa"/>
        </w:tblCellMar>
      </w:tblPr>
      <w:tblGrid>
        <w:gridCol w:w="2930"/>
        <w:gridCol w:w="60"/>
        <w:gridCol w:w="2615"/>
        <w:gridCol w:w="60"/>
        <w:gridCol w:w="2840"/>
      </w:tblGrid>
      <w:tr>
        <w:trPr/>
        <w:tc>
          <w:tcPr>
            <w:tcW w:w="2930" w:type="dxa"/>
            <w:tcBorders/>
            <w:vAlign w:val="center"/>
          </w:tcPr>
          <w:p>
            <w:pPr>
              <w:pStyle w:val="TableContents"/>
              <w:bidi w:val="0"/>
              <w:spacing w:before="0" w:after="283"/>
              <w:jc w:val="center"/>
              <w:rPr>
                <w:b/>
              </w:rPr>
            </w:pPr>
            <w:bookmarkStart w:id="5" w:name="xdx_90E_edei--EntityIncorporationStateCo"/>
            <w:bookmarkEnd w:id="5"/>
            <w:r>
              <w:rPr>
                <w:b/>
              </w:rPr>
              <w:t>Delaware</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center"/>
              <w:rPr>
                <w:b/>
              </w:rPr>
            </w:pPr>
            <w:bookmarkStart w:id="6" w:name="xdx_90F_edei--EntityFileNumber_c20260903"/>
            <w:bookmarkEnd w:id="6"/>
            <w:r>
              <w:rPr>
                <w:b/>
              </w:rPr>
              <w:t>001-41541</w:t>
            </w:r>
          </w:p>
        </w:tc>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center"/>
              <w:rPr>
                <w:b/>
              </w:rPr>
            </w:pPr>
            <w:bookmarkStart w:id="7" w:name="xdx_901_edei--EntityTaxIdentificationNum"/>
            <w:bookmarkEnd w:id="7"/>
            <w:r>
              <w:rPr>
                <w:b/>
              </w:rPr>
              <w:t>88-0666433</w:t>
            </w:r>
          </w:p>
        </w:tc>
      </w:tr>
      <w:tr>
        <w:trPr/>
        <w:tc>
          <w:tcPr>
            <w:tcW w:w="2930" w:type="dxa"/>
            <w:tcBorders/>
            <w:vAlign w:val="center"/>
          </w:tcPr>
          <w:p>
            <w:pPr>
              <w:pStyle w:val="TableContents"/>
              <w:bidi w:val="0"/>
              <w:spacing w:before="0" w:after="283"/>
              <w:jc w:val="center"/>
              <w:rPr/>
            </w:pPr>
            <w:r>
              <w:rPr/>
              <w:t xml:space="preserve">(State or Other Jurisdiction of </w:t>
              <w:br/>
              <w:t>Incorporation or Organization)</w:t>
            </w:r>
          </w:p>
        </w:tc>
        <w:tc>
          <w:tcPr>
            <w:tcW w:w="60" w:type="dxa"/>
            <w:tcBorders/>
            <w:vAlign w:val="center"/>
          </w:tcPr>
          <w:p>
            <w:pPr>
              <w:pStyle w:val="TableContents"/>
              <w:bidi w:val="0"/>
              <w:spacing w:before="0" w:after="283"/>
              <w:jc w:val="center"/>
              <w:rPr/>
            </w:pPr>
            <w:r>
              <w:rPr/>
              <w:t> </w:t>
            </w:r>
          </w:p>
        </w:tc>
        <w:tc>
          <w:tcPr>
            <w:tcW w:w="2615" w:type="dxa"/>
            <w:tcBorders/>
            <w:vAlign w:val="center"/>
          </w:tcPr>
          <w:p>
            <w:pPr>
              <w:pStyle w:val="TableContents"/>
              <w:bidi w:val="0"/>
              <w:spacing w:before="0" w:after="283"/>
              <w:jc w:val="center"/>
              <w:rPr/>
            </w:pPr>
            <w:r>
              <w:rPr/>
              <w:t>(Commission File Number)</w:t>
            </w:r>
          </w:p>
        </w:tc>
        <w:tc>
          <w:tcPr>
            <w:tcW w:w="60" w:type="dxa"/>
            <w:tcBorders/>
            <w:vAlign w:val="center"/>
          </w:tcPr>
          <w:p>
            <w:pPr>
              <w:pStyle w:val="TableContents"/>
              <w:bidi w:val="0"/>
              <w:spacing w:before="0" w:after="283"/>
              <w:jc w:val="center"/>
              <w:rPr/>
            </w:pPr>
            <w:r>
              <w:rPr/>
              <w:t> </w:t>
            </w:r>
          </w:p>
        </w:tc>
        <w:tc>
          <w:tcPr>
            <w:tcW w:w="2840" w:type="dxa"/>
            <w:tcBorders/>
            <w:vAlign w:val="center"/>
          </w:tcPr>
          <w:p>
            <w:pPr>
              <w:pStyle w:val="TableContents"/>
              <w:bidi w:val="0"/>
              <w:spacing w:before="0" w:after="283"/>
              <w:jc w:val="center"/>
              <w:rPr/>
            </w:pPr>
            <w:r>
              <w:rPr/>
              <w:t xml:space="preserve">(IRS Employer Identification </w:t>
              <w:br/>
              <w:t>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c/o Mobileye B.V.</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9" w:name="xdx_90C_edei--EntityAddressAddressLine2_"/>
      <w:bookmarkEnd w:id="9"/>
      <w:r>
        <w:rPr>
          <w:rFonts w:ascii="Times New Roman;Times;Serif" w:hAnsi="Times New Roman;Times;Serif"/>
          <w:b/>
          <w:i w:val="false"/>
          <w:caps w:val="false"/>
          <w:smallCaps w:val="false"/>
          <w:sz w:val="20"/>
        </w:rPr>
        <w:t>Har Hotzvim, 1 Shlomo Momo HaLevi Street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0" w:name="xdx_904_edei--EntityAddressCityOrTown_c2"/>
      <w:bookmarkEnd w:id="10"/>
      <w:r>
        <w:rPr>
          <w:rFonts w:ascii="Times New Roman;Times;Serif" w:hAnsi="Times New Roman;Times;Serif"/>
          <w:b/>
          <w:i w:val="false"/>
          <w:caps w:val="false"/>
          <w:smallCaps w:val="false"/>
          <w:sz w:val="20"/>
        </w:rPr>
        <w:t xml:space="preserve">Jerusalem </w:t>
      </w:r>
      <w:bookmarkStart w:id="11" w:name="xdx_90C_edei--EntityAddressPostalZipCode"/>
      <w:bookmarkEnd w:id="11"/>
      <w:r>
        <w:rPr>
          <w:rFonts w:ascii="Times New Roman;Times;Serif" w:hAnsi="Times New Roman;Times;Serif"/>
          <w:b/>
          <w:i w:val="false"/>
          <w:caps w:val="false"/>
          <w:smallCaps w:val="false"/>
          <w:sz w:val="20"/>
        </w:rPr>
        <w:t xml:space="preserve">9777015, </w:t>
      </w:r>
      <w:bookmarkStart w:id="12" w:name="xdx_900_edei--EntityAddressCountry_c2026"/>
      <w:bookmarkEnd w:id="12"/>
      <w:r>
        <w:rPr>
          <w:rFonts w:ascii="Times New Roman;Times;Serif" w:hAnsi="Times New Roman;Times;Serif"/>
          <w:b/>
          <w:i w:val="false"/>
          <w:caps w:val="false"/>
          <w:smallCaps w:val="false"/>
          <w:sz w:val="20"/>
        </w:rPr>
        <w:t>Israel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w:t>
      </w:r>
      <w:bookmarkStart w:id="13" w:name="xdx_90E_edei--CityAreaCode_c20260903__20"/>
      <w:bookmarkEnd w:id="13"/>
      <w:r>
        <w:rPr>
          <w:rFonts w:ascii="Times New Roman;Times;Serif" w:hAnsi="Times New Roman;Times;Serif"/>
          <w:b/>
          <w:i w:val="false"/>
          <w:caps w:val="false"/>
          <w:smallCaps w:val="false"/>
          <w:sz w:val="20"/>
          <w:shd w:fill="FFFFFF" w:val="clear"/>
        </w:rPr>
        <w:t>972-</w:t>
      </w:r>
      <w:bookmarkStart w:id="14" w:name="xdx_90B_edei--LocalPhoneNumber_c20260903"/>
      <w:bookmarkEnd w:id="14"/>
      <w:r>
        <w:rPr>
          <w:rFonts w:ascii="Times New Roman;Times;Serif" w:hAnsi="Times New Roman;Times;Serif"/>
          <w:b/>
          <w:i w:val="false"/>
          <w:caps w:val="false"/>
          <w:smallCaps w:val="false"/>
          <w:sz w:val="20"/>
          <w:shd w:fill="FFFFFF" w:val="clear"/>
        </w:rPr>
        <w:t>2-541-7333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 N/A</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9_edei--WrittenCommunications_c202"/>
            <w:bookmarkEnd w:id="15"/>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2_edei--SolicitingMaterial_c202609"/>
            <w:bookmarkEnd w:id="16"/>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9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F_edei--PreCommencementIssuerTende"/>
            <w:bookmarkEnd w:id="18"/>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490" w:type="dxa"/>
        <w:jc w:val="left"/>
        <w:tblInd w:w="-10" w:type="dxa"/>
        <w:tblLayout w:type="fixed"/>
        <w:tblCellMar>
          <w:top w:w="30" w:type="dxa"/>
          <w:left w:w="40" w:type="dxa"/>
          <w:bottom w:w="0" w:type="dxa"/>
          <w:right w:w="0" w:type="dxa"/>
        </w:tblCellMar>
      </w:tblPr>
      <w:tblGrid>
        <w:gridCol w:w="3395"/>
        <w:gridCol w:w="1685"/>
        <w:gridCol w:w="3410"/>
      </w:tblGrid>
      <w:tr>
        <w:trPr/>
        <w:tc>
          <w:tcPr>
            <w:tcW w:w="3395" w:type="dxa"/>
            <w:tcBorders>
              <w:top w:val="single" w:sz="8" w:space="0" w:color="000000"/>
              <w:left w:val="single" w:sz="8" w:space="0" w:color="000000"/>
            </w:tcBorders>
            <w:vAlign w:val="center"/>
          </w:tcPr>
          <w:p>
            <w:pPr>
              <w:pStyle w:val="TableContents"/>
              <w:bidi w:val="0"/>
              <w:spacing w:before="0" w:after="283"/>
              <w:jc w:val="center"/>
              <w:rPr>
                <w:b/>
              </w:rPr>
            </w:pPr>
            <w:r>
              <w:rPr>
                <w:b/>
              </w:rPr>
              <w:t>Title of each class</w:t>
            </w:r>
          </w:p>
        </w:tc>
        <w:tc>
          <w:tcPr>
            <w:tcW w:w="1685" w:type="dxa"/>
            <w:tcBorders>
              <w:top w:val="single" w:sz="8" w:space="0" w:color="000000"/>
              <w:left w:val="single" w:sz="8" w:space="0" w:color="000000"/>
            </w:tcBorders>
            <w:vAlign w:val="center"/>
          </w:tcPr>
          <w:p>
            <w:pPr>
              <w:pStyle w:val="TableContents"/>
              <w:bidi w:val="0"/>
              <w:spacing w:before="0" w:after="283"/>
              <w:jc w:val="center"/>
              <w:rPr>
                <w:b/>
              </w:rPr>
            </w:pPr>
            <w:r>
              <w:rPr>
                <w:b/>
              </w:rPr>
              <w:t>Trading Symbol</w:t>
            </w:r>
          </w:p>
        </w:tc>
        <w:tc>
          <w:tcPr>
            <w:tcW w:w="3410" w:type="dxa"/>
            <w:tcBorders>
              <w:top w:val="single" w:sz="8" w:space="0" w:color="000000"/>
              <w:left w:val="single" w:sz="8" w:space="0" w:color="000000"/>
              <w:right w:val="single" w:sz="8" w:space="0" w:color="000000"/>
            </w:tcBorders>
            <w:tcMar>
              <w:right w:w="40" w:type="dxa"/>
            </w:tcMar>
            <w:vAlign w:val="center"/>
          </w:tcPr>
          <w:p>
            <w:pPr>
              <w:pStyle w:val="TableContents"/>
              <w:bidi w:val="0"/>
              <w:spacing w:before="0" w:after="283"/>
              <w:jc w:val="center"/>
              <w:rPr>
                <w:b/>
              </w:rPr>
            </w:pPr>
            <w:r>
              <w:rPr>
                <w:b/>
              </w:rPr>
              <w:t>Name of each exchange on which</w:t>
              <w:br/>
              <w:t>registered</w:t>
            </w:r>
          </w:p>
        </w:tc>
      </w:tr>
      <w:tr>
        <w:trPr/>
        <w:tc>
          <w:tcPr>
            <w:tcW w:w="3395" w:type="dxa"/>
            <w:tcBorders>
              <w:top w:val="single" w:sz="8" w:space="0" w:color="000000"/>
              <w:left w:val="single" w:sz="8" w:space="0" w:color="000000"/>
              <w:bottom w:val="single" w:sz="8" w:space="0" w:color="000000"/>
            </w:tcBorders>
            <w:tcMar>
              <w:bottom w:w="30" w:type="dxa"/>
            </w:tcMar>
            <w:vAlign w:val="center"/>
          </w:tcPr>
          <w:p>
            <w:pPr>
              <w:pStyle w:val="TableContents"/>
              <w:bidi w:val="0"/>
              <w:spacing w:before="0" w:after="283"/>
              <w:jc w:val="center"/>
              <w:rPr/>
            </w:pPr>
            <w:bookmarkStart w:id="19" w:name="xdx_909_edei--Security12bTitle_c20260903"/>
            <w:bookmarkEnd w:id="19"/>
            <w:r>
              <w:rPr/>
              <w:t>Common Stock ($0.001 Par Value)</w:t>
            </w:r>
          </w:p>
        </w:tc>
        <w:tc>
          <w:tcPr>
            <w:tcW w:w="1685" w:type="dxa"/>
            <w:tcBorders>
              <w:top w:val="single" w:sz="8" w:space="0" w:color="000000"/>
              <w:left w:val="single" w:sz="8" w:space="0" w:color="000000"/>
              <w:bottom w:val="single" w:sz="8" w:space="0" w:color="000000"/>
            </w:tcBorders>
            <w:tcMar>
              <w:bottom w:w="30" w:type="dxa"/>
            </w:tcMar>
            <w:vAlign w:val="center"/>
          </w:tcPr>
          <w:p>
            <w:pPr>
              <w:pStyle w:val="TableContents"/>
              <w:bidi w:val="0"/>
              <w:spacing w:before="0" w:after="283"/>
              <w:jc w:val="center"/>
              <w:rPr/>
            </w:pPr>
            <w:bookmarkStart w:id="20" w:name="xdx_908_edei--TradingSymbol_c20260903__2"/>
            <w:bookmarkEnd w:id="20"/>
            <w:r>
              <w:rPr/>
              <w:t>MBLY</w:t>
            </w:r>
          </w:p>
        </w:tc>
        <w:tc>
          <w:tcPr>
            <w:tcW w:w="3410" w:type="dxa"/>
            <w:tcBorders>
              <w:top w:val="single" w:sz="8" w:space="0" w:color="000000"/>
              <w:left w:val="single" w:sz="8" w:space="0" w:color="000000"/>
              <w:bottom w:val="single" w:sz="8" w:space="0" w:color="000000"/>
              <w:right w:val="single" w:sz="8" w:space="0" w:color="000000"/>
            </w:tcBorders>
            <w:tcMar>
              <w:bottom w:w="30" w:type="dxa"/>
              <w:right w:w="40" w:type="dxa"/>
            </w:tcMar>
            <w:vAlign w:val="center"/>
          </w:tcPr>
          <w:p>
            <w:pPr>
              <w:pStyle w:val="TableContents"/>
              <w:bidi w:val="0"/>
              <w:spacing w:before="0" w:after="283"/>
              <w:jc w:val="center"/>
              <w:rPr/>
            </w:pPr>
            <w:bookmarkStart w:id="21" w:name="xdx_90C_edei--SecurityExchangeName_c2026"/>
            <w:bookmarkEnd w:id="21"/>
            <w:r>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or Rule 12b-2 of the Securities Exchange Act of 1934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6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2026, Nimrod Nehushtan and Mobileye Global Inc. (the “Company”) agreed to have Mr. Nehushtan transition from his current role as the Company’s Executive Vice President Business Development &amp; Strategy to a part-time role with the Company focused on corporate strategy, effective September 3, 2026. Following Mr. Nehushtan’s transition, Nimrod Brickman, the Company’s current Vice President of Business Development, will continue to lead the Company’s business development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Current Report, Mr. Nehushtan’s existing compensation arrangements have not been modified in connection with his transition to his new role.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750" w:type="dxa"/>
        <w:jc w:val="left"/>
        <w:tblInd w:w="0" w:type="dxa"/>
        <w:tblLayout w:type="fixed"/>
        <w:tblCellMar>
          <w:top w:w="0" w:type="dxa"/>
          <w:left w:w="0" w:type="dxa"/>
          <w:bottom w:w="0" w:type="dxa"/>
          <w:right w:w="0" w:type="dxa"/>
        </w:tblCellMar>
      </w:tblPr>
      <w:tblGrid>
        <w:gridCol w:w="2510"/>
        <w:gridCol w:w="365"/>
        <w:gridCol w:w="3875"/>
      </w:tblGrid>
      <w:tr>
        <w:trPr/>
        <w:tc>
          <w:tcPr>
            <w:tcW w:w="2510" w:type="dxa"/>
            <w:tcBorders/>
            <w:vAlign w:val="center"/>
          </w:tcPr>
          <w:p>
            <w:pPr>
              <w:pStyle w:val="TableContents"/>
              <w:bidi w:val="0"/>
              <w:spacing w:before="0" w:after="283"/>
              <w:jc w:val="left"/>
              <w:rPr/>
            </w:pPr>
            <w:r>
              <w:rPr/>
              <w:t> </w:t>
            </w:r>
          </w:p>
        </w:tc>
        <w:tc>
          <w:tcPr>
            <w:tcW w:w="4240" w:type="dxa"/>
            <w:gridSpan w:val="2"/>
            <w:tcBorders/>
            <w:vAlign w:val="center"/>
          </w:tcPr>
          <w:p>
            <w:pPr>
              <w:pStyle w:val="TableContents"/>
              <w:bidi w:val="0"/>
              <w:spacing w:before="0" w:after="283"/>
              <w:jc w:val="left"/>
              <w:rPr>
                <w:b/>
              </w:rPr>
            </w:pPr>
            <w:r>
              <w:rPr>
                <w:b/>
              </w:rPr>
              <w:t>Mobileye Global Inc.</w:t>
            </w:r>
          </w:p>
        </w:tc>
      </w:tr>
      <w:tr>
        <w:trPr/>
        <w:tc>
          <w:tcPr>
            <w:tcW w:w="25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Date: September 10, 2026</w:t>
            </w:r>
          </w:p>
        </w:tc>
        <w:tc>
          <w:tcPr>
            <w:tcW w:w="365" w:type="dxa"/>
            <w:tcBorders/>
            <w:vAlign w:val="center"/>
          </w:tcPr>
          <w:p>
            <w:pPr>
              <w:pStyle w:val="TableContents"/>
              <w:bidi w:val="0"/>
              <w:spacing w:before="0" w:after="283"/>
              <w:jc w:val="left"/>
              <w:rPr/>
            </w:pPr>
            <w:r>
              <w:rPr/>
              <w:t>By:</w:t>
            </w:r>
          </w:p>
        </w:tc>
        <w:tc>
          <w:tcPr>
            <w:tcW w:w="3875" w:type="dxa"/>
            <w:tcBorders>
              <w:bottom w:val="single" w:sz="8" w:space="0" w:color="000000"/>
            </w:tcBorders>
            <w:tcMar>
              <w:bottom w:w="28" w:type="dxa"/>
            </w:tcMar>
            <w:vAlign w:val="center"/>
          </w:tcPr>
          <w:p>
            <w:pPr>
              <w:pStyle w:val="TableContents"/>
              <w:bidi w:val="0"/>
              <w:spacing w:before="0" w:after="283"/>
              <w:jc w:val="left"/>
              <w:rPr/>
            </w:pPr>
            <w:r>
              <w:rPr/>
              <w:t>/s/ Prof. Amnon Shashua</w:t>
            </w:r>
          </w:p>
        </w:tc>
      </w:tr>
      <w:tr>
        <w:trPr/>
        <w:tc>
          <w:tcPr>
            <w:tcW w:w="25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b/>
              </w:rPr>
            </w:pPr>
            <w:r>
              <w:rPr>
                <w:b/>
              </w:rPr>
              <w:t>Prof. Amnon Shashua</w:t>
            </w:r>
          </w:p>
        </w:tc>
      </w:tr>
      <w:tr>
        <w:trPr/>
        <w:tc>
          <w:tcPr>
            <w:tcW w:w="25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b/>
              </w:rPr>
            </w:pPr>
            <w:r>
              <w:rPr>
                <w:b/>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474</Words>
  <Characters>2696</Characters>
  <CharactersWithSpaces>3170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