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31F20"/>
        </w:rPr>
        <w:t>As filed with the Securities and Exchange Commission on October 25,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31F20"/>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231F20"/>
        </w:rPr>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231F20"/>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231F20"/>
        </w:rPr>
        <w:t>FORM S-1</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REGISTRATION STATEMENT</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231F20"/>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231F20"/>
        </w:rPr>
        <w:t>Mobileye Global Inc.</w:t>
      </w:r>
    </w:p>
    <w:p>
      <w:pPr>
        <w:spacing w:after="0" w:line="44"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231F20"/>
              </w:rPr>
              <w:t>(Exact Name of Registrant as Specified in Its Charter)</w:t>
            </w:r>
          </w:p>
        </w:tc>
        <w:tc>
          <w:tcPr>
            <w:tcW w:w="2260" w:type="dxa"/>
            <w:vAlign w:val="bottom"/>
          </w:tcPr>
          <w:p>
            <w:pPr>
              <w:spacing w:after="0"/>
              <w:rPr>
                <w:sz w:val="20"/>
                <w:szCs w:val="20"/>
                <w:color w:val="auto"/>
              </w:rPr>
            </w:pPr>
          </w:p>
        </w:tc>
      </w:tr>
      <w:tr>
        <w:trPr>
          <w:trHeight w:val="250"/>
        </w:trPr>
        <w:tc>
          <w:tcPr>
            <w:tcW w:w="3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493"/>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34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231F20"/>
                <w:w w:val="99"/>
              </w:rPr>
              <w:t>7372</w:t>
            </w:r>
          </w:p>
        </w:tc>
        <w:tc>
          <w:tcPr>
            <w:tcW w:w="1140" w:type="dxa"/>
            <w:vAlign w:val="bottom"/>
          </w:tcPr>
          <w:p>
            <w:pPr>
              <w:spacing w:after="0"/>
              <w:rPr>
                <w:sz w:val="24"/>
                <w:szCs w:val="24"/>
                <w:color w:val="auto"/>
              </w:rPr>
            </w:pPr>
          </w:p>
        </w:tc>
        <w:tc>
          <w:tcPr>
            <w:tcW w:w="22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231F20"/>
                <w:w w:val="98"/>
              </w:rPr>
              <w:t>88-0666433</w:t>
            </w:r>
          </w:p>
        </w:tc>
      </w:tr>
      <w:tr>
        <w:trPr>
          <w:trHeight w:val="252"/>
        </w:trPr>
        <w:tc>
          <w:tcPr>
            <w:tcW w:w="3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231F20"/>
              </w:rPr>
              <w:t>(State or Other Jurisdiction of Incorporation</w:t>
            </w:r>
          </w:p>
        </w:tc>
        <w:tc>
          <w:tcPr>
            <w:tcW w:w="660" w:type="dxa"/>
            <w:vAlign w:val="bottom"/>
          </w:tcPr>
          <w:p>
            <w:pPr>
              <w:spacing w:after="0"/>
              <w:rPr>
                <w:sz w:val="21"/>
                <w:szCs w:val="21"/>
                <w:color w:val="auto"/>
              </w:rPr>
            </w:pPr>
          </w:p>
        </w:tc>
        <w:tc>
          <w:tcPr>
            <w:tcW w:w="3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231F20"/>
                <w:w w:val="99"/>
              </w:rPr>
              <w:t>(Primary Standard Industrial</w:t>
            </w:r>
          </w:p>
        </w:tc>
        <w:tc>
          <w:tcPr>
            <w:tcW w:w="22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231F20"/>
                <w:w w:val="99"/>
              </w:rPr>
              <w:t>(I.R.S. Employer</w:t>
            </w:r>
          </w:p>
        </w:tc>
      </w:tr>
      <w:tr>
        <w:trPr>
          <w:trHeight w:val="234"/>
        </w:trPr>
        <w:tc>
          <w:tcPr>
            <w:tcW w:w="3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231F20"/>
              </w:rPr>
              <w:t>or Organization)</w:t>
            </w:r>
          </w:p>
        </w:tc>
        <w:tc>
          <w:tcPr>
            <w:tcW w:w="660" w:type="dxa"/>
            <w:vAlign w:val="bottom"/>
          </w:tcPr>
          <w:p>
            <w:pPr>
              <w:spacing w:after="0"/>
              <w:rPr>
                <w:sz w:val="20"/>
                <w:szCs w:val="20"/>
                <w:color w:val="auto"/>
              </w:rPr>
            </w:pPr>
          </w:p>
        </w:tc>
        <w:tc>
          <w:tcPr>
            <w:tcW w:w="39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231F20"/>
                <w:w w:val="99"/>
              </w:rPr>
              <w:t>Classification Code Number)</w:t>
            </w:r>
          </w:p>
        </w:tc>
        <w:tc>
          <w:tcPr>
            <w:tcW w:w="22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231F20"/>
                <w:w w:val="99"/>
              </w:rPr>
              <w:t>Identification Number)</w:t>
            </w:r>
          </w:p>
        </w:tc>
      </w:tr>
      <w:tr>
        <w:trPr>
          <w:trHeight w:val="410"/>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231F20"/>
                <w:w w:val="97"/>
              </w:rPr>
              <w:t>c/o Mobileye B.V.</w:t>
            </w:r>
          </w:p>
        </w:tc>
        <w:tc>
          <w:tcPr>
            <w:tcW w:w="226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231F20"/>
                <w:w w:val="99"/>
              </w:rPr>
              <w:t>Har Hotzvim, 13 Hartom Street</w:t>
            </w:r>
          </w:p>
        </w:tc>
        <w:tc>
          <w:tcPr>
            <w:tcW w:w="226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231F20"/>
                <w:w w:val="98"/>
              </w:rPr>
              <w:t>P.O. Box 45157</w:t>
            </w:r>
          </w:p>
        </w:tc>
        <w:tc>
          <w:tcPr>
            <w:tcW w:w="226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231F20"/>
              </w:rPr>
              <w:t>Jerusalem 9777513, Israel</w:t>
            </w:r>
          </w:p>
        </w:tc>
        <w:tc>
          <w:tcPr>
            <w:tcW w:w="226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34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231F20"/>
              </w:rPr>
              <w:t>+972-2-541-7333</w:t>
            </w:r>
          </w:p>
        </w:tc>
        <w:tc>
          <w:tcPr>
            <w:tcW w:w="114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231F20"/>
        </w:rPr>
        <w:t>Anat Heller</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231F20"/>
        </w:rPr>
        <w:t>Chief Financial Officer</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231F20"/>
        </w:rPr>
        <w:t>c/o Mobileye B.V.</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231F20"/>
        </w:rPr>
        <w:t>Har Hotzvim, 13 Hartom Street</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231F20"/>
        </w:rPr>
        <w:t>P.O. Box 45157</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Jerusalem 9777513, Israel</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231F20"/>
        </w:rPr>
        <w:t>+972-2-541-7333</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20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9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i w:val="1"/>
                <w:iCs w:val="1"/>
                <w:color w:val="231F20"/>
              </w:rPr>
              <w:t>Copies to:</w:t>
            </w:r>
          </w:p>
        </w:tc>
        <w:tc>
          <w:tcPr>
            <w:tcW w:w="2640" w:type="dxa"/>
            <w:vAlign w:val="bottom"/>
          </w:tcPr>
          <w:p>
            <w:pPr>
              <w:spacing w:after="0"/>
              <w:rPr>
                <w:sz w:val="20"/>
                <w:szCs w:val="20"/>
                <w:color w:val="auto"/>
              </w:rPr>
            </w:pPr>
          </w:p>
        </w:tc>
      </w:tr>
      <w:tr>
        <w:trPr>
          <w:trHeight w:val="410"/>
        </w:trPr>
        <w:tc>
          <w:tcPr>
            <w:tcW w:w="3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9"/>
              </w:rPr>
              <w:t>P. Michelle Gasaway</w:t>
            </w:r>
          </w:p>
        </w:tc>
        <w:tc>
          <w:tcPr>
            <w:tcW w:w="3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9"/>
              </w:rPr>
              <w:t>Liz Cohen-Yerushalmi</w:t>
            </w:r>
          </w:p>
        </w:tc>
        <w:tc>
          <w:tcPr>
            <w:tcW w:w="26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231F20"/>
              </w:rPr>
              <w:t>John L. Savva</w:t>
            </w:r>
          </w:p>
        </w:tc>
      </w:tr>
      <w:tr>
        <w:trPr>
          <w:trHeight w:val="216"/>
        </w:trPr>
        <w:tc>
          <w:tcPr>
            <w:tcW w:w="3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8"/>
              </w:rPr>
              <w:t>Gregg A. Noel</w:t>
            </w:r>
          </w:p>
        </w:tc>
        <w:tc>
          <w:tcPr>
            <w:tcW w:w="3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rPr>
              <w:t>Chief Legal Officer and General Counsel</w:t>
            </w:r>
          </w:p>
        </w:tc>
        <w:tc>
          <w:tcPr>
            <w:tcW w:w="26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231F20"/>
                <w:w w:val="99"/>
              </w:rPr>
              <w:t>Sullivan &amp; Cromwell LLP</w:t>
            </w:r>
          </w:p>
        </w:tc>
      </w:tr>
      <w:tr>
        <w:trPr>
          <w:trHeight w:val="216"/>
        </w:trPr>
        <w:tc>
          <w:tcPr>
            <w:tcW w:w="3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rPr>
              <w:t>Skadden, Arps, Slate, Meagher &amp; Flom LLP</w:t>
            </w:r>
          </w:p>
        </w:tc>
        <w:tc>
          <w:tcPr>
            <w:tcW w:w="3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231F20"/>
                <w:w w:val="98"/>
              </w:rPr>
              <w:t>c/o Mobileye B.V.</w:t>
            </w:r>
          </w:p>
        </w:tc>
        <w:tc>
          <w:tcPr>
            <w:tcW w:w="26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231F20"/>
                <w:w w:val="98"/>
              </w:rPr>
              <w:t>1870 Embarcadero Road</w:t>
            </w:r>
          </w:p>
        </w:tc>
      </w:tr>
      <w:tr>
        <w:trPr>
          <w:trHeight w:val="216"/>
        </w:trPr>
        <w:tc>
          <w:tcPr>
            <w:tcW w:w="3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31F20"/>
                <w:w w:val="98"/>
              </w:rPr>
              <w:t>300 South Grand Avenue</w:t>
            </w:r>
          </w:p>
        </w:tc>
        <w:tc>
          <w:tcPr>
            <w:tcW w:w="3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9"/>
              </w:rPr>
              <w:t>Har Hotzvim, 13 Hartom Street</w:t>
            </w:r>
          </w:p>
        </w:tc>
        <w:tc>
          <w:tcPr>
            <w:tcW w:w="26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231F20"/>
              </w:rPr>
              <w:t>Palo Alto, California 94303</w:t>
            </w:r>
          </w:p>
        </w:tc>
      </w:tr>
      <w:tr>
        <w:trPr>
          <w:trHeight w:val="216"/>
        </w:trPr>
        <w:tc>
          <w:tcPr>
            <w:tcW w:w="3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231F20"/>
                <w:w w:val="99"/>
              </w:rPr>
              <w:t>Los Angeles, California 90071</w:t>
            </w:r>
          </w:p>
        </w:tc>
        <w:tc>
          <w:tcPr>
            <w:tcW w:w="3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w w:val="98"/>
              </w:rPr>
              <w:t>P.O. Box 45157</w:t>
            </w:r>
          </w:p>
        </w:tc>
        <w:tc>
          <w:tcPr>
            <w:tcW w:w="26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231F20"/>
              </w:rPr>
              <w:t>(650) 461-5600</w:t>
            </w:r>
          </w:p>
        </w:tc>
      </w:tr>
      <w:tr>
        <w:trPr>
          <w:trHeight w:val="216"/>
        </w:trPr>
        <w:tc>
          <w:tcPr>
            <w:tcW w:w="3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231F20"/>
                <w:w w:val="99"/>
              </w:rPr>
              <w:t>(213) 687-5000</w:t>
            </w:r>
          </w:p>
        </w:tc>
        <w:tc>
          <w:tcPr>
            <w:tcW w:w="3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231F20"/>
              </w:rPr>
              <w:t>Jerusalem 9777513, Israel</w:t>
            </w:r>
          </w:p>
        </w:tc>
        <w:tc>
          <w:tcPr>
            <w:tcW w:w="264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39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231F20"/>
              </w:rPr>
              <w:t>+972-2-541-7333</w:t>
            </w:r>
          </w:p>
        </w:tc>
        <w:tc>
          <w:tcPr>
            <w:tcW w:w="2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76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Approximate date of commencement of proposed sale to the public: As soon as practicable after the effective date of this registration statement.</w:t>
      </w:r>
    </w:p>
    <w:p>
      <w:pPr>
        <w:spacing w:after="0" w:line="159" w:lineRule="exact"/>
        <w:rPr>
          <w:sz w:val="24"/>
          <w:szCs w:val="24"/>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231F20"/>
        </w:rPr>
        <w:t>☐</w:t>
      </w:r>
    </w:p>
    <w:p>
      <w:pPr>
        <w:spacing w:after="0" w:line="179" w:lineRule="exact"/>
        <w:rPr>
          <w:sz w:val="24"/>
          <w:szCs w:val="24"/>
          <w:color w:val="auto"/>
        </w:rPr>
      </w:pPr>
    </w:p>
    <w:p>
      <w:pPr>
        <w:ind w:left="340" w:right="220"/>
        <w:spacing w:after="0" w:line="235" w:lineRule="exact"/>
        <w:rPr>
          <w:sz w:val="20"/>
          <w:szCs w:val="20"/>
          <w:color w:val="auto"/>
        </w:rPr>
      </w:pPr>
      <w:r>
        <w:rPr>
          <w:rFonts w:ascii="Times New Roman" w:cs="Times New Roman" w:eastAsia="Times New Roman" w:hAnsi="Times New Roman"/>
          <w:sz w:val="18"/>
          <w:szCs w:val="18"/>
          <w:color w:val="231F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333-267685</w:t>
      </w:r>
    </w:p>
    <w:p>
      <w:pPr>
        <w:spacing w:after="0" w:line="179" w:lineRule="exact"/>
        <w:rPr>
          <w:sz w:val="24"/>
          <w:szCs w:val="24"/>
          <w:color w:val="auto"/>
        </w:rPr>
      </w:pPr>
    </w:p>
    <w:p>
      <w:pPr>
        <w:ind w:right="220" w:firstLine="324"/>
        <w:spacing w:after="0" w:line="235" w:lineRule="exact"/>
        <w:rPr>
          <w:sz w:val="20"/>
          <w:szCs w:val="20"/>
          <w:color w:val="auto"/>
        </w:rPr>
      </w:pPr>
      <w:r>
        <w:rPr>
          <w:rFonts w:ascii="Times New Roman" w:cs="Times New Roman" w:eastAsia="Times New Roman" w:hAnsi="Times New Roman"/>
          <w:sz w:val="18"/>
          <w:szCs w:val="18"/>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79" w:lineRule="exact"/>
        <w:rPr>
          <w:sz w:val="24"/>
          <w:szCs w:val="24"/>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ectPr>
          <w:pgSz w:w="11900" w:h="16838" w:orient="portrait"/>
          <w:cols w:equalWidth="0" w:num="1">
            <w:col w:w="11240"/>
          </w:cols>
          <w:pgMar w:left="320" w:top="441" w:right="339" w:bottom="0" w:gutter="0" w:footer="0" w:header="0"/>
        </w:sectPr>
      </w:pPr>
    </w:p>
    <w:bookmarkStart w:id="1" w:name="page2"/>
    <w:bookmarkEnd w:id="1"/>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1060" w:type="dxa"/>
            <w:vAlign w:val="bottom"/>
          </w:tcPr>
          <w:p>
            <w:pPr>
              <w:ind w:left="260"/>
              <w:spacing w:after="0" w:line="181" w:lineRule="exact"/>
              <w:rPr>
                <w:sz w:val="20"/>
                <w:szCs w:val="20"/>
                <w:color w:val="auto"/>
              </w:rPr>
            </w:pPr>
            <w:r>
              <w:rPr>
                <w:rFonts w:ascii="MS PGothic" w:cs="MS PGothic" w:eastAsia="MS PGothic" w:hAnsi="MS PGothic"/>
                <w:sz w:val="18"/>
                <w:szCs w:val="18"/>
                <w:color w:val="231F20"/>
              </w:rPr>
              <w:t>☐</w:t>
            </w:r>
          </w:p>
        </w:tc>
        <w:tc>
          <w:tcPr>
            <w:tcW w:w="340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1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ind w:left="620"/>
              <w:spacing w:after="0"/>
              <w:rPr>
                <w:sz w:val="20"/>
                <w:szCs w:val="20"/>
                <w:color w:val="auto"/>
              </w:rPr>
            </w:pPr>
            <w:r>
              <w:rPr>
                <w:rFonts w:ascii="Times New Roman" w:cs="Times New Roman" w:eastAsia="Times New Roman" w:hAnsi="Times New Roman"/>
                <w:sz w:val="18"/>
                <w:szCs w:val="18"/>
                <w:color w:val="231F20"/>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0"/>
          <w:szCs w:val="20"/>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231F20"/>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S-1 is being filed with respect to the registration of an additional $47,150,000 of shares of Class A common stock, par value $0.01 per share, of Mobileye Global Inc. (the “Registrant”), pursuant to Rule 462(b) under the Securities Act of 1933, as amended. This </w:t>
      </w:r>
      <w:hyperlink r:id="rId18">
        <w:r>
          <w:rPr>
            <w:rFonts w:ascii="Times New Roman" w:cs="Times New Roman" w:eastAsia="Times New Roman" w:hAnsi="Times New Roman"/>
            <w:sz w:val="18"/>
            <w:szCs w:val="18"/>
            <w:color w:val="auto"/>
          </w:rPr>
          <w:t xml:space="preserve">Registration Statement relates to the Registrant’s Registration Statement on </w:t>
        </w:r>
        <w:r>
          <w:rPr>
            <w:rFonts w:ascii="Times New Roman" w:cs="Times New Roman" w:eastAsia="Times New Roman" w:hAnsi="Times New Roman"/>
            <w:sz w:val="18"/>
            <w:szCs w:val="18"/>
            <w:u w:val="single" w:color="auto"/>
            <w:color w:val="0000EE"/>
          </w:rPr>
          <w:t>Form S-1 (File No. 333-267685) (the “Prior Registration Statement”), initially</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filed by the Registrant on September 30,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declared effective by the Securities and Exchange Commission (the “Commission”) on October 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2022. The additional $47,150,000 of shares of Class A common stock being registered is solely as a result of an increase in the initial public offering price per share; the number of shares of Class A common stock (47,150,000 shares) registered on the Prior Registration Statement is unchanged. The required opinion of counsel and related consent and accountant’s consent are attached hereto and filed herewith. Pursuant to Rule 462(b), the contents of the Prior Registration Statement, including the exhibits thereto,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231F20"/>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16. 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Exhibits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exhibits filed with or incorporated by reference in the Prior Registration Statement are incorporated by reference into, and shall be deemed a part of, this Registration Statement, and the following additional exhibits are filed herewith, as part of this Registration Statement:</w:t>
      </w:r>
    </w:p>
    <w:p>
      <w:pPr>
        <w:spacing w:after="0" w:line="16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231F20"/>
        </w:rPr>
        <w:t>b.</w:t>
        <w:tab/>
        <w:t>Financial Statement Schedules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No financial statement schedules are provided because the information called for is not applicable or is shown in the financial statements or notes thereto.</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ind w:left="14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Skadden, Arps, Slate, Meagher &amp; Flom LLP</w:t>
      </w:r>
    </w:p>
    <w:p>
      <w:pPr>
        <w:spacing w:after="0" w:line="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Skadden, Arps, Slate, Meagher &amp; Flom LLP (included in Exhibit 5.1)</w:t>
      </w:r>
    </w:p>
    <w:p>
      <w:pPr>
        <w:spacing w:after="0" w:line="63" w:lineRule="exact"/>
        <w:rPr>
          <w:sz w:val="20"/>
          <w:szCs w:val="20"/>
          <w:color w:val="auto"/>
        </w:rPr>
      </w:pPr>
    </w:p>
    <w:p>
      <w:pPr>
        <w:ind w:left="800" w:hanging="795"/>
        <w:spacing w:after="0" w:line="281"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8"/>
          <w:szCs w:val="18"/>
          <w:u w:val="single" w:color="auto"/>
          <w:color w:val="0000EE"/>
        </w:rPr>
        <w:t>Consent of Kesselman &amp; Kesselman, Certified Public Accountants (Isr.), a member firm of PricewaterhouseCoopers International Limited, an independent registered public accounting firm.</w:t>
      </w:r>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hyperlink r:id="rId21">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7"/>
            <w:szCs w:val="17"/>
            <w:u w:val="single" w:color="auto"/>
            <w:color w:val="0000EE"/>
          </w:rPr>
          <w:t>Powers of Attorney (included in signature page to the Registrant’s Prior Registration Statement on Form S-1 (File No. 333-267685)).</w:t>
        </w:r>
      </w:hyperlink>
    </w:p>
    <w:p>
      <w:pPr>
        <w:spacing w:after="0" w:line="63" w:lineRule="exact"/>
        <w:rPr>
          <w:sz w:val="20"/>
          <w:szCs w:val="20"/>
          <w:color w:val="auto"/>
        </w:rPr>
      </w:pPr>
    </w:p>
    <w:p>
      <w:pPr>
        <w:ind w:left="800" w:hanging="792"/>
        <w:spacing w:after="0"/>
        <w:tabs>
          <w:tab w:leader="none" w:pos="800"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38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as amended, the registrant has duly caused this Registration Statement to be signed on its behalf by the undersigned, thereunto duly authorized, in Jerusalem, Israel on October 25, 2022.</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221F1F"/>
        </w:rPr>
        <w:t>MOBILEYE GLOBAL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F1F"/>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21F1F"/>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21F1F"/>
        </w:rPr>
        <w:t>Chief Executive Officer and President</w:t>
      </w:r>
    </w:p>
    <w:p>
      <w:pPr>
        <w:spacing w:after="0" w:line="20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Act of 1933, this Registration Statement has been signed by the following persons in the capacities indicated on October 25,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231F20"/>
            </w:tcBorders>
          </w:tcPr>
          <w:p>
            <w:pPr>
              <w:spacing w:after="0"/>
              <w:rPr>
                <w:sz w:val="20"/>
                <w:szCs w:val="20"/>
                <w:color w:val="auto"/>
              </w:rPr>
            </w:pPr>
          </w:p>
        </w:tc>
        <w:tc>
          <w:tcPr>
            <w:tcW w:w="4820" w:type="dxa"/>
            <w:vAlign w:val="bottom"/>
            <w:tcBorders>
              <w:bottom w:val="single" w:sz="8" w:color="231F20"/>
            </w:tcBorders>
          </w:tcPr>
          <w:p>
            <w:pPr>
              <w:ind w:left="1760"/>
              <w:spacing w:after="0"/>
              <w:rPr>
                <w:sz w:val="20"/>
                <w:szCs w:val="20"/>
                <w:color w:val="auto"/>
              </w:rPr>
            </w:pPr>
            <w:r>
              <w:rPr>
                <w:rFonts w:ascii="Times New Roman" w:cs="Times New Roman" w:eastAsia="Times New Roman" w:hAnsi="Times New Roman"/>
                <w:sz w:val="18"/>
                <w:szCs w:val="18"/>
                <w:b w:val="1"/>
                <w:bCs w:val="1"/>
                <w:color w:val="221F1F"/>
              </w:rPr>
              <w:t>Signature</w:t>
            </w:r>
          </w:p>
        </w:tc>
        <w:tc>
          <w:tcPr>
            <w:tcW w:w="220" w:type="dxa"/>
            <w:vAlign w:val="bottom"/>
          </w:tcPr>
          <w:p>
            <w:pPr>
              <w:spacing w:after="0"/>
              <w:rPr>
                <w:sz w:val="20"/>
                <w:szCs w:val="20"/>
                <w:color w:val="auto"/>
              </w:rPr>
            </w:pPr>
          </w:p>
        </w:tc>
        <w:tc>
          <w:tcPr>
            <w:tcW w:w="5620" w:type="dxa"/>
            <w:vAlign w:val="bottom"/>
            <w:tcBorders>
              <w:bottom w:val="single" w:sz="8" w:color="231F20"/>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0" w:type="dxa"/>
            <w:vAlign w:val="bottom"/>
          </w:tcPr>
          <w:p>
            <w:pPr>
              <w:spacing w:after="0"/>
              <w:rPr>
                <w:sz w:val="1"/>
                <w:szCs w:val="1"/>
                <w:color w:val="auto"/>
              </w:rPr>
            </w:pPr>
          </w:p>
        </w:tc>
      </w:tr>
      <w:tr>
        <w:trPr>
          <w:trHeight w:val="425"/>
        </w:trPr>
        <w:tc>
          <w:tcPr>
            <w:tcW w:w="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color w:val="221F1F"/>
              </w:rPr>
              <w:t>*</w:t>
            </w:r>
          </w:p>
        </w:tc>
        <w:tc>
          <w:tcPr>
            <w:tcW w:w="4820" w:type="dxa"/>
            <w:vAlign w:val="bottom"/>
            <w:tcBorders>
              <w:bottom w:val="single" w:sz="8" w:color="231F20"/>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221F1F"/>
                <w:w w:val="99"/>
              </w:rPr>
              <w:t>Chief Executive Officer, President, and Director (Principal Executive Officer)</w:t>
            </w:r>
          </w:p>
        </w:tc>
        <w:tc>
          <w:tcPr>
            <w:tcW w:w="0" w:type="dxa"/>
            <w:vAlign w:val="bottom"/>
          </w:tcPr>
          <w:p>
            <w:pPr>
              <w:spacing w:after="0"/>
              <w:rPr>
                <w:sz w:val="1"/>
                <w:szCs w:val="1"/>
                <w:color w:val="auto"/>
              </w:rPr>
            </w:pPr>
          </w:p>
        </w:tc>
      </w:tr>
      <w:tr>
        <w:trPr>
          <w:trHeight w:val="8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21F1F"/>
              </w:rPr>
              <w:t>Professor Amnon Shashua</w:t>
            </w:r>
          </w:p>
        </w:tc>
        <w:tc>
          <w:tcPr>
            <w:tcW w:w="220" w:type="dxa"/>
            <w:vAlign w:val="bottom"/>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231F20"/>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221F1F"/>
              </w:rPr>
              <w:t xml:space="preserve">Chief Financial Officer (Principal Financial and </w:t>
            </w:r>
            <w:r>
              <w:rPr>
                <w:rFonts w:ascii="Times New Roman" w:cs="Times New Roman" w:eastAsia="Times New Roman" w:hAnsi="Times New Roman"/>
                <w:sz w:val="18"/>
                <w:szCs w:val="18"/>
                <w:color w:val="000000"/>
              </w:rPr>
              <w:t>Accounting Officer)</w:t>
            </w:r>
          </w:p>
        </w:tc>
        <w:tc>
          <w:tcPr>
            <w:tcW w:w="0" w:type="dxa"/>
            <w:vAlign w:val="bottom"/>
          </w:tcPr>
          <w:p>
            <w:pPr>
              <w:spacing w:after="0"/>
              <w:rPr>
                <w:sz w:val="1"/>
                <w:szCs w:val="1"/>
                <w:color w:val="auto"/>
              </w:rPr>
            </w:pPr>
          </w:p>
        </w:tc>
      </w:tr>
      <w:tr>
        <w:trPr>
          <w:trHeight w:val="8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21F1F"/>
              </w:rPr>
              <w:t>Anat Heller</w:t>
            </w:r>
          </w:p>
        </w:tc>
        <w:tc>
          <w:tcPr>
            <w:tcW w:w="220" w:type="dxa"/>
            <w:vAlign w:val="bottom"/>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231F20"/>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221F1F"/>
              </w:rPr>
              <w:t>Chair of the Board of Directors</w:t>
            </w:r>
          </w:p>
        </w:tc>
        <w:tc>
          <w:tcPr>
            <w:tcW w:w="0" w:type="dxa"/>
            <w:vAlign w:val="bottom"/>
          </w:tcPr>
          <w:p>
            <w:pPr>
              <w:spacing w:after="0"/>
              <w:rPr>
                <w:sz w:val="1"/>
                <w:szCs w:val="1"/>
                <w:color w:val="auto"/>
              </w:rPr>
            </w:pPr>
          </w:p>
        </w:tc>
      </w:tr>
      <w:tr>
        <w:trPr>
          <w:trHeight w:val="8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21F1F"/>
              </w:rPr>
              <w:t>Patrick P. Gelsinger</w:t>
            </w:r>
          </w:p>
        </w:tc>
        <w:tc>
          <w:tcPr>
            <w:tcW w:w="220" w:type="dxa"/>
            <w:vAlign w:val="bottom"/>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221F1F"/>
              </w:rPr>
              <w:t>*By:   /s/ Professor Amnon Shashua</w:t>
            </w: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2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8"/>
                <w:szCs w:val="18"/>
                <w:color w:val="221F1F"/>
              </w:rPr>
              <w:t>Professor Amnon Shashua, Attorney-In-Fact</w:t>
            </w:r>
          </w:p>
        </w:tc>
        <w:tc>
          <w:tcPr>
            <w:tcW w:w="220" w:type="dxa"/>
            <w:vAlign w:val="bottom"/>
            <w:tcBorders>
              <w:top w:val="single" w:sz="8" w:color="231F20"/>
            </w:tcBorders>
          </w:tcPr>
          <w:p>
            <w:pPr>
              <w:spacing w:after="0"/>
              <w:rPr>
                <w:sz w:val="19"/>
                <w:szCs w:val="19"/>
                <w:color w:val="auto"/>
              </w:rPr>
            </w:pP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w:t>
      </w:r>
      <w:r>
        <w:rPr>
          <w:rFonts w:ascii="Times New Roman" w:cs="Times New Roman" w:eastAsia="Times New Roman" w:hAnsi="Times New Roman"/>
          <w:sz w:val="17"/>
          <w:szCs w:val="17"/>
          <w:color w:val="auto"/>
        </w:rPr>
        <w:t>kadden</w:t>
      </w:r>
      <w:r>
        <w:rPr>
          <w:rFonts w:ascii="Times New Roman" w:cs="Times New Roman" w:eastAsia="Times New Roman" w:hAnsi="Times New Roman"/>
          <w:sz w:val="25"/>
          <w:szCs w:val="25"/>
          <w:color w:val="auto"/>
        </w:rPr>
        <w:t>, A</w:t>
      </w:r>
      <w:r>
        <w:rPr>
          <w:rFonts w:ascii="Times New Roman" w:cs="Times New Roman" w:eastAsia="Times New Roman" w:hAnsi="Times New Roman"/>
          <w:sz w:val="17"/>
          <w:szCs w:val="17"/>
          <w:color w:val="auto"/>
        </w:rPr>
        <w:t>rps</w:t>
      </w:r>
      <w:r>
        <w:rPr>
          <w:rFonts w:ascii="Times New Roman" w:cs="Times New Roman" w:eastAsia="Times New Roman" w:hAnsi="Times New Roman"/>
          <w:sz w:val="25"/>
          <w:szCs w:val="25"/>
          <w:color w:val="auto"/>
        </w:rPr>
        <w:t>, S</w:t>
      </w:r>
      <w:r>
        <w:rPr>
          <w:rFonts w:ascii="Times New Roman" w:cs="Times New Roman" w:eastAsia="Times New Roman" w:hAnsi="Times New Roman"/>
          <w:sz w:val="17"/>
          <w:szCs w:val="17"/>
          <w:color w:val="auto"/>
        </w:rPr>
        <w:t>late</w:t>
      </w:r>
      <w:r>
        <w:rPr>
          <w:rFonts w:ascii="Times New Roman" w:cs="Times New Roman" w:eastAsia="Times New Roman" w:hAnsi="Times New Roman"/>
          <w:sz w:val="25"/>
          <w:szCs w:val="25"/>
          <w:color w:val="auto"/>
        </w:rPr>
        <w:t>, M</w:t>
      </w:r>
      <w:r>
        <w:rPr>
          <w:rFonts w:ascii="Times New Roman" w:cs="Times New Roman" w:eastAsia="Times New Roman" w:hAnsi="Times New Roman"/>
          <w:sz w:val="17"/>
          <w:szCs w:val="17"/>
          <w:color w:val="auto"/>
        </w:rPr>
        <w:t>eagher</w:t>
      </w:r>
      <w:r>
        <w:rPr>
          <w:rFonts w:ascii="Times New Roman" w:cs="Times New Roman" w:eastAsia="Times New Roman" w:hAnsi="Times New Roman"/>
          <w:sz w:val="25"/>
          <w:szCs w:val="25"/>
          <w:color w:val="auto"/>
        </w:rPr>
        <w:t xml:space="preserve"> &amp; F</w:t>
      </w:r>
      <w:r>
        <w:rPr>
          <w:rFonts w:ascii="Times New Roman" w:cs="Times New Roman" w:eastAsia="Times New Roman" w:hAnsi="Times New Roman"/>
          <w:sz w:val="17"/>
          <w:szCs w:val="17"/>
          <w:color w:val="auto"/>
        </w:rPr>
        <w:t>lom</w:t>
      </w:r>
      <w:r>
        <w:rPr>
          <w:rFonts w:ascii="Times New Roman" w:cs="Times New Roman" w:eastAsia="Times New Roman" w:hAnsi="Times New Roman"/>
          <w:sz w:val="25"/>
          <w:szCs w:val="25"/>
          <w:color w:val="auto"/>
        </w:rPr>
        <w:t xml:space="preserve"> LLP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 S</w:t>
      </w:r>
      <w:r>
        <w:rPr>
          <w:rFonts w:ascii="Times New Roman" w:cs="Times New Roman" w:eastAsia="Times New Roman" w:hAnsi="Times New Roman"/>
          <w:sz w:val="12"/>
          <w:szCs w:val="12"/>
          <w:color w:val="auto"/>
        </w:rPr>
        <w:t>outh</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venue</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uite</w:t>
      </w:r>
      <w:r>
        <w:rPr>
          <w:rFonts w:ascii="Times New Roman" w:cs="Times New Roman" w:eastAsia="Times New Roman" w:hAnsi="Times New Roman"/>
          <w:sz w:val="18"/>
          <w:szCs w:val="18"/>
          <w:color w:val="auto"/>
        </w:rPr>
        <w:t xml:space="preserve"> 3400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ngeles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8"/>
          <w:szCs w:val="18"/>
          <w:color w:val="auto"/>
        </w:rPr>
        <w:t xml:space="preserve"> 90071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142875</wp:posOffset>
            </wp:positionV>
            <wp:extent cx="360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 Hotzvim, 13 Hartom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45157 Jerusalem 9777513, Israel</w:t>
      </w:r>
    </w:p>
    <w:p>
      <w:pPr>
        <w:spacing w:after="0" w:line="207"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194"/>
        </w:trPr>
        <w:tc>
          <w:tcPr>
            <w:tcW w:w="640" w:type="dxa"/>
            <w:vAlign w:val="bottom"/>
          </w:tcPr>
          <w:p>
            <w:pPr>
              <w:spacing w:after="0"/>
              <w:rPr>
                <w:sz w:val="16"/>
                <w:szCs w:val="16"/>
                <w:color w:val="auto"/>
              </w:rPr>
            </w:pPr>
          </w:p>
        </w:tc>
        <w:tc>
          <w:tcPr>
            <w:tcW w:w="2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Registration Statement on Form S-1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United States counsel to Intel Corporation, a Delaware corporation (“</w:t>
      </w:r>
      <w:r>
        <w:rPr>
          <w:rFonts w:ascii="Times New Roman" w:cs="Times New Roman" w:eastAsia="Times New Roman" w:hAnsi="Times New Roman"/>
          <w:sz w:val="18"/>
          <w:szCs w:val="18"/>
          <w:u w:val="single" w:color="auto"/>
          <w:color w:val="auto"/>
        </w:rPr>
        <w:t>Intel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 Client</w:t>
      </w:r>
      <w:r>
        <w:rPr>
          <w:rFonts w:ascii="Times New Roman" w:cs="Times New Roman" w:eastAsia="Times New Roman" w:hAnsi="Times New Roman"/>
          <w:sz w:val="18"/>
          <w:szCs w:val="18"/>
          <w:color w:val="auto"/>
        </w:rPr>
        <w:t>”), in connection with the public offering by Mobileye Global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47,150,000 shares of Class A common stock, par value $0.01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Company (including up to 6,150,000 shares of Class A Common Stock subject to an over-allotment option)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registration statement on Form S-1 (File No. 333-267685) of the Company relating to the Shares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September 30, 2022 under the Securities Act, and Pre-Effective Amendment No. 1 thereto,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deemed to be a part of the registration statement pursuant to Rule 430A of the General Rules and Regulations under the Securities Act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which registration statement was declared effective by the Commission on October 25, 2022 (such registration statement, as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being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40" w:firstLine="1296"/>
        <w:spacing w:after="0" w:line="312" w:lineRule="auto"/>
        <w:rPr>
          <w:sz w:val="20"/>
          <w:szCs w:val="20"/>
          <w:color w:val="auto"/>
        </w:rPr>
      </w:pPr>
      <w:r>
        <w:rPr>
          <w:rFonts w:ascii="Times New Roman" w:cs="Times New Roman" w:eastAsia="Times New Roman" w:hAnsi="Times New Roman"/>
          <w:sz w:val="17"/>
          <w:szCs w:val="17"/>
          <w:color w:val="auto"/>
        </w:rPr>
        <w:t>(b)            the registration statement on Form S-1 for the purpose of registering with the Commission pursuant to Rule 462(b) under the Securities Act an additional $47,150,000 of shares of Class A Common Stock, relating to the Registration Statement (the “462(b) Registration Statement”);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prospectus, dated October 18, 2022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which forms a part of and is included in the Registration Statement;</w:t>
      </w:r>
    </w:p>
    <w:p>
      <w:pPr>
        <w:spacing w:after="0" w:line="225" w:lineRule="exact"/>
        <w:rPr>
          <w:sz w:val="20"/>
          <w:szCs w:val="20"/>
          <w:color w:val="auto"/>
        </w:rPr>
      </w:pPr>
    </w:p>
    <w:p>
      <w:pPr>
        <w:ind w:right="520" w:firstLine="1296"/>
        <w:spacing w:after="0" w:line="266" w:lineRule="auto"/>
        <w:rPr>
          <w:sz w:val="20"/>
          <w:szCs w:val="20"/>
          <w:color w:val="auto"/>
        </w:rPr>
      </w:pPr>
      <w:r>
        <w:rPr>
          <w:rFonts w:ascii="Times New Roman" w:cs="Times New Roman" w:eastAsia="Times New Roman" w:hAnsi="Times New Roman"/>
          <w:sz w:val="18"/>
          <w:szCs w:val="18"/>
          <w:color w:val="auto"/>
        </w:rPr>
        <w:t>(d)            the form of the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proposed to be entered into among the Company, Goldman Sachs &amp; Co. LLC and Morgan Stanley &amp; Co. LLC, as representatives of the several Underwriters named in Schedule I thereto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the sale by the Company to the Underwriters of the Shares, filed as Exhibit 1.1 to the Registration Statement;</w:t>
      </w:r>
    </w:p>
    <w:p>
      <w:pPr>
        <w:spacing w:after="0" w:line="176"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(e)            an executed copy of a certificate of Patrick Bombach, former President and Secretary of the Company, dated the date hereof (the “</w:t>
      </w:r>
      <w:r>
        <w:rPr>
          <w:rFonts w:ascii="Times New Roman" w:cs="Times New Roman" w:eastAsia="Times New Roman" w:hAnsi="Times New Roman"/>
          <w:sz w:val="18"/>
          <w:szCs w:val="18"/>
          <w:u w:val="single" w:color="auto"/>
          <w:color w:val="auto"/>
        </w:rPr>
        <w:t>Former Secretary’s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(f)            an executed copy of a certificate of Liz Cohen-Yerushalmi, Chief Legal Officer, General Counsel and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an executed copy of a certificate of Patrick Bombach, Assistant Secretary of Intel, dated the date hereof (the “</w:t>
      </w:r>
      <w:r>
        <w:rPr>
          <w:rFonts w:ascii="Times New Roman" w:cs="Times New Roman" w:eastAsia="Times New Roman" w:hAnsi="Times New Roman"/>
          <w:sz w:val="18"/>
          <w:szCs w:val="18"/>
          <w:u w:val="single" w:color="auto"/>
          <w:color w:val="auto"/>
        </w:rPr>
        <w:t>Intel Secretary’s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(h)            a copy of the Company’s Certificate of Incorporation, as amended, certified by the Secretary of State of the State of Delaware as of October 14, 2022 and certified pursuant to the Secretary’s Certificate and the Former Secretary’s Certificate;</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(i)            the form of the Company’s Amended and Restated Certificate of Incorporation, to be in effect prior to the consummation of the offering of the Shares and filed as Exhibit 3.4 to the Registration Statement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(j)            a copy of the Company’s By-laws, as amended and in effect as of the date hereof and certified pursuant to the Secretary’s Certificate and the Former Secretary’s Certificate;</w:t>
      </w:r>
    </w:p>
    <w:p>
      <w:pPr>
        <w:spacing w:after="0" w:line="378"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(k)           the form of the Company’s Amended and Restated By-laws, to be in effect prior to the consummation of the offering of the Shares and filed as Exhibit 3.5 to the Registration Statement (the “</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(l)            a copy of certain resolutions of the Board of Directors of the Company, adopted on February 28, 2022 and September 30, 2022, certified pursuant to the Former Secretary’s Certificate;</w:t>
      </w:r>
    </w:p>
    <w:p>
      <w:pPr>
        <w:spacing w:after="0" w:line="162"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(m)           a copy of certain resolutions of the Board of Directors of the Company, adopted on October 17, 2022, certified pursuant to the Secretary’s Certificate; and</w:t>
      </w:r>
    </w:p>
    <w:p>
      <w:pPr>
        <w:spacing w:after="0" w:line="162"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(n)            a copy of certain resolutions of the stockholder of the Company, adopted on March 1, 2022, April 12, 2022 and September 30, 2022, and certain resolutions of the Offering Committee thereof, adopted on May 3, 2022, September 13, 2022, and certain resolutions of the Pricing Subcommittee of the Offering Committee adopted on October 16, 2022, certified pursuant to the Intel Secretary’s Certificate.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Intel and the Company and such agreements, certificates and receipts of public officials, certificates of officers or other representatives of the Intel and Company and others, and such other documents as we have deemed necessary or appropriate as a basis for the opinions stated below, including the facts and conclusions set forth in the Secretary’s Certificate and the Intel Secretary’s Certificate and the factual representations and warranties contained in the Underwriting Agreement.</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Underwriting Agreement. In addition, we have assumed that the issuance of the Shares will not violate or conflict with any agreement or instrument binding on the Company (except that we do not make this assumption with respect to the Amended and Restated Certificate of Incorporation and the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when (i)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462(b) Registration Statement, as finally amended (including all necessary post-effective amendments), has become effective under the Securities Act;</w:t>
      </w:r>
    </w:p>
    <w:p>
      <w:pPr>
        <w:spacing w:after="0" w:line="9" w:lineRule="exact"/>
        <w:rPr>
          <w:sz w:val="20"/>
          <w:szCs w:val="20"/>
          <w:color w:val="auto"/>
        </w:rPr>
      </w:pPr>
    </w:p>
    <w:p>
      <w:pPr>
        <w:ind w:firstLine="8"/>
        <w:spacing w:after="0" w:line="251"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authorized, executed and delivered by the Company and the other parties thereto; (iii) the Amended and Restated Certificate of Incorporation has been filed with the Secretary of State of the State of Delaware and has become effective and the Board of Directors of the Company, including any appropriate committee appointed thereby, has taken all necessary corporate action to adopt the Company’s Amended and Restated Bylaws and to approve the issuance and sale of the Shares and related matters, including the price per share of the Shares; (iv) the Shares are registered in the Company’s share registry and delivered upon payment of the consideration therefor determined by the Board of Directors, the Shares, when issued and sold in accordance with the provisions of the Underwriting Agreement, will be duly authorized by all requisite corporate action on the part of the Company under the DGCL and validly issued, fully paid and nonassessable, provided that the consideration therefor is not less than $0.01 per Share.</w:t>
      </w:r>
    </w:p>
    <w:p>
      <w:pPr>
        <w:spacing w:after="0" w:line="19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“Validity of Common Stock” in the Prospectus forming part of the Registration Statement. We also hereby consent to the filing of this opinion with the Commission as an exhibit to the 462(b) Registration Statement. In giving this consent, we do not thereby admit that we are within the category of persons whose consent is required under Section 7 of the Securities Act or the Rules and Regulations.</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our report dated March 2, 2022 relating to the financial statements of Mobileye Group (a business of Intel Corporation), which appears in Amendment No. 1 to the Registration Statement on Form S-1 (File No. 333-267685) of Mobileye Global Inc. We also consent to the reference to us under the heading “Experts” in Amendment No. 1 to the Registration Statement on Form S-1 (File No. 333-267685) incorporated by reference in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1018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36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1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100" w:type="dxa"/>
            <w:vAlign w:val="bottom"/>
            <w:gridSpan w:val="2"/>
            <w:vMerge w:val="continue"/>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5"/>
        </w:trPr>
        <w:tc>
          <w:tcPr>
            <w:tcW w:w="12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Forward Rule</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
              <w:spacing w:after="0" w:line="176" w:lineRule="exact"/>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20"/>
                <w:szCs w:val="20"/>
                <w:b w:val="1"/>
                <w:bCs w:val="1"/>
                <w:color w:val="auto"/>
                <w:vertAlign w:val="superscript"/>
              </w:rPr>
              <w:t>1,2</w:t>
            </w: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
              <w:spacing w:after="0" w:line="176" w:lineRule="exact"/>
              <w:rPr>
                <w:sz w:val="20"/>
                <w:szCs w:val="20"/>
                <w:color w:val="auto"/>
              </w:rPr>
            </w:pPr>
            <w:r>
              <w:rPr>
                <w:rFonts w:ascii="Times New Roman" w:cs="Times New Roman" w:eastAsia="Times New Roman" w:hAnsi="Times New Roman"/>
                <w:sz w:val="13"/>
                <w:szCs w:val="13"/>
                <w:b w:val="1"/>
                <w:bCs w:val="1"/>
                <w:color w:val="auto"/>
              </w:rPr>
              <w:t>Fee</w:t>
            </w:r>
            <w:r>
              <w:rPr>
                <w:rFonts w:ascii="Times New Roman" w:cs="Times New Roman" w:eastAsia="Times New Roman" w:hAnsi="Times New Roman"/>
                <w:sz w:val="20"/>
                <w:szCs w:val="20"/>
                <w:b w:val="1"/>
                <w:bCs w:val="1"/>
                <w:color w:val="auto"/>
                <w:vertAlign w:val="superscript"/>
              </w:rPr>
              <w:t>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60" w:type="dxa"/>
            <w:vAlign w:val="bottom"/>
            <w:gridSpan w:val="4"/>
            <w:shd w:val="clear" w:color="auto" w:fill="CCEEFF"/>
          </w:tcPr>
          <w:p>
            <w:pPr>
              <w:ind w:left="780"/>
              <w:spacing w:after="0" w:line="129" w:lineRule="exact"/>
              <w:rPr>
                <w:sz w:val="20"/>
                <w:szCs w:val="20"/>
                <w:color w:val="auto"/>
              </w:rPr>
            </w:pPr>
            <w:r>
              <w:rPr>
                <w:rFonts w:ascii="Times New Roman" w:cs="Times New Roman" w:eastAsia="Times New Roman" w:hAnsi="Times New Roman"/>
                <w:sz w:val="14"/>
                <w:szCs w:val="14"/>
                <w:color w:val="auto"/>
              </w:rPr>
              <w:t>Newly Registered Securities</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jc w:val="center"/>
              <w:ind w:right="48"/>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1120" w:type="dxa"/>
            <w:vAlign w:val="bottom"/>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Class A common</w:t>
            </w:r>
          </w:p>
        </w:tc>
        <w:tc>
          <w:tcPr>
            <w:tcW w:w="13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stock, par value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$0.01 per share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47,150,000.00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.00011020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5,195.93</w:t>
            </w: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Fees Previously</w:t>
            </w:r>
          </w:p>
        </w:tc>
        <w:tc>
          <w:tcPr>
            <w:tcW w:w="1120" w:type="dxa"/>
            <w:vAlign w:val="bottom"/>
            <w:shd w:val="clear" w:color="auto" w:fill="CCEEFF"/>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gridSpan w:val="3"/>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Class A common</w:t>
            </w:r>
          </w:p>
        </w:tc>
        <w:tc>
          <w:tcPr>
            <w:tcW w:w="1360" w:type="dxa"/>
            <w:vAlign w:val="bottom"/>
            <w:gridSpan w:val="2"/>
            <w:shd w:val="clear" w:color="auto" w:fill="CCEEFF"/>
          </w:tcPr>
          <w:p>
            <w:pPr>
              <w:jc w:val="center"/>
              <w:ind w:right="180"/>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stock, par value</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$0.01 per share</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1,000,000,000.00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92,700.00</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gridSpan w:val="5"/>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47,150,000.00</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5,195.93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spacing w:after="0"/>
              <w:rPr>
                <w:sz w:val="12"/>
                <w:szCs w:val="12"/>
                <w:color w:val="auto"/>
              </w:rPr>
            </w:pPr>
          </w:p>
        </w:tc>
        <w:tc>
          <w:tcPr>
            <w:tcW w:w="2760" w:type="dxa"/>
            <w:vAlign w:val="bottom"/>
            <w:gridSpan w:val="6"/>
            <w:shd w:val="clear" w:color="auto" w:fill="CCEEFF"/>
          </w:tcPr>
          <w:p>
            <w:pPr>
              <w:jc w:val="center"/>
              <w:ind w:left="928"/>
              <w:spacing w:after="0" w:line="142"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92,700.00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4"/>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5,195.93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4"/>
          <w:szCs w:val="14"/>
          <w:color w:val="auto"/>
        </w:rPr>
        <w:t>Estimated solely for the purpose of calculating the registration fee in accordance with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340" w:hanging="332"/>
        <w:spacing w:after="0" w:line="211" w:lineRule="auto"/>
        <w:tabs>
          <w:tab w:leader="none" w:pos="34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4"/>
          <w:szCs w:val="14"/>
          <w:color w:val="auto"/>
        </w:rPr>
        <w:t>Includes shares of our common stock subject to the underwriters' option to purchase additional shares.</w:t>
      </w:r>
    </w:p>
    <w:p>
      <w:pPr>
        <w:spacing w:after="0" w:line="177" w:lineRule="exact"/>
        <w:rPr>
          <w:sz w:val="20"/>
          <w:szCs w:val="20"/>
          <w:color w:val="auto"/>
        </w:rPr>
      </w:pPr>
    </w:p>
    <w:p>
      <w:pPr>
        <w:ind w:left="340" w:right="40" w:hanging="332"/>
        <w:spacing w:after="0" w:line="212" w:lineRule="auto"/>
        <w:tabs>
          <w:tab w:leader="none" w:pos="340" w:val="left"/>
        </w:tabs>
        <w:numPr>
          <w:ilvl w:val="0"/>
          <w:numId w:val="6"/>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4"/>
          <w:szCs w:val="14"/>
          <w:color w:val="auto"/>
        </w:rPr>
        <w:t>The Registrant previously registered securities with a proposed maximum aggregate offering price of $943,000,000 on its registration statement on Form S-1, as amended (File No. 333-267685) (the “Prior Registration Statement”), which was declared effective by the Securities and Exchange Commission on October 25, 2022. In accordance with Rule 462(b) under the Securities Act of 1933, as amended, an additional amount of securities having a proposed maximum aggregate offering price of $47,150,000 is hereby registered, which includes shares of Class A common stock subject to the underwriters’ option to purchase additional shares. No separate registration fee is required because the registrant previously paid $92,700 in connection with the initial filing on September 30, 2022 of the Prior Registration Statement for a proposed maximum aggregate offering price of $1,000,000,000 at a registration fee rate of $92.70 per million. Currently $6,281.40 of the registration fees included on the initial filing of the Prior Registration Statement remain available to the registrant, of which $5,195.93 are being applied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07"/>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18" Type="http://schemas.openxmlformats.org/officeDocument/2006/relationships/hyperlink" Target="https://www.sec.gov/Archives/edgar/data/1910139/000110465922104640/tm227410-15_s1.htm" TargetMode="External"/><Relationship Id="rId21" Type="http://schemas.openxmlformats.org/officeDocument/2006/relationships/hyperlink" Target="https://www.sec.gov/Archives/edgar/data/1910139/000110465922104640/tm227410-15_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2022-10-25T20:45:44Z</dcterms:created>
  <dcterms:modified xsi:type="dcterms:W3CDTF">2022-10-25T20:45:44Z</dcterms:modified>
</cp:coreProperties>
</file>