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311150</wp:posOffset>
            </wp:positionV>
            <wp:extent cx="173164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Mobileye Global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400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001-41541</w:t>
            </w:r>
          </w:p>
        </w:tc>
        <w:tc>
          <w:tcPr>
            <w:tcW w:w="36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88-0666433</w:t>
            </w:r>
          </w:p>
        </w:tc>
        <w:tc>
          <w:tcPr>
            <w:tcW w:w="0" w:type="dxa"/>
            <w:vAlign w:val="bottom"/>
          </w:tcPr>
          <w:p>
            <w:pPr>
              <w:spacing w:after="0"/>
              <w:rPr>
                <w:sz w:val="1"/>
                <w:szCs w:val="1"/>
                <w:color w:val="auto"/>
              </w:rPr>
            </w:pPr>
          </w:p>
        </w:tc>
      </w:tr>
      <w:tr>
        <w:trPr>
          <w:trHeight w:val="216"/>
        </w:trPr>
        <w:tc>
          <w:tcPr>
            <w:tcW w:w="400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3680" w:type="dxa"/>
            <w:vAlign w:val="bottom"/>
            <w:vMerge w:val="restart"/>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c>
          <w:tcPr>
            <w:tcW w:w="0" w:type="dxa"/>
            <w:vAlign w:val="bottom"/>
          </w:tcPr>
          <w:p>
            <w:pPr>
              <w:spacing w:after="0"/>
              <w:rPr>
                <w:sz w:val="1"/>
                <w:szCs w:val="1"/>
                <w:color w:val="auto"/>
              </w:rPr>
            </w:pPr>
          </w:p>
        </w:tc>
      </w:tr>
      <w:tr>
        <w:trPr>
          <w:trHeight w:val="130"/>
        </w:trPr>
        <w:tc>
          <w:tcPr>
            <w:tcW w:w="4000" w:type="dxa"/>
            <w:vAlign w:val="bottom"/>
            <w:vMerge w:val="restart"/>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240" w:type="dxa"/>
            <w:vAlign w:val="bottom"/>
            <w:vMerge w:val="restart"/>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3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3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3"/>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 Mobileye B.V.</w:t>
            </w:r>
          </w:p>
        </w:tc>
        <w:tc>
          <w:tcPr>
            <w:tcW w:w="22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Har Hotzvim, Shlomo Momo HaLevi Street 1</w:t>
            </w:r>
          </w:p>
        </w:tc>
        <w:tc>
          <w:tcPr>
            <w:tcW w:w="22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Jerusalem, Israel</w:t>
            </w:r>
          </w:p>
        </w:tc>
        <w:tc>
          <w:tcPr>
            <w:tcW w:w="2240" w:type="dxa"/>
            <w:vAlign w:val="bottom"/>
          </w:tcPr>
          <w:p>
            <w:pPr>
              <w:spacing w:after="0"/>
              <w:rPr>
                <w:sz w:val="18"/>
                <w:szCs w:val="18"/>
                <w:color w:val="auto"/>
              </w:rPr>
            </w:pPr>
          </w:p>
        </w:tc>
        <w:tc>
          <w:tcPr>
            <w:tcW w:w="3680" w:type="dxa"/>
            <w:vAlign w:val="bottom"/>
          </w:tcPr>
          <w:p>
            <w:pPr>
              <w:jc w:val="right"/>
              <w:ind w:right="1930"/>
              <w:spacing w:after="0"/>
              <w:rPr>
                <w:sz w:val="20"/>
                <w:szCs w:val="20"/>
                <w:color w:val="auto"/>
              </w:rPr>
            </w:pPr>
            <w:r>
              <w:rPr>
                <w:rFonts w:ascii="Times New Roman" w:cs="Times New Roman" w:eastAsia="Times New Roman" w:hAnsi="Times New Roman"/>
                <w:sz w:val="18"/>
                <w:szCs w:val="18"/>
                <w:b w:val="1"/>
                <w:bCs w:val="1"/>
                <w:color w:val="auto"/>
              </w:rPr>
              <w:t>9777015</w:t>
            </w:r>
          </w:p>
        </w:tc>
        <w:tc>
          <w:tcPr>
            <w:tcW w:w="0" w:type="dxa"/>
            <w:vAlign w:val="bottom"/>
          </w:tcPr>
          <w:p>
            <w:pPr>
              <w:spacing w:after="0"/>
              <w:rPr>
                <w:sz w:val="1"/>
                <w:szCs w:val="1"/>
                <w:color w:val="auto"/>
              </w:rPr>
            </w:pPr>
          </w:p>
        </w:tc>
      </w:tr>
      <w:tr>
        <w:trPr>
          <w:trHeight w:val="238"/>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40" w:type="dxa"/>
            <w:vAlign w:val="bottom"/>
          </w:tcPr>
          <w:p>
            <w:pPr>
              <w:spacing w:after="0"/>
              <w:rPr>
                <w:sz w:val="20"/>
                <w:szCs w:val="20"/>
                <w:color w:val="auto"/>
              </w:rPr>
            </w:pPr>
          </w:p>
        </w:tc>
        <w:tc>
          <w:tcPr>
            <w:tcW w:w="368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(Zip code)</w:t>
            </w:r>
          </w:p>
        </w:tc>
        <w:tc>
          <w:tcPr>
            <w:tcW w:w="0" w:type="dxa"/>
            <w:vAlign w:val="bottom"/>
          </w:tcPr>
          <w:p>
            <w:pPr>
              <w:spacing w:after="0"/>
              <w:rPr>
                <w:sz w:val="1"/>
                <w:szCs w:val="1"/>
                <w:color w:val="auto"/>
              </w:rPr>
            </w:pPr>
          </w:p>
        </w:tc>
      </w:tr>
    </w:tbl>
    <w:p>
      <w:pPr>
        <w:spacing w:after="0" w:line="2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Liz Cohen-Yerushalmi</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+972-2-541-7333</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727"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i w:val="1"/>
          <w:iCs w:val="1"/>
          <w:color w:val="auto"/>
        </w:rPr>
        <w:t>Item 1.01</w:t>
      </w:r>
      <w:r>
        <w:rPr>
          <w:sz w:val="20"/>
          <w:szCs w:val="20"/>
          <w:color w:val="auto"/>
        </w:rPr>
        <w:tab/>
      </w:r>
      <w:r>
        <w:rPr>
          <w:rFonts w:ascii="Times New Roman" w:cs="Times New Roman" w:eastAsia="Times New Roman" w:hAnsi="Times New Roman"/>
          <w:sz w:val="17"/>
          <w:szCs w:val="17"/>
          <w:b w:val="1"/>
          <w:bCs w:val="1"/>
          <w:i w:val="1"/>
          <w:iCs w:val="1"/>
          <w:color w:val="auto"/>
        </w:rPr>
        <w:t>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This Specialized Disclosure Report on Form SD and the Conflict Minerals Report, filed as Exhibit 1.01 hereto, are publicly available at </w:t>
      </w:r>
      <w:r>
        <w:rPr>
          <w:rFonts w:ascii="Times New Roman" w:cs="Times New Roman" w:eastAsia="Times New Roman" w:hAnsi="Times New Roman"/>
          <w:sz w:val="18"/>
          <w:szCs w:val="18"/>
          <w:i w:val="1"/>
          <w:iCs w:val="1"/>
          <w:color w:val="auto"/>
        </w:rPr>
        <w:t xml:space="preserve">https://ir.mobileye.com/financial-information/sec-filings </w:t>
      </w:r>
      <w:r>
        <w:rPr>
          <w:rFonts w:ascii="Times New Roman" w:cs="Times New Roman" w:eastAsia="Times New Roman" w:hAnsi="Times New Roman"/>
          <w:sz w:val="18"/>
          <w:szCs w:val="18"/>
          <w:color w:val="auto"/>
        </w:rPr>
        <w:t>as well as the SEC’s EDGAR database at</w:t>
      </w:r>
      <w:r>
        <w:rPr>
          <w:rFonts w:ascii="Times New Roman" w:cs="Times New Roman" w:eastAsia="Times New Roman" w:hAnsi="Times New Roman"/>
          <w:sz w:val="18"/>
          <w:szCs w:val="18"/>
          <w:i w:val="1"/>
          <w:iCs w:val="1"/>
          <w:color w:val="auto"/>
        </w:rPr>
        <w:t xml:space="preserve"> www.sec.gov</w:t>
      </w:r>
      <w:r>
        <w:rPr>
          <w:rFonts w:ascii="Times New Roman" w:cs="Times New Roman" w:eastAsia="Times New Roman" w:hAnsi="Times New Roman"/>
          <w:sz w:val="18"/>
          <w:szCs w:val="18"/>
          <w:color w:val="auto"/>
        </w:rPr>
        <w:t>. The information contained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website is not a part of this Form SD, is provided for convenience only, and is not deemed incorporated by reference into this Form SD or any other public filing made with the SEC.</w:t>
      </w:r>
    </w:p>
    <w:p>
      <w:pPr>
        <w:spacing w:after="0" w:line="17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i w:val="1"/>
          <w:iCs w:val="1"/>
          <w:color w:val="auto"/>
        </w:rPr>
        <w:t>Item 1.02</w:t>
      </w:r>
      <w:r>
        <w:rPr>
          <w:sz w:val="20"/>
          <w:szCs w:val="20"/>
          <w:color w:val="auto"/>
        </w:rPr>
        <w:tab/>
      </w:r>
      <w:r>
        <w:rPr>
          <w:rFonts w:ascii="Times New Roman" w:cs="Times New Roman" w:eastAsia="Times New Roman" w:hAnsi="Times New Roman"/>
          <w:sz w:val="18"/>
          <w:szCs w:val="18"/>
          <w:b w:val="1"/>
          <w:bCs w:val="1"/>
          <w:i w:val="1"/>
          <w:iCs w:val="1"/>
          <w:color w:val="auto"/>
        </w:rPr>
        <w:t>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i w:val="1"/>
          <w:iCs w:val="1"/>
          <w:color w:val="auto"/>
        </w:rPr>
        <w:t>Item 3.01</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as required by Items 1.01 and 1.02 of this Form SD.</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Professor Amnon Shashua</w:t>
            </w: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29, 2026</w:t>
            </w:r>
          </w:p>
        </w:tc>
        <w:tc>
          <w:tcPr>
            <w:tcW w:w="280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Professor Amnon Shashua</w:t>
            </w:r>
          </w:p>
        </w:tc>
        <w:tc>
          <w:tcPr>
            <w:tcW w:w="130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Date</w:t>
            </w:r>
          </w:p>
        </w:tc>
        <w:tc>
          <w:tcPr>
            <w:tcW w:w="2800" w:type="dxa"/>
            <w:vAlign w:val="bottom"/>
          </w:tcPr>
          <w:p>
            <w:pPr>
              <w:spacing w:after="0"/>
              <w:rPr>
                <w:sz w:val="16"/>
                <w:szCs w:val="16"/>
                <w:color w:val="auto"/>
              </w:rPr>
            </w:pPr>
          </w:p>
        </w:tc>
      </w:tr>
      <w:tr>
        <w:trPr>
          <w:trHeight w:val="234"/>
        </w:trPr>
        <w:tc>
          <w:tcPr>
            <w:tcW w:w="4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675"/>
        </w:trPr>
        <w:tc>
          <w:tcPr>
            <w:tcW w:w="3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2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156845</wp:posOffset>
            </wp:positionV>
            <wp:extent cx="2168525" cy="436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85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ACCORD WITH RULE 13P-1 UNDER THE SECURITIES EXCHANGE ACT OF 1934</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Conflict Minerals Report (“Report”) of Mobileye Global Inc. (“Mobileye” or “we”) for the year ended December 31, 2025 is presented to comply with Rule 13p-1 under the Securities Exchange Act of 1934, as amended (the “Rule”). The Rule was adopted by the Securities and Exchange Commission (“SEC”) to implement reporting requirements related to “conflict minerals,” defined by the SEC as columbite-tantalite (coltan), cassiterite, gold, wolframite, and their derivatives, which are currently limited to tantalum, tin, and tungsten.</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Rule imposes certain reporting obligations on SEC registrants whose products contain conflict minerals that are necessary to the functionality or production of their products (referred to as “conflict minerals”). For products that contain necessary conflict minerals, the registrant must conduct in good faith a reasonable country of origin inquiry designed to determine whether any of the necessary conflict minerals originated in the Democratic Republic of the Congo (“DRC”) or an adjoining country (collectively, the “Covered Countries”). If, based on such inquiry, the registrant knows or has reason to believe that any of the necessary conflict minerals originated or may have originated in a Covered Country and may not be solely from recycled or scrap sources, the registrant must conduct due diligence to determine if the necessary conflict minerals directly or indirectly financed or benefited armed groups (as defined by the SEC in Form SD) in the Covered Countries.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Private Securities Litigation Reform Act of 1995) contained in this Report involve risks, uncertainties, and other important factors and are subject to change based on various factors, many of which are beyond our control. Among the factors that could cause actual results to differ materially are those set forth in “Item 1A. Risk Factors” in our 2025 Annual Report on Form 10-K filed with the SEC on February 12, 2026. We are not under any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Mobileye’s Responsible Minerals Program and Commitment to Responsible Sourcing</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As set forth in our Responsible Minerals Sourcing Policy, Mobileye is committed to the responsible sourcing of conflict minerals, which we define as sourcing done in an ethical and sustainable manner that safeguards the human rights of everyone in our global supply chain. Mobileye’s responsible minerals program examines human rights risks in Conflict-Affected and High-Risk Areas (“CAHRAs”) globally, as defined by the </w:t>
      </w:r>
      <w:r>
        <w:rPr>
          <w:rFonts w:ascii="Times New Roman" w:cs="Times New Roman" w:eastAsia="Times New Roman" w:hAnsi="Times New Roman"/>
          <w:sz w:val="18"/>
          <w:szCs w:val="18"/>
          <w:i w:val="1"/>
          <w:iCs w:val="1"/>
          <w:color w:val="auto"/>
        </w:rPr>
        <w:t>Organisation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Economic Co-operation and Development (OECD) Due Diligence Guidance for Responsible Supply Chains of Minerals from Conflict-Affected and High-Risk Areas, Third Edition</w:t>
      </w:r>
      <w:r>
        <w:rPr>
          <w:rFonts w:ascii="Times New Roman" w:cs="Times New Roman" w:eastAsia="Times New Roman" w:hAnsi="Times New Roman"/>
          <w:sz w:val="18"/>
          <w:szCs w:val="18"/>
          <w:color w:val="auto"/>
        </w:rPr>
        <w:t>, and related Supplements on Tin, Tantalum and Tungsten and on Gold (collectively, “OECD Guidance”).</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Many of our hardware products contain tantalum, tin, tungsten and/or gold (“3TG”) necessary to the functionality or production of those products. Conflict minerals are obtained from sources worldwide, and our desire is not to eliminate those originating in the Covered Countries and other CAHRAs, but rather to obtain conflict minerals from sources that do not directly or indirectly finance or benefit armed groups or contribute to human rights abuses. We believe that it is important for us and other companies to support responsible in-region mineral sourcing from the Covered Countries and other CAHRAs and to not negatively affect the economies of such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Products and Supply Chain Description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Mobileye systems that may contain conflict minerals necessary to their functionality or production, and which are covered in this Report, include:</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Mobileye EyeQ</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System-on-Chips (“SoCs”), such as our EyeQ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2, EyeQ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3, EyeQ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4, EyeQ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5 and EyeQ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6 SoCs;</w:t>
      </w:r>
    </w:p>
    <w:p>
      <w:pPr>
        <w:spacing w:after="0" w:line="139"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Mobileye SuperVision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system; and</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aftermarket product portfolio, including Mobileye 8 Connect, Fisheye and Shield+.</w:t>
      </w:r>
    </w:p>
    <w:p>
      <w:pPr>
        <w:spacing w:after="0" w:line="22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Mobileye sells products that are manufactured for us by other companies and products that include ready-made component parts that we or our suppliers purchase from third parties. Although many of our hardware products contain conflict minerals, we do not purchase ore or unrefined conflict minerals from mines. We are many steps removed in the supply chain from the mining of minerals and are therefore considered a “downstream” purchaser. We purchase materials used in our products from a large network of suppliers; some of those materials contribute conflict minerals necessary to the functionality or production of our products. The origin of minerals cannot be determined with any certainty once the ores are smelted, refined, and converted to ingots, bullion, or other derivatives. The smelters and refiners (referred to as “facilities”) are consolidating points for ore and are in the best position in the total supply chain to know the origin of the ores. We rely on our suppliers to assist with our reasonable country of origin inquiry and due diligence efforts, including the identification of smelters and refiners, for the minerals contained in the materials which they supply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Responsible Minerals Program</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design of Mobileye’s responsible minerals program is in conformity with the OECD Guidance specifically as it relates to our position in the minerals supply chain as a “downstream” purchaser. Summarized below are the design components of our responsible minerals program as they relate to the five-step framework from the OECD Guidance.</w:t>
      </w:r>
    </w:p>
    <w:p>
      <w:pPr>
        <w:spacing w:after="0" w:line="172" w:lineRule="exact"/>
        <w:rPr>
          <w:sz w:val="20"/>
          <w:szCs w:val="20"/>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Maintain strong company management systems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20" w:right="60" w:hanging="316"/>
        <w:spacing w:after="0" w:line="258" w:lineRule="auto"/>
        <w:tabs>
          <w:tab w:leader="none" w:pos="162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Responsible Minerals Sourcing Policy</w:t>
      </w:r>
      <w:r>
        <w:rPr>
          <w:rFonts w:ascii="Times New Roman" w:cs="Times New Roman" w:eastAsia="Times New Roman" w:hAnsi="Times New Roman"/>
          <w:sz w:val="18"/>
          <w:szCs w:val="18"/>
          <w:color w:val="auto"/>
        </w:rPr>
        <w:t xml:space="preserve">: Maintain a supply chain policy for minerals originating from CAHRAs, including conflict minerals originating from the Covered Countries. This policy outlines our commitment to responsible mineral sourcing from CAHRAs, our commitment to exercise due diligence consistent with the OECD Guidance, and expectations that our suppliers have similarly established due diligence programs. Our policy is publicly available and can be found at </w:t>
      </w:r>
      <w:r>
        <w:rPr>
          <w:rFonts w:ascii="Times New Roman" w:cs="Times New Roman" w:eastAsia="Times New Roman" w:hAnsi="Times New Roman"/>
          <w:sz w:val="18"/>
          <w:szCs w:val="18"/>
          <w:i w:val="1"/>
          <w:iCs w:val="1"/>
          <w:color w:val="auto"/>
        </w:rPr>
        <w:t>https://ir.mobileye.com/corporate-governance/governance-overview</w:t>
      </w:r>
      <w:r>
        <w:rPr>
          <w:rFonts w:ascii="Times New Roman" w:cs="Times New Roman" w:eastAsia="Times New Roman" w:hAnsi="Times New Roman"/>
          <w:sz w:val="18"/>
          <w:szCs w:val="18"/>
          <w:color w:val="auto"/>
        </w:rPr>
        <w:t>.</w:t>
      </w:r>
    </w:p>
    <w:p>
      <w:pPr>
        <w:spacing w:after="0" w:line="182" w:lineRule="exact"/>
        <w:rPr>
          <w:rFonts w:ascii="Arial" w:cs="Arial" w:eastAsia="Arial" w:hAnsi="Arial"/>
          <w:sz w:val="18"/>
          <w:szCs w:val="18"/>
          <w:b w:val="1"/>
          <w:bCs w:val="1"/>
          <w:color w:val="auto"/>
        </w:rPr>
      </w:pPr>
    </w:p>
    <w:p>
      <w:pPr>
        <w:ind w:left="1620" w:right="120" w:hanging="316"/>
        <w:spacing w:after="0" w:line="281" w:lineRule="auto"/>
        <w:tabs>
          <w:tab w:leader="none" w:pos="162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Internal Responsible Minerals team</w:t>
      </w:r>
      <w:r>
        <w:rPr>
          <w:rFonts w:ascii="Times New Roman" w:cs="Times New Roman" w:eastAsia="Times New Roman" w:hAnsi="Times New Roman"/>
          <w:sz w:val="18"/>
          <w:szCs w:val="18"/>
          <w:color w:val="auto"/>
        </w:rPr>
        <w:t>: Our responsible minerals team monitors our Responsible Minerals Sourcing Policy. We review such efforts with our senior management from our Operations team.</w:t>
      </w:r>
    </w:p>
    <w:p>
      <w:pPr>
        <w:spacing w:after="0" w:line="162" w:lineRule="exact"/>
        <w:rPr>
          <w:rFonts w:ascii="Arial" w:cs="Arial" w:eastAsia="Arial" w:hAnsi="Arial"/>
          <w:sz w:val="18"/>
          <w:szCs w:val="18"/>
          <w:b w:val="1"/>
          <w:bCs w:val="1"/>
          <w:color w:val="auto"/>
        </w:rPr>
      </w:pPr>
    </w:p>
    <w:p>
      <w:pPr>
        <w:ind w:left="1620" w:right="20" w:hanging="316"/>
        <w:spacing w:after="0" w:line="256" w:lineRule="auto"/>
        <w:tabs>
          <w:tab w:leader="none" w:pos="162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Supply chain control system</w:t>
      </w:r>
      <w:r>
        <w:rPr>
          <w:rFonts w:ascii="Times New Roman" w:cs="Times New Roman" w:eastAsia="Times New Roman" w:hAnsi="Times New Roman"/>
          <w:sz w:val="18"/>
          <w:szCs w:val="18"/>
          <w:color w:val="auto"/>
        </w:rPr>
        <w:t>: Employ a supply chain system of controls and transparency through due diligence tools such as the Conflict Minerals Reporting Template (“CMRT”), a regularly updated 3TG sourcing business intelligence report and survey designed by the Responsible Minerals Initiative (“RMI”) to identify the smelters and refiners that process the necessary conflict minerals contained in our products and the country of origin of those conflict minerals. We employ a database to assess due diligence information and maintain records relating to our responsible minerals program for at least five years, in accordance with the OECD Guidance.</w:t>
      </w:r>
    </w:p>
    <w:p>
      <w:pPr>
        <w:spacing w:after="0" w:line="186" w:lineRule="exact"/>
        <w:rPr>
          <w:rFonts w:ascii="Arial" w:cs="Arial" w:eastAsia="Arial" w:hAnsi="Arial"/>
          <w:sz w:val="18"/>
          <w:szCs w:val="18"/>
          <w:b w:val="1"/>
          <w:bCs w:val="1"/>
          <w:color w:val="auto"/>
        </w:rPr>
      </w:pPr>
    </w:p>
    <w:p>
      <w:pPr>
        <w:ind w:left="1620" w:right="200" w:hanging="316"/>
        <w:spacing w:after="0" w:line="260" w:lineRule="auto"/>
        <w:tabs>
          <w:tab w:leader="none" w:pos="162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Supplier engagement</w:t>
      </w:r>
      <w:r>
        <w:rPr>
          <w:rFonts w:ascii="Times New Roman" w:cs="Times New Roman" w:eastAsia="Times New Roman" w:hAnsi="Times New Roman"/>
          <w:sz w:val="18"/>
          <w:szCs w:val="18"/>
          <w:color w:val="auto"/>
        </w:rPr>
        <w:t>: Feature requirements related to responsible minerals sourcing in our standard template for supplier contracts and specifications so that current and future suppliers are obligated to comply with our policies on responsible minerals sourcing, including participation in a supply chain survey and related due diligence activities. We communicate our Responsible Minerals Sourcing Policy and contractual requirements to relevant suppliers annually.</w:t>
      </w:r>
    </w:p>
    <w:p>
      <w:pPr>
        <w:spacing w:after="0" w:line="182" w:lineRule="exact"/>
        <w:rPr>
          <w:rFonts w:ascii="Arial" w:cs="Arial" w:eastAsia="Arial" w:hAnsi="Arial"/>
          <w:sz w:val="18"/>
          <w:szCs w:val="18"/>
          <w:b w:val="1"/>
          <w:bCs w:val="1"/>
          <w:color w:val="auto"/>
        </w:rPr>
      </w:pPr>
    </w:p>
    <w:p>
      <w:pPr>
        <w:ind w:left="1620" w:hanging="316"/>
        <w:spacing w:after="0"/>
        <w:tabs>
          <w:tab w:leader="none" w:pos="162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Company grievance mechanism</w:t>
      </w:r>
      <w:r>
        <w:rPr>
          <w:rFonts w:ascii="Times New Roman" w:cs="Times New Roman" w:eastAsia="Times New Roman" w:hAnsi="Times New Roman"/>
          <w:sz w:val="18"/>
          <w:szCs w:val="18"/>
          <w:color w:val="auto"/>
        </w:rPr>
        <w:t>: Employees, suppliers, and other stakeholders can direct any questions or concerns relating to our</w:t>
      </w:r>
    </w:p>
    <w:p>
      <w:pPr>
        <w:spacing w:after="0" w:line="26" w:lineRule="exact"/>
        <w:rPr>
          <w:rFonts w:ascii="Arial" w:cs="Arial" w:eastAsia="Arial" w:hAnsi="Arial"/>
          <w:sz w:val="18"/>
          <w:szCs w:val="18"/>
          <w:b w:val="1"/>
          <w:bCs w:val="1"/>
          <w:color w:val="auto"/>
        </w:rPr>
      </w:pPr>
    </w:p>
    <w:p>
      <w:pPr>
        <w:ind w:left="1620" w:right="300"/>
        <w:spacing w:after="0" w:line="260"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responsible minerals program to: conflictminerals@mobileye.com. Employees also may report any concerns through our internal whistleblower reporting mechanism</w:t>
      </w:r>
      <w:r>
        <w:rPr>
          <w:rFonts w:ascii="Times New Roman" w:cs="Times New Roman" w:eastAsia="Times New Roman" w:hAnsi="Times New Roman"/>
          <w:sz w:val="18"/>
          <w:szCs w:val="18"/>
          <w:i w:val="1"/>
          <w:iCs w:val="1"/>
          <w:color w:val="auto"/>
        </w:rPr>
        <w:t>.</w:t>
      </w:r>
    </w:p>
    <w:p>
      <w:pPr>
        <w:spacing w:after="0" w:line="177" w:lineRule="exact"/>
        <w:rPr>
          <w:rFonts w:ascii="Arial" w:cs="Arial" w:eastAsia="Arial" w:hAnsi="Arial"/>
          <w:sz w:val="18"/>
          <w:szCs w:val="18"/>
          <w:b w:val="1"/>
          <w:bCs w:val="1"/>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and assess risks in our supply chain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20" w:hanging="316"/>
        <w:spacing w:after="0" w:line="256" w:lineRule="auto"/>
        <w:tabs>
          <w:tab w:leader="none" w:pos="162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Identify smelters and refiners in our supply chain</w:t>
      </w:r>
      <w:r>
        <w:rPr>
          <w:rFonts w:ascii="Times New Roman" w:cs="Times New Roman" w:eastAsia="Times New Roman" w:hAnsi="Times New Roman"/>
          <w:sz w:val="18"/>
          <w:szCs w:val="18"/>
          <w:color w:val="auto"/>
        </w:rPr>
        <w:t>: Identify direct suppliers that supply products to Mobileye that may contribute necessary conflict minerals to our products. Conduct an annual supply chain survey requesting those direct suppliers to provide a conflict minerals declaration, using the CMRT, designed to identify the conflict minerals contained in the products they supply to Mobileye, the smelters and refiners that processed those conflict minerals, and the country of origin of those conflict minerals. We evaluate the completeness and accuracy of the suppliers’ survey responses and contact suppliers whose survey response we identified as having contained incomplete or potentially inaccurate information to seek additional clarifying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1620" w:right="80" w:hanging="316"/>
        <w:spacing w:after="0" w:line="256" w:lineRule="auto"/>
        <w:tabs>
          <w:tab w:leader="none" w:pos="16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Identify the scope of the risk assessment</w:t>
      </w:r>
      <w:r>
        <w:rPr>
          <w:rFonts w:ascii="Times New Roman" w:cs="Times New Roman" w:eastAsia="Times New Roman" w:hAnsi="Times New Roman"/>
          <w:sz w:val="18"/>
          <w:szCs w:val="18"/>
          <w:color w:val="auto"/>
        </w:rPr>
        <w:t>: Our risk assessment is designed to identify risks in our supply chain. This includes direct suppliers not meeting our contractual requirements related to conflict minerals as well as smelters and refiners that are not conformant to a responsible mineral assurance program or that we have reason to believe may source conflict minerals from the Covered Countries. Through RMI, we document mineral country of origin information for the smelters and refiners identified by the supply chain survey, as provided from sources including the supply chain survey, responsible mineral assurance programs, and from publicly available sources such as smelter and refiner websites.</w:t>
      </w:r>
    </w:p>
    <w:p>
      <w:pPr>
        <w:spacing w:after="0" w:line="186" w:lineRule="exact"/>
        <w:rPr>
          <w:rFonts w:ascii="Arial" w:cs="Arial" w:eastAsia="Arial" w:hAnsi="Arial"/>
          <w:sz w:val="18"/>
          <w:szCs w:val="18"/>
          <w:b w:val="1"/>
          <w:bCs w:val="1"/>
          <w:color w:val="auto"/>
        </w:rPr>
      </w:pPr>
    </w:p>
    <w:p>
      <w:pPr>
        <w:ind w:left="1620" w:right="120" w:hanging="316"/>
        <w:spacing w:after="0" w:line="258" w:lineRule="auto"/>
        <w:tabs>
          <w:tab w:leader="none" w:pos="16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Assess due diligence practices of smelters and refiners</w:t>
      </w:r>
      <w:r>
        <w:rPr>
          <w:rFonts w:ascii="Times New Roman" w:cs="Times New Roman" w:eastAsia="Times New Roman" w:hAnsi="Times New Roman"/>
          <w:sz w:val="18"/>
          <w:szCs w:val="18"/>
          <w:color w:val="auto"/>
        </w:rPr>
        <w:t xml:space="preserve">: Compare smelters and refiners identified by the supply chain survey against the list of facilities that are conformant to a responsible mineral assurance program such as the RMI’s Responsible Minerals Assurance Program (“RMAP”), and other RMI cross-recognized, independent third-party audit programs. Information regarding RMAP as well as a list of RMI cross-recognized independent third-party audit programs can be found on the RMI’s website: </w:t>
      </w:r>
      <w:r>
        <w:rPr>
          <w:rFonts w:ascii="Times New Roman" w:cs="Times New Roman" w:eastAsia="Times New Roman" w:hAnsi="Times New Roman"/>
          <w:sz w:val="18"/>
          <w:szCs w:val="18"/>
          <w:i w:val="1"/>
          <w:iCs w:val="1"/>
          <w:color w:val="auto"/>
        </w:rPr>
        <w:t>http://www.responsiblemineralsinitiative.org/minerals-due-diligence/recognized-standards-or-programs/.</w:t>
      </w:r>
    </w:p>
    <w:p>
      <w:pPr>
        <w:spacing w:after="0" w:line="178" w:lineRule="exact"/>
        <w:rPr>
          <w:rFonts w:ascii="Arial" w:cs="Arial" w:eastAsia="Arial" w:hAnsi="Arial"/>
          <w:sz w:val="18"/>
          <w:szCs w:val="18"/>
          <w:b w:val="1"/>
          <w:bCs w:val="1"/>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Execute a strategy to respond to identified risks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20" w:right="780" w:hanging="316"/>
        <w:spacing w:after="0" w:line="265" w:lineRule="auto"/>
        <w:tabs>
          <w:tab w:leader="none" w:pos="16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Report findings to senior management</w:t>
      </w:r>
      <w:r>
        <w:rPr>
          <w:rFonts w:ascii="Times New Roman" w:cs="Times New Roman" w:eastAsia="Times New Roman" w:hAnsi="Times New Roman"/>
          <w:sz w:val="18"/>
          <w:szCs w:val="18"/>
          <w:color w:val="auto"/>
        </w:rPr>
        <w:t>: Provide progress reports to our Operations team senior management summarizing information gathered during our annual supply chain survey, results from the risk assessment process and status of our risk mitigation efforts.</w:t>
      </w:r>
    </w:p>
    <w:p>
      <w:pPr>
        <w:spacing w:after="0" w:line="177" w:lineRule="exact"/>
        <w:rPr>
          <w:rFonts w:ascii="Arial" w:cs="Arial" w:eastAsia="Arial" w:hAnsi="Arial"/>
          <w:sz w:val="18"/>
          <w:szCs w:val="18"/>
          <w:b w:val="1"/>
          <w:bCs w:val="1"/>
          <w:color w:val="auto"/>
        </w:rPr>
      </w:pPr>
    </w:p>
    <w:p>
      <w:pPr>
        <w:ind w:left="1620" w:hanging="316"/>
        <w:spacing w:after="0" w:line="258" w:lineRule="auto"/>
        <w:tabs>
          <w:tab w:leader="none" w:pos="16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Devise and adopt a risk management plan</w:t>
      </w:r>
      <w:r>
        <w:rPr>
          <w:rFonts w:ascii="Times New Roman" w:cs="Times New Roman" w:eastAsia="Times New Roman" w:hAnsi="Times New Roman"/>
          <w:sz w:val="18"/>
          <w:szCs w:val="18"/>
          <w:color w:val="auto"/>
        </w:rPr>
        <w:t>: Maintain a risk management plan that includes due diligence reviews of suppliers, smelters and refiners that may be sourcing or processing conflict minerals from Covered Countries and other CAHRAs which may not be from recycled or scrap sources. Our due diligence measures are significantly based on responsible mineral assurance programs that evaluate the procurement practices of the smelters and refiners that process and provide those conflict minerals to our supply chain.</w:t>
      </w:r>
    </w:p>
    <w:p>
      <w:pPr>
        <w:spacing w:after="0" w:line="182" w:lineRule="exact"/>
        <w:rPr>
          <w:rFonts w:ascii="Arial" w:cs="Arial" w:eastAsia="Arial" w:hAnsi="Arial"/>
          <w:sz w:val="18"/>
          <w:szCs w:val="18"/>
          <w:b w:val="1"/>
          <w:bCs w:val="1"/>
          <w:color w:val="auto"/>
        </w:rPr>
      </w:pPr>
    </w:p>
    <w:p>
      <w:pPr>
        <w:ind w:left="1620" w:right="40" w:hanging="316"/>
        <w:spacing w:after="0" w:line="265" w:lineRule="auto"/>
        <w:tabs>
          <w:tab w:leader="none" w:pos="16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Implement a risk management plan</w:t>
      </w:r>
      <w:r>
        <w:rPr>
          <w:rFonts w:ascii="Times New Roman" w:cs="Times New Roman" w:eastAsia="Times New Roman" w:hAnsi="Times New Roman"/>
          <w:sz w:val="18"/>
          <w:szCs w:val="18"/>
          <w:color w:val="auto"/>
        </w:rPr>
        <w:t>: Perform risk mitigation efforts to bring suppliers into conformity with our Responsible Minerals Sourcing Policy or contractual requirements, which efforts may include working with direct suppliers to consider an alternative source for the necessary conflict minerals.</w:t>
      </w:r>
    </w:p>
    <w:p>
      <w:pPr>
        <w:spacing w:after="0" w:line="177" w:lineRule="exact"/>
        <w:rPr>
          <w:rFonts w:ascii="Arial" w:cs="Arial" w:eastAsia="Arial" w:hAnsi="Arial"/>
          <w:sz w:val="18"/>
          <w:szCs w:val="18"/>
          <w:b w:val="1"/>
          <w:bCs w:val="1"/>
          <w:color w:val="auto"/>
        </w:rPr>
      </w:pPr>
    </w:p>
    <w:p>
      <w:pPr>
        <w:ind w:left="1620" w:right="560" w:hanging="316"/>
        <w:spacing w:after="0" w:line="265" w:lineRule="auto"/>
        <w:tabs>
          <w:tab w:leader="none" w:pos="16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Ongoing risk monitoring</w:t>
      </w:r>
      <w:r>
        <w:rPr>
          <w:rFonts w:ascii="Times New Roman" w:cs="Times New Roman" w:eastAsia="Times New Roman" w:hAnsi="Times New Roman"/>
          <w:sz w:val="18"/>
          <w:szCs w:val="18"/>
          <w:color w:val="auto"/>
        </w:rPr>
        <w:t>: Monitor and track suppliers, smelters and refiners (through RMI) identified as not meeting the requirements set forth in our Responsible Minerals Sourcing Policy or contractual requirements to determine their progress in meeting those requirements.</w:t>
      </w:r>
    </w:p>
    <w:p>
      <w:pPr>
        <w:spacing w:after="0" w:line="173" w:lineRule="exact"/>
        <w:rPr>
          <w:rFonts w:ascii="Arial" w:cs="Arial" w:eastAsia="Arial" w:hAnsi="Arial"/>
          <w:sz w:val="18"/>
          <w:szCs w:val="18"/>
          <w:b w:val="1"/>
          <w:bCs w:val="1"/>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Support the development and implementation of independent third-party audits of smelters’ and refiners’ sourcing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20" w:right="20" w:hanging="316"/>
        <w:spacing w:after="0" w:line="281" w:lineRule="auto"/>
        <w:tabs>
          <w:tab w:leader="none" w:pos="16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Support responsible mineral assurance programs that carry out independent third-party audits of smelter and refiner facilities, such as the RMAP, through our membership in the RMI.</w:t>
      </w:r>
    </w:p>
    <w:p>
      <w:pPr>
        <w:spacing w:after="0" w:line="158" w:lineRule="exact"/>
        <w:rPr>
          <w:rFonts w:ascii="Arial" w:cs="Arial" w:eastAsia="Arial" w:hAnsi="Arial"/>
          <w:sz w:val="18"/>
          <w:szCs w:val="18"/>
          <w:b w:val="1"/>
          <w:bCs w:val="1"/>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 on supply chain due diligence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620" w:right="400" w:hanging="316"/>
        <w:spacing w:after="0" w:line="283" w:lineRule="auto"/>
        <w:tabs>
          <w:tab w:leader="none" w:pos="16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Publicly communicate our Responsible Minerals Sourcing Policy on our company website at </w:t>
      </w:r>
      <w:r>
        <w:rPr>
          <w:rFonts w:ascii="Times New Roman" w:cs="Times New Roman" w:eastAsia="Times New Roman" w:hAnsi="Times New Roman"/>
          <w:sz w:val="18"/>
          <w:szCs w:val="18"/>
          <w:i w:val="1"/>
          <w:iCs w:val="1"/>
          <w:color w:val="auto"/>
        </w:rPr>
        <w:t>https://ir.mobileye.com/corporate-governance/governance-overview</w:t>
      </w:r>
      <w:r>
        <w:rPr>
          <w:rFonts w:ascii="Times New Roman" w:cs="Times New Roman" w:eastAsia="Times New Roman" w:hAnsi="Times New Roman"/>
          <w:sz w:val="18"/>
          <w:szCs w:val="18"/>
          <w:color w:val="auto"/>
        </w:rPr>
        <w:t>.</w:t>
      </w:r>
    </w:p>
    <w:p>
      <w:pPr>
        <w:spacing w:after="0" w:line="160" w:lineRule="exact"/>
        <w:rPr>
          <w:rFonts w:ascii="Arial" w:cs="Arial" w:eastAsia="Arial" w:hAnsi="Arial"/>
          <w:sz w:val="18"/>
          <w:szCs w:val="18"/>
          <w:b w:val="1"/>
          <w:bCs w:val="1"/>
          <w:color w:val="auto"/>
        </w:rPr>
      </w:pPr>
    </w:p>
    <w:p>
      <w:pPr>
        <w:ind w:left="1620" w:right="2040" w:hanging="316"/>
        <w:spacing w:after="0" w:line="281" w:lineRule="auto"/>
        <w:tabs>
          <w:tab w:leader="none" w:pos="16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File a Form SD annually with the SEC. This information is publicly available on our company website at </w:t>
      </w:r>
      <w:r>
        <w:rPr>
          <w:rFonts w:ascii="Times New Roman" w:cs="Times New Roman" w:eastAsia="Times New Roman" w:hAnsi="Times New Roman"/>
          <w:sz w:val="18"/>
          <w:szCs w:val="18"/>
          <w:i w:val="1"/>
          <w:iCs w:val="1"/>
          <w:color w:val="auto"/>
        </w:rPr>
        <w:t>https://ir.mobileye.com/financial-information/sec-filings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 of any website referred to in this Report is included for general information only and is not incorporated by reference in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Reasonable Country of Origin Inquiry Efforts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2025, our reasonable country of origin inquiry (“RCOI”) efforts for conflict minerals included conducting a supply chain survey of our direct suppliers (referred to as “surveyed suppliers”) using the CMRT. The supply chain surveys requested our suppliers to identify the smelters and refiners and countries of origin of the conflict minerals in products they supply to us. We compared the smelters and refiners identified in the surveys against the lists of facilities which are conformant to a responsible mineral assurance program, such as the RMAP or RMI cross-recognized programs. RMAP and RMI cross-recognized programs provided country of origin data for conformant smelters and refiners, including on an aggregate basis in certain cases. We documented country of origin information for the smelter and refiner facilities identified by surveyed suppliers as provided from sources including the supply chain survey and responsible mineral assurance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Results of Reasonable Country of Origin Inquiry Efforts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Mobileye conducted a supply chain survey of 24 suppliers that we determined may contribute necessary conflict minerals to our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our RCOI as of May 1, 2026 are as follows:</w:t>
      </w:r>
    </w:p>
    <w:p>
      <w:pPr>
        <w:spacing w:after="0" w:line="20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100% of surveyed suppliers provided a CMRT in response to our supply chain survey request.</w:t>
      </w:r>
    </w:p>
    <w:p>
      <w:pPr>
        <w:spacing w:after="0" w:line="224" w:lineRule="exact"/>
        <w:rPr>
          <w:rFonts w:ascii="Arial" w:cs="Arial" w:eastAsia="Arial" w:hAnsi="Arial"/>
          <w:sz w:val="18"/>
          <w:szCs w:val="18"/>
          <w:b w:val="1"/>
          <w:bCs w:val="1"/>
          <w:color w:val="auto"/>
        </w:rPr>
      </w:pPr>
    </w:p>
    <w:p>
      <w:pPr>
        <w:ind w:left="660" w:right="60" w:hanging="328"/>
        <w:spacing w:after="0" w:line="281"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surveyed suppliers identified 206 operational smelter and refiner facilities which may process the necessary conflict minerals contained in the products provided to us.</w:t>
      </w:r>
    </w:p>
    <w:p>
      <w:pPr>
        <w:spacing w:after="0" w:line="162" w:lineRule="exact"/>
        <w:rPr>
          <w:rFonts w:ascii="Arial" w:cs="Arial" w:eastAsia="Arial" w:hAnsi="Arial"/>
          <w:sz w:val="18"/>
          <w:szCs w:val="18"/>
          <w:b w:val="1"/>
          <w:bCs w:val="1"/>
          <w:color w:val="auto"/>
        </w:rPr>
      </w:pPr>
    </w:p>
    <w:p>
      <w:pPr>
        <w:ind w:left="660" w:right="380" w:hanging="328"/>
        <w:spacing w:after="0" w:line="281"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know or have reason to believe that a portion of the conflict minerals processed by at least 31 of these 206 smelters and refiners may have originated in the Covered Countries and may not be solely from recycled or scrap 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 Based on Reasonable Country of Origin Inquiry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Mobileye manufactured and contracted with others to manufacture products as to which conflict minerals are necessary to the functionality or production of our products. Based on our good faith reasonable country of origin inquiry, we know or have reason to believe that during 2025 a portion of the necessary conflict minerals contained in our products originated or may have originated in the Covered Countries and know or have reason to believe that those necessary conflict minerals may not be solely from recycled or scrap sources.</w:t>
      </w:r>
    </w:p>
    <w:p>
      <w:pPr>
        <w:spacing w:after="0" w:line="180"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As a result of the above conclusion and pursuant to the Rule, we undertook due diligence measures on the source and chain of custody of the necessary conflict minerals in our products which we had reason to believe may have originated from the Covered Countries and which may not have come from recycled or scrap sources. There is significant overlap between our RCOI efforts and our due diligence measures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Due Diligence Measures Performed</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Below is a description of the measures performed for this reporting period, as of May 1, 2026, to exercise due diligence on the source and chain of custody of the necessary conflict minerals contained in our products:</w:t>
      </w:r>
    </w:p>
    <w:p>
      <w:pPr>
        <w:spacing w:after="0" w:line="162" w:lineRule="exact"/>
        <w:rPr>
          <w:sz w:val="20"/>
          <w:szCs w:val="20"/>
          <w:color w:val="auto"/>
        </w:rPr>
      </w:pPr>
    </w:p>
    <w:p>
      <w:pPr>
        <w:ind w:left="340" w:right="180" w:hanging="332"/>
        <w:spacing w:after="0" w:line="265" w:lineRule="auto"/>
        <w:tabs>
          <w:tab w:leader="none" w:pos="3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Conducted a supply chain survey of suppliers which we identified may be supplying Mobileye with products that contain necessary conflict minerals using the CMRT, requesting country of origin information regarding the necessary conflict minerals and identification of smelters and refiners that process such minerals.</w:t>
      </w:r>
    </w:p>
    <w:p>
      <w:pPr>
        <w:spacing w:after="0" w:line="177" w:lineRule="exact"/>
        <w:rPr>
          <w:rFonts w:ascii="Arial" w:cs="Arial" w:eastAsia="Arial" w:hAnsi="Arial"/>
          <w:sz w:val="18"/>
          <w:szCs w:val="18"/>
          <w:b w:val="1"/>
          <w:bCs w:val="1"/>
          <w:color w:val="auto"/>
        </w:rPr>
      </w:pPr>
    </w:p>
    <w:p>
      <w:pPr>
        <w:ind w:left="340" w:right="660" w:hanging="332"/>
        <w:spacing w:after="0" w:line="281" w:lineRule="auto"/>
        <w:tabs>
          <w:tab w:leader="none" w:pos="3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Contacted surveyed suppliers on responses to supply chain surveys that we identified as having contained incomplete or potentially inaccurate information to seek additional clarifying information.</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Received a CMRT from 100% of our surveyed suppliers in response to our supply chain survey request.</w:t>
      </w:r>
    </w:p>
    <w:p>
      <w:pPr>
        <w:spacing w:after="0" w:line="224" w:lineRule="exact"/>
        <w:rPr>
          <w:rFonts w:ascii="Arial" w:cs="Arial" w:eastAsia="Arial" w:hAnsi="Arial"/>
          <w:sz w:val="18"/>
          <w:szCs w:val="18"/>
          <w:b w:val="1"/>
          <w:bCs w:val="1"/>
          <w:color w:val="auto"/>
        </w:rPr>
      </w:pPr>
    </w:p>
    <w:p>
      <w:pPr>
        <w:ind w:left="340" w:right="360" w:hanging="332"/>
        <w:spacing w:after="0" w:line="281" w:lineRule="auto"/>
        <w:tabs>
          <w:tab w:leader="none" w:pos="3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Compared smelters and refiners identified by surveyed suppliers against the list of facilities that are conformant to a responsible mineral assurance program.</w:t>
      </w:r>
    </w:p>
    <w:p>
      <w:pPr>
        <w:spacing w:after="0" w:line="162" w:lineRule="exact"/>
        <w:rPr>
          <w:rFonts w:ascii="Arial" w:cs="Arial" w:eastAsia="Arial" w:hAnsi="Arial"/>
          <w:sz w:val="18"/>
          <w:szCs w:val="18"/>
          <w:b w:val="1"/>
          <w:bCs w:val="1"/>
          <w:color w:val="auto"/>
        </w:rPr>
      </w:pPr>
    </w:p>
    <w:p>
      <w:pPr>
        <w:ind w:left="340" w:right="740" w:hanging="332"/>
        <w:spacing w:after="0" w:line="281" w:lineRule="auto"/>
        <w:tabs>
          <w:tab w:leader="none" w:pos="3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Monitored and tracked surveyed suppliers, and smelters and refiners identified by surveyed suppliers, which we identified as not meeting our Responsible Minerals Sourcing Policy or contractual requirements, to determine their progress in meeting those requirements.</w:t>
      </w:r>
    </w:p>
    <w:p>
      <w:pPr>
        <w:spacing w:after="0" w:line="162" w:lineRule="exact"/>
        <w:rPr>
          <w:rFonts w:ascii="Arial" w:cs="Arial" w:eastAsia="Arial" w:hAnsi="Arial"/>
          <w:sz w:val="18"/>
          <w:szCs w:val="18"/>
          <w:b w:val="1"/>
          <w:bCs w:val="1"/>
          <w:color w:val="auto"/>
        </w:rPr>
      </w:pPr>
    </w:p>
    <w:p>
      <w:pPr>
        <w:ind w:left="340" w:right="640" w:hanging="332"/>
        <w:spacing w:after="0" w:line="281" w:lineRule="auto"/>
        <w:tabs>
          <w:tab w:leader="none" w:pos="3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Performed risk mitigation efforts with surveyed suppliers we identified as not in conformity with our Responsible Minerals Sourcing Policy or contractual requirements by working with them to bring them into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Results of our Due Diligence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Due Diligence Measures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downstream purchaser of products which contain conflict minerals, our due diligence measures can provide only reasonable, not absolute, assurance regarding the source and chain of custody of the necessary conflict minerals. Our due diligence processes are based on the necessity of seeking data from our direct suppliers and those suppliers seeking similar information within their supply chains to identify the original sources of the necessary conflict minerals. We also rely, to a large extent, on information collected and provided by responsible mineral assurance programs. Such sources of information, as well as any publicly available sources, may yield inaccurate or incomplete information and may be subject to fraud.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Another complicating factor is the unavailability of country of origin and chain of custody information from our suppliers on a continuous, real-time basis. The supply chain of commodities such as conflict minerals is a multi-step process operating more or less on a daily basis, with ore being delivered to smelters and refiners, with smelters and refiners smelting or refining ores into metal containing derivatives such as ingots, with the derivatives being shipped, sold and stored in numerous market locations around the world and with distributors and purchasers holding varying amounts of the derivatives in inventory for use. Since we do not have direct contractual relationships with smelters and refiners, we rely on our direct suppliers and the entire supply chain to gather and provide specific information about the date when the ore is smelted into a derivative and later shipped, stored, sold, and first entered the stream of commerce. We directly seek sourcing data on a periodic basis from our direct suppliers and through RMI, from certain smelters and refiners. We seek to use contract provisions requiring the suppliers to promptly update us in the event the sourcing data changes. Our due diligence processes are ongoing throughout the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Surveyed Supplier Due Diligence Results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Mobileye evaluated the accuracy and completeness of the responses to our supply chain surveys by our surveyed suppliers. We identified 4 surveyed suppliers whose initial survey response contained incomplete or potentially inaccurate information. We used various methods to identify the incomplete or inaccurate information in the surveyed supplier’s response, including verification checks conducted by third-party software or by members of our internal Responsible Minerals team. When an incomplete or inaccurate response was identified, we contacted the applicable surveyed supplier, identified the incomplete or inaccurate information, and requested that the surveyed supplier correct the incomplete or potentially inaccurate information and provide an updated response. All 4 surveyed suppliers provided an updated CMRT which we determined, using the same evaluation criteria, to be complete and accurate.</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Upon receiving a survey response identified to be complete and accurate based on our evaluation criteria, we further evaluated each response for conformity with our Responsible Minerals Sourcing Policy or contractual requirements. These requirements include that our surveyed suppliers must maintain a publicly available conflict minerals sourcing policy, provide a CMRT upon our request, and use smelters and refiners which are either conformant to a responsible mineral assurance program or have begun participating in such a program. We identified surveyed suppliers which were not fully compliant with all applicable requirements and monitored and tracked these suppliers’ progress in meeting the applicable requirements. We performed risk mitigation efforts by contacting each supplier, identifying action items that we requested the supplier complete, and asking the supplier to provide an updated CMRT. Our risk mitigation efforts are specifically related to meeting our Responsible Minerals Sourcing Policy or contractual requirements, with the goal of bringing each surveyed supplier into compliance with such requirements.</w:t>
      </w:r>
    </w:p>
    <w:p>
      <w:pPr>
        <w:spacing w:after="0" w:line="1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a result of these supplier due diligence activities, Mobileye determined that approximately 88% (21 out of 24) of the surveyed suppliers are, as of May 1, 2026 in compliance with the Mobileye Responsible Minerals Sourcing Requirements for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Smelter and Refiner Due Diligence Results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May 1, 2026, an aggregate of 206 operational smelters and refiners were identified by our surveyed suppliers as facilities that may process the necessary conflict minerals contained in the products these surveyed suppliers provided to Mobileye.</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Mobileye through RMI, conducted due diligence on the smelters and refiners reported during our survey process. Our due diligence activities are dominated by a continual process to determine and monitor whether the identified smelters and refiners are operational and therefore may contribute necessary conflict minerals to our final products, and whether they are conformant to a responsible mineral assurance program or have begun participating in such a program. We sought reliable information on the source and chain of custody of the conflict minerals processed by such facilities, including from publicly available sources, with the goal to determine if any of these facilities processed conflict minerals that may have originated from the Covered Countries and other CAHRAs, and may not be solely from recycled or scrap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ind w:right="200"/>
        <w:spacing w:after="0" w:line="258" w:lineRule="auto"/>
        <w:rPr>
          <w:sz w:val="20"/>
          <w:szCs w:val="20"/>
          <w:color w:val="auto"/>
        </w:rPr>
      </w:pPr>
      <w:r>
        <w:rPr>
          <w:rFonts w:ascii="Times New Roman" w:cs="Times New Roman" w:eastAsia="Times New Roman" w:hAnsi="Times New Roman"/>
          <w:sz w:val="18"/>
          <w:szCs w:val="18"/>
          <w:color w:val="auto"/>
        </w:rPr>
        <w:t>If a smelter or refiner in our supply chain was not yet conformant to a responsible mineral assurance program or had not yet begun participating in such a program, Mobileye, through RMI, and other RMI member companies proactively attempted to contact such facilities to request country of origin information for the conflict minerals the facilities processed, as well as to encourage and assist their participation in a responsible mineral assurance program. We, through RMI, monitored and tracked smelters and refiners which we identified as not being conformant to a responsible mineral assurance program or not having begun participating in such a program.</w:t>
      </w:r>
    </w:p>
    <w:p>
      <w:pPr>
        <w:spacing w:after="0" w:line="18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identified 5 smelter and refiner facilities reported in our supply chain that were not conformant to a responsible mineral assurance program. These facilities were the focus of our smelter and refiner due diligence activities for this reporting period and, as a result of our activities, we reasonably concluded that as of May 1, 2026:</w:t>
      </w:r>
    </w:p>
    <w:p>
      <w:pPr>
        <w:spacing w:after="0" w:line="176" w:lineRule="exact"/>
        <w:rPr>
          <w:sz w:val="20"/>
          <w:szCs w:val="20"/>
          <w:color w:val="auto"/>
        </w:rPr>
      </w:pPr>
    </w:p>
    <w:p>
      <w:pPr>
        <w:ind w:left="980" w:right="40" w:hanging="324"/>
        <w:spacing w:after="0" w:line="311" w:lineRule="auto"/>
        <w:tabs>
          <w:tab w:leader="none" w:pos="980" w:val="left"/>
        </w:tabs>
        <w:numPr>
          <w:ilvl w:val="0"/>
          <w:numId w:val="8"/>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Three of these 5 smelter and refiner facilities have begun participating in a responsible mineral assurance program but are not yet conformant. Based on Mobileye’s due diligence, we have no reason to believe these facilities sourced conflict minerals from the Covered Countries.</w:t>
      </w:r>
    </w:p>
    <w:p>
      <w:pPr>
        <w:spacing w:after="0" w:line="140" w:lineRule="exact"/>
        <w:rPr>
          <w:rFonts w:ascii="Arial" w:cs="Arial" w:eastAsia="Arial" w:hAnsi="Arial"/>
          <w:sz w:val="17"/>
          <w:szCs w:val="17"/>
          <w:b w:val="1"/>
          <w:bCs w:val="1"/>
          <w:color w:val="auto"/>
        </w:rPr>
      </w:pPr>
    </w:p>
    <w:p>
      <w:pPr>
        <w:ind w:left="980" w:right="120" w:hanging="324"/>
        <w:spacing w:after="0" w:line="276"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remaining 2 facilities are not participating in a responsible mineral assurance program and we have asked our suppliers to enroll them or remove them from our supply chain. These 2 reported facilities were participating in a responsible mineral assurance program at end of calendar year 2025 but became non-compliant on Jan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2026.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our due diligence activities summarized above, we determined the following as of May 1, 2026:</w:t>
      </w:r>
    </w:p>
    <w:p>
      <w:pPr>
        <w:spacing w:after="0" w:line="225" w:lineRule="exact"/>
        <w:rPr>
          <w:sz w:val="20"/>
          <w:szCs w:val="20"/>
          <w:color w:val="auto"/>
        </w:rPr>
      </w:pPr>
    </w:p>
    <w:p>
      <w:pPr>
        <w:ind w:left="980" w:right="20" w:hanging="324"/>
        <w:spacing w:after="0" w:line="281" w:lineRule="auto"/>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99% of the 206 smelters and refiners identified by our surveyed suppliers are either conformant to a responsible mineral assurance program or have begun participating in such a program.</w:t>
      </w:r>
    </w:p>
    <w:p>
      <w:pPr>
        <w:spacing w:after="0" w:line="162" w:lineRule="exact"/>
        <w:rPr>
          <w:rFonts w:ascii="Arial" w:cs="Arial" w:eastAsia="Arial" w:hAnsi="Arial"/>
          <w:sz w:val="18"/>
          <w:szCs w:val="18"/>
          <w:b w:val="1"/>
          <w:bCs w:val="1"/>
          <w:color w:val="auto"/>
        </w:rPr>
      </w:pPr>
    </w:p>
    <w:p>
      <w:pPr>
        <w:ind w:left="980" w:right="160" w:hanging="324"/>
        <w:spacing w:after="0" w:line="281" w:lineRule="auto"/>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 31 smelters and refiners which we know or have reason to believe may source conflict minerals from the Covered Countries, which may not be solely from recycled or scrap sources, are conformant to a responsible mineral assurance program.</w:t>
      </w:r>
    </w:p>
    <w:p>
      <w:pPr>
        <w:spacing w:after="0" w:line="162" w:lineRule="exact"/>
        <w:rPr>
          <w:rFonts w:ascii="Arial" w:cs="Arial" w:eastAsia="Arial" w:hAnsi="Arial"/>
          <w:sz w:val="18"/>
          <w:szCs w:val="18"/>
          <w:b w:val="1"/>
          <w:bCs w:val="1"/>
          <w:color w:val="auto"/>
        </w:rPr>
      </w:pPr>
    </w:p>
    <w:p>
      <w:pPr>
        <w:ind w:left="980" w:right="380" w:hanging="324"/>
        <w:spacing w:after="0" w:line="281" w:lineRule="auto"/>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have no reason to believe that any of the 206 smelter and refiner facilities directly or indirectly finance or benefit armed groups in the Covered Countries.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mineral country of origin information collected as of May 1, 2026, as a result of our due diligence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9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820" w:type="dxa"/>
            <w:vAlign w:val="bottom"/>
            <w:tcBorders>
              <w:top w:val="single" w:sz="8" w:color="auto"/>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Albania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Algeria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Andorra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Angola**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Anguilla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Antigua and Barbuda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Armenia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Aruba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Austria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Azerbaijan</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Bahamas</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Bangladesh</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Barbados</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Belarus</w:t>
            </w:r>
          </w:p>
        </w:tc>
        <w:tc>
          <w:tcPr>
            <w:tcW w:w="9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Benin</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695"/>
        </w:trPr>
        <w:tc>
          <w:tcPr>
            <w:tcW w:w="49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9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9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820" w:type="dxa"/>
            <w:vAlign w:val="bottom"/>
            <w:tcBorders>
              <w:top w:val="single" w:sz="8" w:color="auto"/>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Bolivia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Bosnia and Herzegovina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Brunei</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Bulgaria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Burkina Faso</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Burundi**</w:t>
            </w:r>
          </w:p>
        </w:tc>
        <w:tc>
          <w:tcPr>
            <w:tcW w:w="9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Cambodia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Cameroon</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Cayman Islands</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Chile</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Chinese Taipei</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Colombia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Congo **</w:t>
            </w:r>
          </w:p>
        </w:tc>
        <w:tc>
          <w:tcPr>
            <w:tcW w:w="9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Costa Rica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Côte d'Ivoire</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Croatia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Curacao</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Cyprus</w:t>
            </w:r>
          </w:p>
        </w:tc>
        <w:tc>
          <w:tcPr>
            <w:tcW w:w="9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Czech Republic</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Denmark</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Dominica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Dominican Republic</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Ecuador</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Egypt</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El Salvador</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Estonia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Eswatini</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Ethiopia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Fiji</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Finland</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French Guiana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Georgia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Ghana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Greece</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Greenland</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Grenada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Guatemala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Guernsey</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696"/>
        </w:trPr>
        <w:tc>
          <w:tcPr>
            <w:tcW w:w="49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9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9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820" w:type="dxa"/>
            <w:vAlign w:val="bottom"/>
            <w:tcBorders>
              <w:top w:val="single" w:sz="8" w:color="auto"/>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Guinea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Guyana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Honduras</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Hong Kong</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Hungary</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Iceland</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Ireland</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Israel</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Jamaica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Jordan</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Kazakhstan</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Kenya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Kyrgyzstan</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Laos</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Latvia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Lebanon</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Liberia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Liechtenstein</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Lithuania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Luxembourg</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Macao</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Madagascar</w:t>
            </w:r>
          </w:p>
        </w:tc>
        <w:tc>
          <w:tcPr>
            <w:tcW w:w="9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Mali</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Malta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Mauritania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Monaco</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Mongolia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Morocco</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Mozambique</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Myanmar</w:t>
            </w:r>
          </w:p>
        </w:tc>
        <w:tc>
          <w:tcPr>
            <w:tcW w:w="9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Namibia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Zealand</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Nicaragua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Niger</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Nigeria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Macedonia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695"/>
        </w:trPr>
        <w:tc>
          <w:tcPr>
            <w:tcW w:w="49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9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820" w:type="dxa"/>
            <w:vAlign w:val="bottom"/>
            <w:tcBorders>
              <w:top w:val="single" w:sz="8" w:color="auto"/>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Norway</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Oman</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Panama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Papua New Guinea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Peru</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Philippines</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Poland</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Portugal</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Puerto Rico</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Romania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Russia</w:t>
            </w:r>
          </w:p>
        </w:tc>
        <w:tc>
          <w:tcPr>
            <w:tcW w:w="9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Rwanda**</w:t>
            </w:r>
          </w:p>
        </w:tc>
        <w:tc>
          <w:tcPr>
            <w:tcW w:w="9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Saint Kitts and Nevis</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Saint Luca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Saint Vincent and Grenadines</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San Marino</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Saudi Arabia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Senegal</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Serbia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Sierra Leone</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Sint Maarten</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Slovakia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Slovenia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Solomon Islands</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Spain</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Sri Lanka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Suriname</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Sweden</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Switzerland</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Tajikistan</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Tanzania**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Trinidad and Tobago</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Tunisia</w:t>
            </w:r>
          </w:p>
        </w:tc>
        <w:tc>
          <w:tcPr>
            <w:tcW w:w="9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Turkey</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Uganda**</w:t>
            </w:r>
          </w:p>
        </w:tc>
        <w:tc>
          <w:tcPr>
            <w:tcW w:w="9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Ukraine</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Arab Emirates</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Uruguay</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Uzbekistan</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695"/>
        </w:trPr>
        <w:tc>
          <w:tcPr>
            <w:tcW w:w="49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9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9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82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Venezuela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Vietnam</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Zambia**</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1820" w:type="dxa"/>
            <w:vAlign w:val="bottom"/>
            <w:tcBorders>
              <w:bottom w:val="single" w:sz="8" w:color="auto"/>
              <w:right w:val="single" w:sz="8" w:color="auto"/>
            </w:tcBorders>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Zimbabwe</w:t>
            </w:r>
          </w:p>
        </w:tc>
        <w:tc>
          <w:tcPr>
            <w:tcW w:w="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w:t>
            </w: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Tantalum</w:t>
            </w:r>
          </w:p>
        </w:tc>
        <w:tc>
          <w:tcPr>
            <w:tcW w:w="7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r>
      <w:tr>
        <w:trPr>
          <w:trHeight w:val="4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**Covered Countries</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Smelter and Refiner Status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table below summarizes, by mineral, the numbers of operational smelter and refiner facilities, identified by our surveyed suppliers, that as of May 1, 2026:</w:t>
      </w:r>
    </w:p>
    <w:p>
      <w:pPr>
        <w:spacing w:after="0" w:line="162" w:lineRule="exact"/>
        <w:rPr>
          <w:sz w:val="20"/>
          <w:szCs w:val="20"/>
          <w:color w:val="auto"/>
        </w:rPr>
      </w:pPr>
    </w:p>
    <w:p>
      <w:pPr>
        <w:ind w:left="780" w:hanging="44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conformant to a responsible mineral assurance program (referred to as “Conformant”);</w:t>
      </w:r>
    </w:p>
    <w:p>
      <w:pPr>
        <w:spacing w:after="0" w:line="225" w:lineRule="exact"/>
        <w:rPr>
          <w:rFonts w:ascii="Times New Roman" w:cs="Times New Roman" w:eastAsia="Times New Roman" w:hAnsi="Times New Roman"/>
          <w:sz w:val="18"/>
          <w:szCs w:val="18"/>
          <w:color w:val="auto"/>
        </w:rPr>
      </w:pPr>
    </w:p>
    <w:p>
      <w:pPr>
        <w:ind w:left="780" w:right="400" w:hanging="448"/>
        <w:spacing w:after="0" w:line="282"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begun participating in a responsible mineral assurance program (referred to as “Active”; as noted above, we have no reason to believe, based on our due diligence, that these facilities process conflict minerals originating from the Covered Countries); or</w:t>
      </w:r>
    </w:p>
    <w:p>
      <w:pPr>
        <w:spacing w:after="0" w:line="161" w:lineRule="exact"/>
        <w:rPr>
          <w:rFonts w:ascii="Times New Roman" w:cs="Times New Roman" w:eastAsia="Times New Roman" w:hAnsi="Times New Roman"/>
          <w:sz w:val="18"/>
          <w:szCs w:val="18"/>
          <w:color w:val="auto"/>
        </w:rPr>
      </w:pPr>
    </w:p>
    <w:p>
      <w:pPr>
        <w:ind w:left="780" w:right="440" w:hanging="448"/>
        <w:spacing w:after="0" w:line="282"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participating in the responsible mineral assurance program (referred to as “Not Participating”; as noted above, we have no reason to believe, based on our due diligence, that these facilities process conflict minerals originating from the Covered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Identified Smelters and Refiners</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Status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Metal</w:t>
            </w:r>
          </w:p>
        </w:tc>
        <w:tc>
          <w:tcPr>
            <w:tcW w:w="130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Conformant</w:t>
            </w:r>
          </w:p>
        </w:tc>
        <w:tc>
          <w:tcPr>
            <w:tcW w:w="132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Not Participating</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Grand Total</w:t>
            </w:r>
          </w:p>
        </w:tc>
        <w:tc>
          <w:tcPr>
            <w:tcW w:w="80" w:type="dxa"/>
            <w:vAlign w:val="bottom"/>
          </w:tcPr>
          <w:p>
            <w:pPr>
              <w:spacing w:after="0"/>
              <w:rPr>
                <w:sz w:val="18"/>
                <w:szCs w:val="18"/>
                <w:color w:val="auto"/>
              </w:rPr>
            </w:pPr>
          </w:p>
        </w:tc>
      </w:tr>
      <w:tr>
        <w:trPr>
          <w:trHeight w:val="210"/>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w w:val="70"/>
              </w:rPr>
              <w:t>0</w:t>
            </w:r>
          </w:p>
        </w:tc>
        <w:tc>
          <w:tcPr>
            <w:tcW w:w="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3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Grand Total</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b w:val="1"/>
                <w:bCs w:val="1"/>
                <w:color w:val="auto"/>
                <w:w w:val="70"/>
              </w:rPr>
              <w:t>3</w:t>
            </w:r>
          </w:p>
        </w:tc>
        <w:tc>
          <w:tcPr>
            <w:tcW w:w="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table below (Table 2) lists the facilities which, to the extent known, processed the necessary conflict minerals in our products based on responses received from our surveyed suppliers as of May 1, 2026. Mobileye conducts no direct transactions and has no contractual relationship with these smelter and refiner facilities nor their sources of ore.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56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42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4140" w:type="dxa"/>
            <w:vAlign w:val="bottom"/>
            <w:tcBorders>
              <w:top w:val="single" w:sz="8" w:color="auto"/>
              <w:bottom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120" w:type="dxa"/>
            <w:vAlign w:val="bottom"/>
          </w:tcPr>
          <w:p>
            <w:pPr>
              <w:spacing w:after="0"/>
              <w:rPr>
                <w:sz w:val="19"/>
                <w:szCs w:val="19"/>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Agosi AG*</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UZBEKISTAN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Argor-Heraeus S.A.*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120" w:type="dxa"/>
            <w:vAlign w:val="bottom"/>
          </w:tcPr>
          <w:p>
            <w:pPr>
              <w:spacing w:after="0"/>
              <w:rPr>
                <w:sz w:val="18"/>
                <w:szCs w:val="18"/>
                <w:color w:val="auto"/>
              </w:rPr>
            </w:pPr>
          </w:p>
        </w:tc>
      </w:tr>
      <w:tr>
        <w:trPr>
          <w:trHeight w:val="695"/>
        </w:trPr>
        <w:tc>
          <w:tcPr>
            <w:tcW w:w="15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6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42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4140" w:type="dxa"/>
            <w:vAlign w:val="bottom"/>
            <w:tcBorders>
              <w:top w:val="single" w:sz="8" w:color="auto"/>
              <w:bottom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120" w:type="dxa"/>
            <w:vAlign w:val="bottom"/>
          </w:tcPr>
          <w:p>
            <w:pPr>
              <w:spacing w:after="0"/>
              <w:rPr>
                <w:sz w:val="19"/>
                <w:szCs w:val="19"/>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ASAHI METALFINE, Inc.*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Asahi Refining USA Inc.*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Asaka Riken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Aurubis AG, Hamburg*</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Bangalore Refinery*</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120" w:type="dxa"/>
            <w:vAlign w:val="bottom"/>
          </w:tcPr>
          <w:p>
            <w:pPr>
              <w:spacing w:after="0"/>
              <w:rPr>
                <w:sz w:val="18"/>
                <w:szCs w:val="18"/>
                <w:color w:val="auto"/>
              </w:rPr>
            </w:pPr>
          </w:p>
        </w:tc>
      </w:tr>
      <w:tr>
        <w:trPr>
          <w:trHeight w:val="191"/>
        </w:trPr>
        <w:tc>
          <w:tcPr>
            <w:tcW w:w="1560" w:type="dxa"/>
            <w:vAlign w:val="bottom"/>
            <w:tcBorders>
              <w:left w:val="single" w:sz="8" w:color="auto"/>
              <w:right w:val="single" w:sz="8" w:color="auto"/>
            </w:tcBorders>
          </w:tcPr>
          <w:p>
            <w:pPr>
              <w:spacing w:after="0"/>
              <w:rPr>
                <w:sz w:val="16"/>
                <w:szCs w:val="16"/>
                <w:color w:val="auto"/>
              </w:rPr>
            </w:pPr>
          </w:p>
        </w:tc>
        <w:tc>
          <w:tcPr>
            <w:tcW w:w="44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Bangko Sentral ng Pilipinas (Central Bank of the</w:t>
            </w:r>
          </w:p>
        </w:tc>
        <w:tc>
          <w:tcPr>
            <w:tcW w:w="41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34"/>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Philippines)*</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120" w:type="dxa"/>
            <w:vAlign w:val="bottom"/>
          </w:tcPr>
          <w:p>
            <w:pPr>
              <w:spacing w:after="0"/>
              <w:rPr>
                <w:sz w:val="20"/>
                <w:szCs w:val="20"/>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Boliden Mineral AB (Ronnskar)*</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 Hafner GmbH + Co. KG*</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Chimet S.p.A.*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Chugai Mining*</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Coimpa Industrial LTDA*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Dowa*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DSC (Do Sung Corporation)*</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Elite Industech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GG Refinery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TANZANIA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Glencore Canada Corporation - CCR Refinery*</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 by Gold Colombia*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COLOMBIA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 Corporation - The Perth Mint*</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Heimerle + Meule GmbH*</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tcPr>
          <w:p>
            <w:pPr>
              <w:spacing w:after="0"/>
              <w:rPr>
                <w:sz w:val="18"/>
                <w:szCs w:val="18"/>
                <w:color w:val="auto"/>
              </w:rPr>
            </w:pPr>
          </w:p>
        </w:tc>
      </w:tr>
      <w:tr>
        <w:trPr>
          <w:trHeight w:val="191"/>
        </w:trPr>
        <w:tc>
          <w:tcPr>
            <w:tcW w:w="1560" w:type="dxa"/>
            <w:vAlign w:val="bottom"/>
            <w:tcBorders>
              <w:left w:val="single" w:sz="8" w:color="auto"/>
              <w:right w:val="single" w:sz="8" w:color="auto"/>
            </w:tcBorders>
          </w:tcPr>
          <w:p>
            <w:pPr>
              <w:spacing w:after="0"/>
              <w:rPr>
                <w:sz w:val="16"/>
                <w:szCs w:val="16"/>
                <w:color w:val="auto"/>
              </w:rPr>
            </w:pPr>
          </w:p>
        </w:tc>
        <w:tc>
          <w:tcPr>
            <w:tcW w:w="44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Inner Mongolia Qiankun Gold and Silver Refinery Share</w:t>
            </w:r>
          </w:p>
        </w:tc>
        <w:tc>
          <w:tcPr>
            <w:tcW w:w="41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34"/>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20"/>
                <w:szCs w:val="20"/>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Istanbul Gold Refinery*</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Italpreziosi*</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 Mint*</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Copper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Kazzinc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POLAND</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Kojima Chemicals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Zinc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LS MnM Inc.*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LT Metal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Materion*</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Matsuda Sangyo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695"/>
        </w:trPr>
        <w:tc>
          <w:tcPr>
            <w:tcW w:w="15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6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42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4140" w:type="dxa"/>
            <w:vAlign w:val="bottom"/>
            <w:tcBorders>
              <w:top w:val="single" w:sz="8" w:color="auto"/>
              <w:bottom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120" w:type="dxa"/>
            <w:vAlign w:val="bottom"/>
          </w:tcPr>
          <w:p>
            <w:pPr>
              <w:spacing w:after="0"/>
              <w:rPr>
                <w:sz w:val="19"/>
                <w:szCs w:val="19"/>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Metalor Technologies S.A.*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MKS PAMP SA*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MMTC-PAMP India Pvt.,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UZBEKISTAN</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NH Recytech Company*</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Nihon Material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191"/>
        </w:trPr>
        <w:tc>
          <w:tcPr>
            <w:tcW w:w="1560" w:type="dxa"/>
            <w:vAlign w:val="bottom"/>
            <w:tcBorders>
              <w:left w:val="single" w:sz="8" w:color="auto"/>
              <w:right w:val="single" w:sz="8" w:color="auto"/>
            </w:tcBorders>
          </w:tcPr>
          <w:p>
            <w:pPr>
              <w:spacing w:after="0"/>
              <w:rPr>
                <w:sz w:val="16"/>
                <w:szCs w:val="16"/>
                <w:color w:val="auto"/>
              </w:rPr>
            </w:pPr>
          </w:p>
        </w:tc>
        <w:tc>
          <w:tcPr>
            <w:tcW w:w="44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Oegussa Oesterreichische Gold- und Silber-Scheideanstalt</w:t>
            </w:r>
          </w:p>
        </w:tc>
        <w:tc>
          <w:tcPr>
            <w:tcW w:w="41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34"/>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Gesm.b.H.*</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AUSTRIA</w:t>
            </w:r>
          </w:p>
        </w:tc>
        <w:tc>
          <w:tcPr>
            <w:tcW w:w="1120" w:type="dxa"/>
            <w:vAlign w:val="bottom"/>
          </w:tcPr>
          <w:p>
            <w:pPr>
              <w:spacing w:after="0"/>
              <w:rPr>
                <w:sz w:val="20"/>
                <w:szCs w:val="20"/>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CHILE</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PX Precinox S.A.*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Rand Refinery (Pty)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REMONDIS PMR B.V.*</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NETHERLANDS</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Royal Canadian Mint*</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SAFINA A.S.*</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CZECHIA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SungEel HiMetal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T.C.A S.p.A*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Tokuriki Honten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TOO Tau-Ken-Altyn*</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Valcambi S.A.*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WIELAND Edelmetalle GmbH*</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Yamakin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Yokohama Metal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AMG Brasil*</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 Block Metals, LLC*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696"/>
        </w:trPr>
        <w:tc>
          <w:tcPr>
            <w:tcW w:w="15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6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42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4140" w:type="dxa"/>
            <w:vAlign w:val="bottom"/>
            <w:tcBorders>
              <w:top w:val="single" w:sz="8" w:color="auto"/>
              <w:bottom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120" w:type="dxa"/>
            <w:vAlign w:val="bottom"/>
          </w:tcPr>
          <w:p>
            <w:pPr>
              <w:spacing w:after="0"/>
              <w:rPr>
                <w:sz w:val="19"/>
                <w:szCs w:val="19"/>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Jiujiang Tanbre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KEMET de Mexico*</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Materion Newton Inc.*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Mineracao Taboca S.A.*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Mitsui Kinzoku Company, Limited*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NPM Silmet OU*</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ESTONIA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PowerX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Taki Chemical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GmbH*</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Japan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Telex Metals*</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Aurubis Beerse*</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Aurubis Berango*</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 Tin Group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191"/>
        </w:trPr>
        <w:tc>
          <w:tcPr>
            <w:tcW w:w="1560" w:type="dxa"/>
            <w:vAlign w:val="bottom"/>
            <w:tcBorders>
              <w:left w:val="single" w:sz="8" w:color="auto"/>
              <w:right w:val="single" w:sz="8" w:color="auto"/>
            </w:tcBorders>
          </w:tcPr>
          <w:p>
            <w:pPr>
              <w:spacing w:after="0"/>
              <w:rPr>
                <w:sz w:val="16"/>
                <w:szCs w:val="16"/>
                <w:color w:val="auto"/>
              </w:rPr>
            </w:pPr>
          </w:p>
        </w:tc>
        <w:tc>
          <w:tcPr>
            <w:tcW w:w="44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CRM Fundicao De Metais E Comercio De Equipamentos</w:t>
            </w:r>
          </w:p>
        </w:tc>
        <w:tc>
          <w:tcPr>
            <w:tcW w:w="41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34"/>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tcPr>
          <w:p>
            <w:pPr>
              <w:spacing w:after="0"/>
              <w:rPr>
                <w:sz w:val="20"/>
                <w:szCs w:val="20"/>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CRM Synergies EMEA, S.L.U.*</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CV Ayi Jaya*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Dowa*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Empresa Metallurgica Vinto*</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BOLIVIA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Estanho de Rondonia S.A.*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Fenix Metals*</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POLAND</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695"/>
        </w:trPr>
        <w:tc>
          <w:tcPr>
            <w:tcW w:w="15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6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42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4140" w:type="dxa"/>
            <w:vAlign w:val="bottom"/>
            <w:tcBorders>
              <w:top w:val="single" w:sz="8" w:color="auto"/>
              <w:bottom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120" w:type="dxa"/>
            <w:vAlign w:val="bottom"/>
          </w:tcPr>
          <w:p>
            <w:pPr>
              <w:spacing w:after="0"/>
              <w:rPr>
                <w:sz w:val="19"/>
                <w:szCs w:val="19"/>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Guangdong Hanhe Non-ferrous Metal Limited Company*</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Luna Smelter,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Metallic Resources, Inc.*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Mineracao Taboca S.A.*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CONGO</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Minsur*</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BOLIVIA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 Kay Metal, Inc*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Artha Cipta Langgeng**</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Bangka Prima Tin*</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Cipta Persada Mulia*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Masbro Alam Stania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Mitra Stania Prima*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Premium Tin Indonesia*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Prima Timah Utama*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Rajehan Ariq*</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Timah Tbk Kundur*</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Timah Tbk Mentok*</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Rui Da Hung*</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Super Ligas*</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tcPr>
          <w:p>
            <w:pPr>
              <w:spacing w:after="0"/>
              <w:rPr>
                <w:sz w:val="18"/>
                <w:szCs w:val="18"/>
                <w:color w:val="auto"/>
              </w:rPr>
            </w:pPr>
          </w:p>
        </w:tc>
      </w:tr>
      <w:tr>
        <w:trPr>
          <w:trHeight w:val="191"/>
        </w:trPr>
        <w:tc>
          <w:tcPr>
            <w:tcW w:w="1560" w:type="dxa"/>
            <w:vAlign w:val="bottom"/>
            <w:tcBorders>
              <w:left w:val="single" w:sz="8" w:color="auto"/>
              <w:right w:val="single" w:sz="8" w:color="auto"/>
            </w:tcBorders>
          </w:tcPr>
          <w:p>
            <w:pPr>
              <w:spacing w:after="0"/>
              <w:rPr>
                <w:sz w:val="16"/>
                <w:szCs w:val="16"/>
                <w:color w:val="auto"/>
              </w:rPr>
            </w:pPr>
          </w:p>
        </w:tc>
        <w:tc>
          <w:tcPr>
            <w:tcW w:w="44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Takehara PVD Materials Plant / PVD Materials Division</w:t>
            </w:r>
          </w:p>
        </w:tc>
        <w:tc>
          <w:tcPr>
            <w:tcW w:w="41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34"/>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MITSUI MINING SMELTING*</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20"/>
                <w:szCs w:val="20"/>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Thaisarco*</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UGANDA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A.L.M.T. Corp.*</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VIETNAM</w:t>
            </w:r>
          </w:p>
        </w:tc>
        <w:tc>
          <w:tcPr>
            <w:tcW w:w="1120" w:type="dxa"/>
            <w:vAlign w:val="bottom"/>
          </w:tcPr>
          <w:p>
            <w:pPr>
              <w:spacing w:after="0"/>
              <w:rPr>
                <w:sz w:val="18"/>
                <w:szCs w:val="18"/>
                <w:color w:val="auto"/>
              </w:rPr>
            </w:pP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Cronimet Brasil Ltda*</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tcPr>
          <w:p>
            <w:pPr>
              <w:spacing w:after="0"/>
              <w:rPr>
                <w:sz w:val="18"/>
                <w:szCs w:val="18"/>
                <w:color w:val="auto"/>
              </w:rPr>
            </w:pP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spacing w:after="0"/>
              <w:rPr>
                <w:sz w:val="18"/>
                <w:szCs w:val="18"/>
                <w:color w:val="auto"/>
              </w:rPr>
            </w:pPr>
          </w:p>
        </w:tc>
      </w:tr>
      <w:tr>
        <w:trPr>
          <w:trHeight w:val="695"/>
        </w:trPr>
        <w:tc>
          <w:tcPr>
            <w:tcW w:w="15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56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42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4140" w:type="dxa"/>
            <w:vAlign w:val="bottom"/>
            <w:tcBorders>
              <w:top w:val="single" w:sz="8" w:color="auto"/>
              <w:bottom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Country†</w:t>
            </w: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H.C. Starck Tungsten GmbH*</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 New Metals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VIETNAM</w:t>
            </w: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Kennametal Fallon*</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Kennametal Huntsville*</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Lianyou Metals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Lianyou Resources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Masan High-Tech Materials*</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VIETNAM</w:t>
            </w: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Niagara Refining LLC*</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VIETNAM</w:t>
            </w: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AUSTRIA</w:t>
            </w:r>
          </w:p>
        </w:tc>
      </w:tr>
      <w:tr>
        <w:trPr>
          <w:trHeight w:val="209"/>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1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Xiamen Tungsten Co., Ltd.*</w:t>
            </w:r>
          </w:p>
        </w:tc>
        <w:tc>
          <w:tcPr>
            <w:tcW w:w="4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8"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and refiner facility names and locations as reported by the RMI as of May 1, 2026.</w:t>
      </w:r>
    </w:p>
    <w:p>
      <w:pPr>
        <w:spacing w:after="0" w:line="252" w:lineRule="exact"/>
        <w:rPr>
          <w:sz w:val="20"/>
          <w:szCs w:val="20"/>
          <w:color w:val="auto"/>
        </w:rPr>
      </w:pPr>
    </w:p>
    <w:p>
      <w:pPr>
        <w:ind w:right="2380" w:firstLine="8"/>
        <w:spacing w:after="0" w:line="514"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smelters and refiners which are conformant to a responsible mineral assurance program as of May 1, 2026. ** Denotes smelters and refiners which are participating in a responsible mineral assurance program as of May 1, 2026.</w:t>
      </w:r>
    </w:p>
    <w:p>
      <w:pPr>
        <w:spacing w:after="0"/>
        <w:rPr>
          <w:sz w:val="20"/>
          <w:szCs w:val="20"/>
          <w:color w:val="auto"/>
        </w:rPr>
      </w:pPr>
      <w:r>
        <w:rPr>
          <w:rFonts w:ascii="Times New Roman" w:cs="Times New Roman" w:eastAsia="Times New Roman" w:hAnsi="Times New Roman"/>
          <w:sz w:val="18"/>
          <w:szCs w:val="18"/>
          <w:b w:val="1"/>
          <w:bCs w:val="1"/>
          <w:color w:val="auto"/>
        </w:rPr>
        <w:t>Conclusion and Future Due Diligence Measures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facilities reported in Table 2 processed the necessary conflict minerals in our products based on responses received from 100% of our surveyed suppliers as of May 1, 2026. As of May 1, 2026, 99% of the reported smelter and refiner facilities are conformant or are participating in a responsible mineral assurance program. All smelters and refiners which we know or have reason to believe may source conflict minerals from the Covered Countries which may not be solely from recycled or scrap sources are conformant to a responsible mineral assurance program as of May 1, 2026. We have no reason to believe that any of the reported smelter and refiner facilities directly or indirectly finance or benefit armed groups in the Covered Countries, though we are aware of escalating armed activity taking place in Eastern DRC. We are closely monitoring the situation through RMI to understand how its due diligence audits of smelters are adapting to the ongoing situation. RMI’s statement on the conflict situation is available at </w:t>
      </w:r>
      <w:r>
        <w:rPr>
          <w:rFonts w:ascii="Times New Roman" w:cs="Times New Roman" w:eastAsia="Times New Roman" w:hAnsi="Times New Roman"/>
          <w:sz w:val="18"/>
          <w:szCs w:val="18"/>
          <w:u w:val="single" w:color="auto"/>
          <w:color w:val="auto"/>
        </w:rPr>
        <w:t>www.responsiblemineralsinitiative.org/news/rmi-statement-on-conflict-in-eastern-drc-feb-2025/</w:t>
      </w:r>
      <w:r>
        <w:rPr>
          <w:rFonts w:ascii="Times New Roman" w:cs="Times New Roman" w:eastAsia="Times New Roman" w:hAnsi="Times New Roman"/>
          <w:sz w:val="18"/>
          <w:szCs w:val="18"/>
          <w:color w:val="auto"/>
        </w:rPr>
        <w:t>. We are continuing to engage in the activities described above in “Design of Responsible Minerals Program” and we are continuing to follow up with suppliers that are not meeting our requirements as well as contacting smelters and refiners through RMI that are not yet conformant to a responsible mineral assurance program. We, through RMI, are encouraging and assisting such smelters and refiners to become conformant to a responsible mineral assurance program, thus supporting our efforts to build ethical and socially responsible supply chains for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30" w:right="459" w:bottom="1440" w:gutter="0" w:footer="0" w:header="0"/>
        </w:sectPr>
      </w:pPr>
    </w:p>
    <w:bookmarkStart w:id="18" w:name="page19"/>
    <w:bookmarkEnd w:id="18"/>
    <w:p>
      <w:pPr>
        <w:spacing w:after="0" w:line="261" w:lineRule="auto"/>
        <w:rPr>
          <w:sz w:val="20"/>
          <w:szCs w:val="20"/>
          <w:color w:val="auto"/>
        </w:rPr>
      </w:pPr>
      <w:r>
        <w:rPr>
          <w:rFonts w:ascii="Times New Roman" w:cs="Times New Roman" w:eastAsia="Times New Roman" w:hAnsi="Times New Roman"/>
          <w:sz w:val="18"/>
          <w:szCs w:val="18"/>
          <w:color w:val="auto"/>
        </w:rPr>
        <w:t>Our efforts to determine the mine or location of origin of the necessary conflict minerals in all our products with the greatest possible specificity consisted of the due diligence measures described in this Report. In particular, we relied on the information made available by responsible mineral assurance programs for the smelters and refiners in our supply chain because such programs review and audit whether sufficient evidence exists regarding the mine and/or location of origin of the conflict minerals that the audited smelter and refiner facilities have processed.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00"/>
      </w:cols>
      <w:pgMar w:left="320" w:top="9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lvl w:ilvl="1">
      <w:lvlJc w:val="left"/>
      <w:lvlText w:val="·"/>
      <w:numFmt w:val="bullet"/>
      <w:start w:val="1"/>
    </w:lvl>
  </w:abstractNum>
  <w:abstractNum w:abstractNumId="4">
    <w:nsid w:val="515F007C"/>
    <w:multiLevelType w:val="hybridMultilevel"/>
    <w:lvl w:ilvl="0">
      <w:lvlJc w:val="left"/>
      <w:lvlText w:val="%1."/>
      <w:numFmt w:val="decimal"/>
      <w:start w:val="2"/>
    </w:lvl>
    <w:lvl w:ilvl="1">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2026-05-29T06:07:46Z</dcterms:created>
  <dcterms:modified xsi:type="dcterms:W3CDTF">2026-05-29T06:07:46Z</dcterms:modified>
</cp:coreProperties>
</file>