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80" w:right="9020" w:hanging="5"/>
        <w:spacing w:after="0" w:line="226" w:lineRule="exact"/>
        <w:tabs>
          <w:tab w:leader="none" w:pos="11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38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5"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Partners 100,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460" w:type="dxa"/>
            <w:vAlign w:val="bottom"/>
          </w:tcPr>
          <w:p>
            <w:pPr>
              <w:spacing w:after="0"/>
              <w:rPr>
                <w:sz w:val="21"/>
                <w:szCs w:val="21"/>
                <w:color w:val="auto"/>
              </w:rPr>
            </w:pPr>
          </w:p>
        </w:tc>
        <w:tc>
          <w:tcPr>
            <w:tcW w:w="4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Partners (Bermuda) EU, L.P.</w:t>
            </w: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2"/>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GAP Coinvestments III,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5" w:name="page6"/>
    <w:bookmarkEnd w:id="5"/>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GAP Coinvestments IV,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6" w:name="page7"/>
    <w:bookmarkEnd w:id="6"/>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7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GAP Coinvestments 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8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GAP Coinvestments CDA,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8" w:name="page9"/>
    <w:bookmarkEnd w:id="8"/>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Page 9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(SPV) GP,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9" w:name="page10"/>
    <w:bookmarkEnd w:id="9"/>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280" w:type="dxa"/>
            <w:vAlign w:val="bottom"/>
          </w:tcPr>
          <w:p>
            <w:pPr>
              <w:spacing w:after="0"/>
              <w:rPr>
                <w:sz w:val="21"/>
                <w:szCs w:val="21"/>
                <w:color w:val="auto"/>
              </w:rPr>
            </w:pPr>
          </w:p>
        </w:tc>
        <w:tc>
          <w:tcPr>
            <w:tcW w:w="44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10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GenPar (Bermuda), L.P.</w:t>
            </w: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2"/>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Bermuda</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10" w:name="page11"/>
    <w:bookmarkEnd w:id="10"/>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11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GenPar,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(ME),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2" w:name="page13"/>
    <w:bookmarkEnd w:id="12"/>
    <w:p>
      <w:pPr>
        <w:spacing w:after="0" w:line="185" w:lineRule="auto"/>
        <w:framePr w:w="180" w:h="160" w:wrap="auto" w:vAnchor="page" w:hAnchor="page" w:x="2560" w:y="581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GAP (Bermuda)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Bermuda</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1,318,782</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1,318,782</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(Lux) S.à.r.l.</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40" w:type="dxa"/>
            <w:vAlign w:val="bottom"/>
          </w:tcPr>
          <w:p>
            <w:pPr>
              <w:spacing w:after="0"/>
              <w:rPr>
                <w:sz w:val="21"/>
                <w:szCs w:val="21"/>
                <w:color w:val="auto"/>
              </w:rPr>
            </w:pPr>
          </w:p>
        </w:tc>
        <w:tc>
          <w:tcPr>
            <w:tcW w:w="46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GenPar (Lux) SCSp</w:t>
            </w: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2"/>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2180" w:type="dxa"/>
            <w:vAlign w:val="bottom"/>
          </w:tcPr>
          <w:p>
            <w:pPr>
              <w:spacing w:after="0"/>
              <w:rPr>
                <w:sz w:val="21"/>
                <w:szCs w:val="21"/>
                <w:color w:val="auto"/>
              </w:rPr>
            </w:pPr>
          </w:p>
        </w:tc>
        <w:tc>
          <w:tcPr>
            <w:tcW w:w="45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General Atlantic Partners (Lux) SCSp</w:t>
            </w: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2"/>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02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86" w:lineRule="exact"/>
        <w:rPr>
          <w:sz w:val="20"/>
          <w:szCs w:val="20"/>
          <w:color w:val="auto"/>
        </w:rPr>
      </w:pPr>
    </w:p>
    <w:p>
      <w:pPr>
        <w:ind w:left="1160" w:hanging="1125"/>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1,318,782</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1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17 of 27</w:t>
            </w:r>
          </w:p>
        </w:tc>
      </w:tr>
      <w:tr>
        <w:trPr>
          <w:trHeight w:val="65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9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    NAME OF ISSUER</w:t>
            </w:r>
          </w:p>
        </w:tc>
        <w:tc>
          <w:tcPr>
            <w:tcW w:w="4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Mobileye Global Inc. (the “Company”).</w:t>
            </w:r>
          </w:p>
        </w:tc>
        <w:tc>
          <w:tcPr>
            <w:tcW w:w="4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700" w:hanging="558"/>
        <w:spacing w:after="0"/>
        <w:tabs>
          <w:tab w:leader="none" w:pos="1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rFonts w:ascii="Times New Roman" w:cs="Times New Roman" w:eastAsia="Times New Roman" w:hAnsi="Times New Roman"/>
          <w:sz w:val="18"/>
          <w:szCs w:val="18"/>
          <w:b w:val="1"/>
          <w:bCs w:val="1"/>
          <w:color w:val="auto"/>
        </w:rPr>
      </w:pPr>
    </w:p>
    <w:p>
      <w:pPr>
        <w:ind w:left="1700" w:right="60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Har Hotzvim, 13 Hartom Street, P.O. Box 45157 Jerusalem 9777513, Israel</w:t>
      </w:r>
    </w:p>
    <w:p>
      <w:pPr>
        <w:spacing w:after="0" w:line="158" w:lineRule="exact"/>
        <w:rPr>
          <w:sz w:val="20"/>
          <w:szCs w:val="20"/>
          <w:color w:val="auto"/>
        </w:rPr>
      </w:pPr>
    </w:p>
    <w:p>
      <w:pPr>
        <w:spacing w:after="0"/>
        <w:tabs>
          <w:tab w:leader="none" w:pos="1120" w:val="left"/>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NAMES OF PERSONS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being filed on behalf of each of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L.P. (“</w:t>
      </w:r>
      <w:r>
        <w:rPr>
          <w:rFonts w:ascii="Times New Roman" w:cs="Times New Roman" w:eastAsia="Times New Roman" w:hAnsi="Times New Roman"/>
          <w:sz w:val="18"/>
          <w:szCs w:val="18"/>
          <w:u w:val="single" w:color="auto"/>
          <w:color w:val="auto"/>
        </w:rPr>
        <w:t>GA LP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100, L.P. (“</w:t>
      </w:r>
      <w:r>
        <w:rPr>
          <w:rFonts w:ascii="Times New Roman" w:cs="Times New Roman" w:eastAsia="Times New Roman" w:hAnsi="Times New Roman"/>
          <w:sz w:val="18"/>
          <w:szCs w:val="18"/>
          <w:u w:val="single" w:color="auto"/>
          <w:color w:val="auto"/>
        </w:rPr>
        <w:t>GAP 100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(Bermuda) EU, L.P. (“</w:t>
      </w:r>
      <w:r>
        <w:rPr>
          <w:rFonts w:ascii="Times New Roman" w:cs="Times New Roman" w:eastAsia="Times New Roman" w:hAnsi="Times New Roman"/>
          <w:sz w:val="18"/>
          <w:szCs w:val="18"/>
          <w:u w:val="single" w:color="auto"/>
          <w:color w:val="auto"/>
        </w:rPr>
        <w:t>GAP Bermuda EU</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III, LLC (“</w:t>
      </w:r>
      <w:r>
        <w:rPr>
          <w:rFonts w:ascii="Times New Roman" w:cs="Times New Roman" w:eastAsia="Times New Roman" w:hAnsi="Times New Roman"/>
          <w:sz w:val="18"/>
          <w:szCs w:val="18"/>
          <w:u w:val="single" w:color="auto"/>
          <w:color w:val="auto"/>
        </w:rPr>
        <w:t>GAPCO 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IV, LLC (“</w:t>
      </w:r>
      <w:r>
        <w:rPr>
          <w:rFonts w:ascii="Times New Roman" w:cs="Times New Roman" w:eastAsia="Times New Roman" w:hAnsi="Times New Roman"/>
          <w:sz w:val="18"/>
          <w:szCs w:val="18"/>
          <w:u w:val="single" w:color="auto"/>
          <w:color w:val="auto"/>
        </w:rPr>
        <w:t>GAPCO 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V, LLC (“</w:t>
      </w:r>
      <w:r>
        <w:rPr>
          <w:rFonts w:ascii="Times New Roman" w:cs="Times New Roman" w:eastAsia="Times New Roman" w:hAnsi="Times New Roman"/>
          <w:sz w:val="18"/>
          <w:szCs w:val="18"/>
          <w:u w:val="single" w:color="auto"/>
          <w:color w:val="auto"/>
        </w:rPr>
        <w:t>GAPCO 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CDA, L.P. (“</w:t>
      </w:r>
      <w:r>
        <w:rPr>
          <w:rFonts w:ascii="Times New Roman" w:cs="Times New Roman" w:eastAsia="Times New Roman" w:hAnsi="Times New Roman"/>
          <w:sz w:val="18"/>
          <w:szCs w:val="18"/>
          <w:u w:val="single" w:color="auto"/>
          <w:color w:val="auto"/>
        </w:rPr>
        <w:t>GAPCO CDA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(SPV) GP, LLC (“</w:t>
      </w:r>
      <w:r>
        <w:rPr>
          <w:rFonts w:ascii="Times New Roman" w:cs="Times New Roman" w:eastAsia="Times New Roman" w:hAnsi="Times New Roman"/>
          <w:sz w:val="18"/>
          <w:szCs w:val="18"/>
          <w:u w:val="single" w:color="auto"/>
          <w:color w:val="auto"/>
        </w:rPr>
        <w:t>GA SPV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(Bermuda), L.P. (“</w:t>
      </w:r>
      <w:r>
        <w:rPr>
          <w:rFonts w:ascii="Times New Roman" w:cs="Times New Roman" w:eastAsia="Times New Roman" w:hAnsi="Times New Roman"/>
          <w:sz w:val="18"/>
          <w:szCs w:val="18"/>
          <w:u w:val="single" w:color="auto"/>
          <w:color w:val="auto"/>
        </w:rPr>
        <w:t>GenPar Bermuda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L.P. (“</w:t>
      </w:r>
      <w:r>
        <w:rPr>
          <w:rFonts w:ascii="Times New Roman" w:cs="Times New Roman" w:eastAsia="Times New Roman" w:hAnsi="Times New Roman"/>
          <w:sz w:val="18"/>
          <w:szCs w:val="18"/>
          <w:u w:val="single" w:color="auto"/>
          <w:color w:val="auto"/>
        </w:rPr>
        <w:t>GA GenPar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(ME), L.P. (“</w:t>
      </w:r>
      <w:r>
        <w:rPr>
          <w:rFonts w:ascii="Times New Roman" w:cs="Times New Roman" w:eastAsia="Times New Roman" w:hAnsi="Times New Roman"/>
          <w:sz w:val="18"/>
          <w:szCs w:val="18"/>
          <w:u w:val="single" w:color="auto"/>
          <w:color w:val="auto"/>
        </w:rPr>
        <w:t>GA ME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L.P. (“</w:t>
      </w:r>
      <w:r>
        <w:rPr>
          <w:rFonts w:ascii="Times New Roman" w:cs="Times New Roman" w:eastAsia="Times New Roman" w:hAnsi="Times New Roman"/>
          <w:sz w:val="18"/>
          <w:szCs w:val="18"/>
          <w:u w:val="single" w:color="auto"/>
          <w:color w:val="auto"/>
        </w:rPr>
        <w:t>GAP Bermuda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(Lux) S.à.r.l. (“</w:t>
      </w:r>
      <w:r>
        <w:rPr>
          <w:rFonts w:ascii="Times New Roman" w:cs="Times New Roman" w:eastAsia="Times New Roman" w:hAnsi="Times New Roman"/>
          <w:sz w:val="18"/>
          <w:szCs w:val="18"/>
          <w:u w:val="single" w:color="auto"/>
          <w:color w:val="auto"/>
        </w:rPr>
        <w:t>GA Lux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(Lux) SCSp (“</w:t>
      </w:r>
      <w:r>
        <w:rPr>
          <w:rFonts w:ascii="Times New Roman" w:cs="Times New Roman" w:eastAsia="Times New Roman" w:hAnsi="Times New Roman"/>
          <w:sz w:val="18"/>
          <w:szCs w:val="18"/>
          <w:u w:val="single" w:color="auto"/>
          <w:color w:val="auto"/>
        </w:rPr>
        <w:t>GA GenPar Lux</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(Lux) SCSp (“</w:t>
      </w:r>
      <w:r>
        <w:rPr>
          <w:rFonts w:ascii="Times New Roman" w:cs="Times New Roman" w:eastAsia="Times New Roman" w:hAnsi="Times New Roman"/>
          <w:sz w:val="18"/>
          <w:szCs w:val="18"/>
          <w:u w:val="single" w:color="auto"/>
          <w:color w:val="auto"/>
        </w:rPr>
        <w:t>GAP Lux</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GAP 100, GAP Bermuda EU, GAP Lux, GAPCO III, GAPCO IV, GAPCO V, and GAPCO CDA are collectively referred to as the “</w:t>
      </w:r>
      <w:r>
        <w:rPr>
          <w:rFonts w:ascii="Times New Roman" w:cs="Times New Roman" w:eastAsia="Times New Roman" w:hAnsi="Times New Roman"/>
          <w:sz w:val="18"/>
          <w:szCs w:val="18"/>
          <w:u w:val="single" w:color="auto"/>
          <w:color w:val="auto"/>
        </w:rPr>
        <w:t>GA 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7" w:name="page18"/>
    <w:bookmarkEnd w:id="17"/>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18 of 27</w:t>
            </w:r>
          </w:p>
        </w:tc>
      </w:tr>
    </w:tbl>
    <w:p>
      <w:pPr>
        <w:spacing w:after="0" w:line="200" w:lineRule="exact"/>
        <w:rPr>
          <w:sz w:val="20"/>
          <w:szCs w:val="20"/>
          <w:color w:val="auto"/>
        </w:rPr>
      </w:pPr>
    </w:p>
    <w:p>
      <w:pPr>
        <w:spacing w:after="0" w:line="213" w:lineRule="exact"/>
        <w:rPr>
          <w:sz w:val="20"/>
          <w:szCs w:val="20"/>
          <w:color w:val="auto"/>
        </w:rPr>
      </w:pPr>
    </w:p>
    <w:p>
      <w:pPr>
        <w:ind w:left="1700" w:hanging="558"/>
        <w:spacing w:after="0"/>
        <w:tabs>
          <w:tab w:leader="none" w:pos="1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412F, Route d’Esch, L-1471 Luxembourg.</w:t>
      </w:r>
    </w:p>
    <w:p>
      <w:pPr>
        <w:spacing w:after="0" w:line="176" w:lineRule="exact"/>
        <w:rPr>
          <w:sz w:val="20"/>
          <w:szCs w:val="20"/>
          <w:color w:val="auto"/>
        </w:rPr>
      </w:pPr>
    </w:p>
    <w:p>
      <w:pPr>
        <w:ind w:left="1700" w:hanging="558"/>
        <w:spacing w:after="0"/>
        <w:tabs>
          <w:tab w:leader="none" w:pos="1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LP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100 -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EU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V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SPV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Bermuda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ME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Lux – Luxembourg</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Lux – Luxembourg</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Lux – Luxembourg</w:t>
      </w:r>
    </w:p>
    <w:p>
      <w:pPr>
        <w:spacing w:after="0" w:line="221" w:lineRule="exact"/>
        <w:rPr>
          <w:sz w:val="20"/>
          <w:szCs w:val="20"/>
          <w:color w:val="auto"/>
        </w:rPr>
      </w:pPr>
    </w:p>
    <w:p>
      <w:pPr>
        <w:ind w:left="1700" w:hanging="558"/>
        <w:spacing w:after="0"/>
        <w:tabs>
          <w:tab w:leader="none" w:pos="1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par value $0.01 per share (the “</w:t>
      </w:r>
      <w:r>
        <w:rPr>
          <w:rFonts w:ascii="Times New Roman" w:cs="Times New Roman" w:eastAsia="Times New Roman" w:hAnsi="Times New Roman"/>
          <w:sz w:val="18"/>
          <w:szCs w:val="18"/>
          <w:u w:val="single" w:color="auto"/>
          <w:color w:val="auto"/>
        </w:rPr>
        <w:t>Class A common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700" w:hanging="558"/>
        <w:spacing w:after="0"/>
        <w:tabs>
          <w:tab w:leader="none" w:pos="1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60741F104.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8" w:name="page19"/>
    <w:bookmarkEnd w:id="18"/>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19 of 27</w:t>
            </w:r>
          </w:p>
        </w:tc>
      </w:tr>
    </w:tbl>
    <w:p>
      <w:pPr>
        <w:spacing w:after="0" w:line="200" w:lineRule="exact"/>
        <w:rPr>
          <w:sz w:val="20"/>
          <w:szCs w:val="20"/>
          <w:color w:val="auto"/>
        </w:rPr>
      </w:pPr>
    </w:p>
    <w:p>
      <w:pPr>
        <w:spacing w:after="0" w:line="213" w:lineRule="exact"/>
        <w:rPr>
          <w:sz w:val="20"/>
          <w:szCs w:val="20"/>
          <w:color w:val="auto"/>
        </w:rPr>
      </w:pPr>
    </w:p>
    <w:p>
      <w:pPr>
        <w:ind w:left="1140" w:right="3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Reporting Persons owned the following number of the Company’s common stock:</w:t>
      </w:r>
    </w:p>
    <w:p>
      <w:pPr>
        <w:spacing w:after="0" w:line="225" w:lineRule="exact"/>
        <w:rPr>
          <w:sz w:val="20"/>
          <w:szCs w:val="20"/>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LP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100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EU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V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SPV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Bermuda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ME owned of record 1,318,782 Class A common shares or 1.4% of the issued and outstanding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9" w:name="page20"/>
    <w:bookmarkEnd w:id="19"/>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20 of 27</w:t>
            </w:r>
          </w:p>
        </w:tc>
      </w:tr>
    </w:tbl>
    <w:p>
      <w:pPr>
        <w:spacing w:after="0" w:line="200" w:lineRule="exact"/>
        <w:rPr>
          <w:sz w:val="20"/>
          <w:szCs w:val="20"/>
          <w:color w:val="auto"/>
        </w:rPr>
      </w:pPr>
    </w:p>
    <w:p>
      <w:pPr>
        <w:spacing w:after="0" w:line="217" w:lineRule="exact"/>
        <w:rPr>
          <w:sz w:val="20"/>
          <w:szCs w:val="20"/>
          <w:color w:val="auto"/>
        </w:rPr>
      </w:pPr>
    </w:p>
    <w:p>
      <w:pPr>
        <w:ind w:left="1580" w:hanging="560"/>
        <w:spacing w:after="0"/>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580" w:hanging="560"/>
        <w:spacing w:after="0"/>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Lux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580" w:hanging="560"/>
        <w:spacing w:after="0"/>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Lux owned of record no Class A common shares or 0.0% of the issued and outstanding Class A common shares.</w:t>
      </w:r>
    </w:p>
    <w:p>
      <w:pPr>
        <w:spacing w:after="0" w:line="225" w:lineRule="exact"/>
        <w:rPr>
          <w:rFonts w:ascii="Times New Roman" w:cs="Times New Roman" w:eastAsia="Times New Roman" w:hAnsi="Times New Roman"/>
          <w:sz w:val="18"/>
          <w:szCs w:val="18"/>
          <w:color w:val="auto"/>
        </w:rPr>
      </w:pPr>
    </w:p>
    <w:p>
      <w:pPr>
        <w:ind w:left="1580" w:hanging="560"/>
        <w:spacing w:after="0"/>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Lux owned of record no Class A common shares or 0.0% of the issued and outstanding Class A common shares.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GA Funds share beneficial ownership of the common shares held by GA ME. The general partner of GA ME is GA SPV. The general partner of GAP 100 is GA GenPar. The general partner of GAP Lux is GA GenPar Lux, and the general partner of GA GenPar Lux is GA Lux. The general partner of GAP Bermuda EU and the sole shareholder of GA Lux is GenPar Bermuda. GA LP, which is controlled by the Management Committee of GASC MGP, LLC (the “</w:t>
      </w:r>
      <w:r>
        <w:rPr>
          <w:rFonts w:ascii="Times New Roman" w:cs="Times New Roman" w:eastAsia="Times New Roman" w:hAnsi="Times New Roman"/>
          <w:sz w:val="18"/>
          <w:szCs w:val="18"/>
          <w:u w:val="single" w:color="auto"/>
          <w:color w:val="auto"/>
        </w:rPr>
        <w:t>Mana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ement Committee</w:t>
      </w:r>
      <w:r>
        <w:rPr>
          <w:rFonts w:ascii="Times New Roman" w:cs="Times New Roman" w:eastAsia="Times New Roman" w:hAnsi="Times New Roman"/>
          <w:sz w:val="18"/>
          <w:szCs w:val="18"/>
          <w:color w:val="auto"/>
        </w:rPr>
        <w:t>”), is the managing member of GAPCO III, GAPCO IV and GAPCO V, the general partner of GAPCO CDA and GA GenPar, and the sole member of GA SPV. The general partner of GenPar Bermuda is GAP Bermuda, which is also controlled by the Management Committee. There are eleven members of the Management Committee. By virtue of the foregoing, the Reporting Persons may be deemed to share voting power and the power to direct the disposition of the shares that each owns of record. Each of the members of the Management Committee disclaims ownership of the common shares reported herein except to the extent he has a pecuniary interest therein. The name, the business address and the citizenship of each of the members of the Management Committee as of the date hereof is attached hereto as Schedule A and is hereby incorporated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virtue of the relationship described above, each of the Reporting Persons may be deemed to beneficially own 1,318,782 Class A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Percentage Owned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percentages used herein are calculated based upon on an aggregate of 94,647,954 Class A common shares reported by the Company to be outstanding as of November 2, 2023 as reflected in the Company's Quarterly Report on Form 10-Q filed with the U.S. Securities and Exchange Commission on November 9,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Shares as to Which Such Person Has Sole/Shared Power to Vote or to Direct the Vote and Sole/Shared Power to Dispose or to Direct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 of</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80" w:right="260" w:hanging="572"/>
        <w:spacing w:after="0" w:line="282"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have the sole power to direct the voting and dispositions of the common shares as indicated on such Reporting Person’s cover page included herein.</w:t>
      </w:r>
    </w:p>
    <w:p>
      <w:pPr>
        <w:spacing w:after="0" w:line="161"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share the power to direct the voting and dispositions of the common shares as indicated on such Reporting Person's cover page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0" w:name="page21"/>
    <w:bookmarkEnd w:id="20"/>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21 of 27</w:t>
            </w:r>
          </w:p>
        </w:tc>
      </w:tr>
    </w:tbl>
    <w:p>
      <w:pPr>
        <w:spacing w:after="0" w:line="200" w:lineRule="exact"/>
        <w:rPr>
          <w:sz w:val="20"/>
          <w:szCs w:val="20"/>
          <w:color w:val="auto"/>
        </w:rPr>
      </w:pPr>
    </w:p>
    <w:p>
      <w:pPr>
        <w:spacing w:after="0" w:line="2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40" w:right="9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1" w:name="page22"/>
    <w:bookmarkEnd w:id="21"/>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22 of 27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r:id="rId37">
        <w:r>
          <w:rPr>
            <w:rFonts w:ascii="Times New Roman" w:cs="Times New Roman" w:eastAsia="Times New Roman" w:hAnsi="Times New Roman"/>
            <w:sz w:val="18"/>
            <w:szCs w:val="18"/>
            <w:u w:val="single" w:color="auto"/>
            <w:color w:val="0000EE"/>
          </w:rPr>
          <w:t>Joint Filing Agreement as required by Rule 13d-1(k)(1) under the Securities Exchange Act of 1934, as amended (previously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2" w:name="page23"/>
    <w:bookmarkEnd w:id="22"/>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8"/>
              </w:rPr>
              <w:t>Page 23 of 27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February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L.P., its general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(BERMUDA) EU,</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(BERMUDA),</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23" w:name="page24"/>
    <w:bookmarkEnd w:id="23"/>
    <w:p>
      <w:pPr>
        <w:spacing w:after="0"/>
        <w:tabs>
          <w:tab w:leader="none" w:pos="4900" w:val="left"/>
          <w:tab w:leader="none" w:pos="10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24 of 27</w:t>
      </w:r>
    </w:p>
    <w:p>
      <w:pPr>
        <w:sectPr>
          <w:pgSz w:w="11900" w:h="16838" w:orient="portrait"/>
          <w:cols w:equalWidth="0" w:num="1">
            <w:col w:w="11180"/>
          </w:cols>
          <w:pgMar w:left="36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485775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4" w:name="page25"/>
    <w:bookmarkEnd w:id="24"/>
    <w:p>
      <w:pPr>
        <w:spacing w:after="0"/>
        <w:tabs>
          <w:tab w:leader="none" w:pos="4900" w:val="left"/>
          <w:tab w:leader="none" w:pos="10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25 of 27</w:t>
      </w:r>
    </w:p>
    <w:p>
      <w:pPr>
        <w:sectPr>
          <w:pgSz w:w="11900" w:h="16838" w:orient="portrait"/>
          <w:cols w:equalWidth="0" w:num="1">
            <w:col w:w="11180"/>
          </w:cols>
          <w:pgMar w:left="36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GENPAR (BERMUDA), L.P.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485775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5" w:name="page26"/>
    <w:bookmarkEnd w:id="25"/>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26 of 27</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(ME),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(SPV) GP, LLC, its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GAP (BERMUDA)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GAP (BERMUDA) GP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jc w:val="center"/>
        <w:ind w:left="308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(LUX) S.À R.L.</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GENPAR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(LUX) S.À R.L., its general</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6" w:name="page27"/>
    <w:bookmarkEnd w:id="26"/>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536575</wp:posOffset>
            </wp:positionV>
            <wp:extent cx="1426845"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536575</wp:posOffset>
            </wp:positionV>
            <wp:extent cx="1418590" cy="167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27 of 27</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(LUX) SCSp, its</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1120" w:type="dxa"/>
            <w:vAlign w:val="bottom"/>
          </w:tcPr>
          <w:p>
            <w:pPr>
              <w:spacing w:after="0"/>
              <w:rPr>
                <w:sz w:val="20"/>
                <w:szCs w:val="20"/>
                <w:color w:val="auto"/>
              </w:rPr>
            </w:pP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(LUX) S.À R.L., its general</w:t>
            </w:r>
          </w:p>
        </w:tc>
        <w:tc>
          <w:tcPr>
            <w:tcW w:w="1120" w:type="dxa"/>
            <w:vAlign w:val="bottom"/>
          </w:tcPr>
          <w:p>
            <w:pPr>
              <w:spacing w:after="0"/>
              <w:rPr>
                <w:sz w:val="24"/>
                <w:szCs w:val="24"/>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Ingrid van der Hoorn</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Blackwell</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Members of the Management Committee (as of the date hereof)</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E. Ford</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Gabriel Caillaux</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Andrew Crawford</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Martin Escobari</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Bolivia and Brazil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Anton J. Levy</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Sandeep Naik</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Marina Bay Financial Centre Tower 1</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 Marina Boulevard, #17-02</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018981, Singapore</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J. Albert Smith</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535 Madison Ave,</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31st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Graves Tompkins</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Lance D. G. Uggla</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Kingdom and Canada</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N. Robbert Vorhoff</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Eric Zhang</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Suite 5704-5706, 57F</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Hong Kong SAR</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Two IFC, 8 Finance Street</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Central, Hong Kong, China</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601"/>
        </w:trPr>
        <w:tc>
          <w:tcPr>
            <w:tcW w:w="37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4"/>
      <w:numFmt w:val="bullet"/>
      <w:start w:val="1"/>
    </w:lvl>
  </w:abstractNum>
  <w:abstractNum w:abstractNumId="2">
    <w:nsid w:val="333AB105"/>
    <w:multiLevelType w:val="hybridMultilevel"/>
    <w:lvl w:ilvl="0">
      <w:lvlJc w:val="left"/>
      <w:lvlText w:val="4"/>
      <w:numFmt w:val="bullet"/>
      <w:start w:val="1"/>
    </w:lvl>
  </w:abstractNum>
  <w:abstractNum w:abstractNumId="3">
    <w:nsid w:val="721DA317"/>
    <w:multiLevelType w:val="hybridMultilevel"/>
    <w:lvl w:ilvl="0">
      <w:lvlJc w:val="left"/>
      <w:lvlText w:val="5"/>
      <w:numFmt w:val="bullet"/>
      <w:start w:val="1"/>
    </w:lvl>
  </w:abstractNum>
  <w:abstractNum w:abstractNumId="4">
    <w:nsid w:val="2443A858"/>
    <w:multiLevelType w:val="hybridMultilevel"/>
    <w:lvl w:ilvl="0">
      <w:lvlJc w:val="left"/>
      <w:lvlText w:val="8"/>
      <w:numFmt w:val="bullet"/>
      <w:start w:val="1"/>
    </w:lvl>
  </w:abstractNum>
  <w:abstractNum w:abstractNumId="5">
    <w:nsid w:val="2D1D5AE9"/>
    <w:multiLevelType w:val="hybridMultilevel"/>
    <w:lvl w:ilvl="0">
      <w:lvlJc w:val="left"/>
      <w:lvlText w:val="4"/>
      <w:numFmt w:val="bullet"/>
      <w:start w:val="1"/>
    </w:lvl>
  </w:abstractNum>
  <w:abstractNum w:abstractNumId="6">
    <w:nsid w:val="6763845E"/>
    <w:multiLevelType w:val="hybridMultilevel"/>
    <w:lvl w:ilvl="0">
      <w:lvlJc w:val="left"/>
      <w:lvlText w:val="4"/>
      <w:numFmt w:val="bullet"/>
      <w:start w:val="1"/>
    </w:lvl>
  </w:abstractNum>
  <w:abstractNum w:abstractNumId="7">
    <w:nsid w:val="75A2A8D4"/>
    <w:multiLevelType w:val="hybridMultilevel"/>
    <w:lvl w:ilvl="0">
      <w:lvlJc w:val="left"/>
      <w:lvlText w:val="4"/>
      <w:numFmt w:val="bullet"/>
      <w:start w:val="1"/>
    </w:lvl>
  </w:abstractNum>
  <w:abstractNum w:abstractNumId="8">
    <w:nsid w:val="8EDBDAB"/>
    <w:multiLevelType w:val="hybridMultilevel"/>
    <w:lvl w:ilvl="0">
      <w:lvlJc w:val="left"/>
      <w:lvlText w:val="5"/>
      <w:numFmt w:val="bullet"/>
      <w:start w:val="1"/>
    </w:lvl>
  </w:abstractNum>
  <w:abstractNum w:abstractNumId="9">
    <w:nsid w:val="79838CB2"/>
    <w:multiLevelType w:val="hybridMultilevel"/>
    <w:lvl w:ilvl="0">
      <w:lvlJc w:val="left"/>
      <w:lvlText w:val="8"/>
      <w:numFmt w:val="bullet"/>
      <w:start w:val="1"/>
    </w:lvl>
  </w:abstractNum>
  <w:abstractNum w:abstractNumId="10">
    <w:nsid w:val="4353D0CD"/>
    <w:multiLevelType w:val="hybridMultilevel"/>
    <w:lvl w:ilvl="0">
      <w:lvlJc w:val="left"/>
      <w:lvlText w:val="4"/>
      <w:numFmt w:val="bullet"/>
      <w:start w:val="1"/>
    </w:lvl>
  </w:abstractNum>
  <w:abstractNum w:abstractNumId="11">
    <w:nsid w:val="B03E0C6"/>
    <w:multiLevelType w:val="hybridMultilevel"/>
    <w:lvl w:ilvl="0">
      <w:lvlJc w:val="left"/>
      <w:lvlText w:val="5"/>
      <w:numFmt w:val="bullet"/>
      <w:start w:val="1"/>
    </w:lvl>
  </w:abstractNum>
  <w:abstractNum w:abstractNumId="12">
    <w:nsid w:val="189A769B"/>
    <w:multiLevelType w:val="hybridMultilevel"/>
    <w:lvl w:ilvl="0">
      <w:lvlJc w:val="left"/>
      <w:lvlText w:val="8"/>
      <w:numFmt w:val="bullet"/>
      <w:start w:val="1"/>
    </w:lvl>
  </w:abstractNum>
  <w:abstractNum w:abstractNumId="13">
    <w:nsid w:val="54E49EB4"/>
    <w:multiLevelType w:val="hybridMultilevel"/>
    <w:lvl w:ilvl="0">
      <w:lvlJc w:val="left"/>
      <w:lvlText w:val="4"/>
      <w:numFmt w:val="bullet"/>
      <w:start w:val="1"/>
    </w:lvl>
  </w:abstractNum>
  <w:abstractNum w:abstractNumId="14">
    <w:nsid w:val="71F32454"/>
    <w:multiLevelType w:val="hybridMultilevel"/>
    <w:lvl w:ilvl="0">
      <w:lvlJc w:val="left"/>
      <w:lvlText w:val="4"/>
      <w:numFmt w:val="bullet"/>
      <w:start w:val="1"/>
    </w:lvl>
  </w:abstractNum>
  <w:abstractNum w:abstractNumId="15">
    <w:nsid w:val="2CA88611"/>
    <w:multiLevelType w:val="hybridMultilevel"/>
    <w:lvl w:ilvl="0">
      <w:lvlJc w:val="left"/>
      <w:lvlText w:val="5"/>
      <w:numFmt w:val="bullet"/>
      <w:start w:val="1"/>
    </w:lvl>
  </w:abstractNum>
  <w:abstractNum w:abstractNumId="16">
    <w:nsid w:val="836C40E"/>
    <w:multiLevelType w:val="hybridMultilevel"/>
    <w:lvl w:ilvl="0">
      <w:lvlJc w:val="left"/>
      <w:lvlText w:val="8"/>
      <w:numFmt w:val="bullet"/>
      <w:start w:val="1"/>
    </w:lvl>
  </w:abstractNum>
  <w:abstractNum w:abstractNumId="17">
    <w:nsid w:val="2901D82"/>
    <w:multiLevelType w:val="hybridMultilevel"/>
    <w:lvl w:ilvl="0">
      <w:lvlJc w:val="left"/>
      <w:lvlText w:val="4"/>
      <w:numFmt w:val="bullet"/>
      <w:start w:val="1"/>
    </w:lvl>
  </w:abstractNum>
  <w:abstractNum w:abstractNumId="18">
    <w:nsid w:val="3A95F874"/>
    <w:multiLevelType w:val="hybridMultilevel"/>
    <w:lvl w:ilvl="0">
      <w:lvlJc w:val="left"/>
      <w:lvlText w:val="5"/>
      <w:numFmt w:val="bullet"/>
      <w:start w:val="1"/>
    </w:lvl>
  </w:abstractNum>
  <w:abstractNum w:abstractNumId="19">
    <w:nsid w:val="8138641"/>
    <w:multiLevelType w:val="hybridMultilevel"/>
    <w:lvl w:ilvl="0">
      <w:lvlJc w:val="left"/>
      <w:lvlText w:val="8"/>
      <w:numFmt w:val="bullet"/>
      <w:start w:val="1"/>
    </w:lvl>
  </w:abstractNum>
  <w:abstractNum w:abstractNumId="20">
    <w:nsid w:val="1E7FF521"/>
    <w:multiLevelType w:val="hybridMultilevel"/>
    <w:lvl w:ilvl="0">
      <w:lvlJc w:val="left"/>
      <w:lvlText w:val="4"/>
      <w:numFmt w:val="bullet"/>
      <w:start w:val="1"/>
    </w:lvl>
  </w:abstractNum>
  <w:abstractNum w:abstractNumId="21">
    <w:nsid w:val="7C3DBD3D"/>
    <w:multiLevelType w:val="hybridMultilevel"/>
    <w:lvl w:ilvl="0">
      <w:lvlJc w:val="left"/>
      <w:lvlText w:val="5"/>
      <w:numFmt w:val="bullet"/>
      <w:start w:val="1"/>
    </w:lvl>
  </w:abstractNum>
  <w:abstractNum w:abstractNumId="22">
    <w:nsid w:val="737B8DDC"/>
    <w:multiLevelType w:val="hybridMultilevel"/>
    <w:lvl w:ilvl="0">
      <w:lvlJc w:val="left"/>
      <w:lvlText w:val="8"/>
      <w:numFmt w:val="bullet"/>
      <w:start w:val="1"/>
    </w:lvl>
  </w:abstractNum>
  <w:abstractNum w:abstractNumId="23">
    <w:nsid w:val="6CEAF087"/>
    <w:multiLevelType w:val="hybridMultilevel"/>
    <w:lvl w:ilvl="0">
      <w:lvlJc w:val="left"/>
      <w:lvlText w:val="4"/>
      <w:numFmt w:val="bullet"/>
      <w:start w:val="1"/>
    </w:lvl>
  </w:abstractNum>
  <w:abstractNum w:abstractNumId="24">
    <w:nsid w:val="22221A70"/>
    <w:multiLevelType w:val="hybridMultilevel"/>
    <w:lvl w:ilvl="0">
      <w:lvlJc w:val="left"/>
      <w:lvlText w:val="4"/>
      <w:numFmt w:val="bullet"/>
      <w:start w:val="1"/>
    </w:lvl>
  </w:abstractNum>
  <w:abstractNum w:abstractNumId="25">
    <w:nsid w:val="4516DDE9"/>
    <w:multiLevelType w:val="hybridMultilevel"/>
    <w:lvl w:ilvl="0">
      <w:lvlJc w:val="left"/>
      <w:lvlText w:val="5"/>
      <w:numFmt w:val="bullet"/>
      <w:start w:val="1"/>
    </w:lvl>
  </w:abstractNum>
  <w:abstractNum w:abstractNumId="26">
    <w:nsid w:val="3006C83E"/>
    <w:multiLevelType w:val="hybridMultilevel"/>
    <w:lvl w:ilvl="0">
      <w:lvlJc w:val="left"/>
      <w:lvlText w:val="8"/>
      <w:numFmt w:val="bullet"/>
      <w:start w:val="1"/>
    </w:lvl>
  </w:abstractNum>
  <w:abstractNum w:abstractNumId="27">
    <w:nsid w:val="614FD4A1"/>
    <w:multiLevelType w:val="hybridMultilevel"/>
    <w:lvl w:ilvl="0">
      <w:lvlJc w:val="left"/>
      <w:lvlText w:val="4"/>
      <w:numFmt w:val="bullet"/>
      <w:start w:val="1"/>
    </w:lvl>
  </w:abstractNum>
  <w:abstractNum w:abstractNumId="28">
    <w:nsid w:val="419AC241"/>
    <w:multiLevelType w:val="hybridMultilevel"/>
    <w:lvl w:ilvl="0">
      <w:lvlJc w:val="left"/>
      <w:lvlText w:val="4"/>
      <w:numFmt w:val="bullet"/>
      <w:start w:val="1"/>
    </w:lvl>
  </w:abstractNum>
  <w:abstractNum w:abstractNumId="29">
    <w:nsid w:val="5577F8E1"/>
    <w:multiLevelType w:val="hybridMultilevel"/>
    <w:lvl w:ilvl="0">
      <w:lvlJc w:val="left"/>
      <w:lvlText w:val="4"/>
      <w:numFmt w:val="bullet"/>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lowerLetter"/>
      <w:start w:val="4"/>
    </w:lvl>
  </w:abstractNum>
  <w:abstractNum w:abstractNumId="36">
    <w:nsid w:val="2463B9EA"/>
    <w:multiLevelType w:val="hybridMultilevel"/>
    <w:lvl w:ilvl="0">
      <w:lvlJc w:val="left"/>
      <w:lvlText w:val="(%1)"/>
      <w:numFmt w:val="lowerLetter"/>
      <w:start w:val="5"/>
    </w:lvl>
  </w:abstractNum>
  <w:abstractNum w:abstractNumId="37">
    <w:nsid w:val="5E884ADC"/>
    <w:multiLevelType w:val="hybridMultilevel"/>
    <w:lvl w:ilvl="0">
      <w:lvlJc w:val="left"/>
      <w:lvlText w:val="(%1)"/>
      <w:numFmt w:val="lowerRoman"/>
      <w:start w:val="1"/>
    </w:lvl>
  </w:abstractNum>
  <w:abstractNum w:abstractNumId="38">
    <w:nsid w:val="51EAD36B"/>
    <w:multiLevelType w:val="hybridMultilevel"/>
    <w:lvl w:ilvl="0">
      <w:lvlJc w:val="left"/>
      <w:lvlText w:val="(%1)"/>
      <w:numFmt w:val="lowerRoman"/>
      <w:start w:val="12"/>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37" Type="http://schemas.openxmlformats.org/officeDocument/2006/relationships/hyperlink" Target="https://www.sec.gov/Archives/edgar/data/1017645/000095014222003105/eh220302175_13g-mbl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2024-02-13T09:49:10Z</dcterms:created>
  <dcterms:modified xsi:type="dcterms:W3CDTF">2024-02-13T09:49:10Z</dcterms:modified>
</cp:coreProperties>
</file>