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257175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260" w:hanging="251"/>
        <w:spacing w:after="0"/>
        <w:tabs>
          <w:tab w:leader="none" w:pos="2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28, 2026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ind w:left="260" w:hanging="251"/>
        <w:spacing w:after="0" w:line="186" w:lineRule="auto"/>
        <w:tabs>
          <w:tab w:leader="none" w:pos="260" w:val="left"/>
        </w:tabs>
        <w:numPr>
          <w:ilvl w:val="0"/>
          <w:numId w:val="2"/>
        </w:numPr>
        <w:rPr>
          <w:rFonts w:ascii="MS PGothic" w:cs="MS PGothic" w:eastAsia="MS PGothic" w:hAnsi="MS PGothic"/>
          <w:sz w:val="8"/>
          <w:szCs w:val="8"/>
          <w:color w:val="auto"/>
        </w:rPr>
      </w:pPr>
      <w:r>
        <w:rPr>
          <w:rFonts w:ascii="Times New Roman" w:cs="Times New Roman" w:eastAsia="Times New Roman" w:hAnsi="Times New Roman"/>
          <w:sz w:val="8"/>
          <w:szCs w:val="8"/>
          <w:b w:val="1"/>
          <w:bCs w:val="1"/>
          <w:color w:val="auto"/>
        </w:rPr>
        <w:t>TRANSITION REPORT PURSUANT TO SECTION 13 OR 15(d) OF THE SECURITIES EXCHANGE ACT OF 1934</w:t>
      </w:r>
    </w:p>
    <w:p>
      <w:pPr>
        <w:spacing w:after="0" w:line="280" w:lineRule="exact"/>
        <w:rPr>
          <w:sz w:val="24"/>
          <w:szCs w:val="24"/>
          <w:color w:val="auto"/>
        </w:rPr>
      </w:pPr>
    </w:p>
    <w:p>
      <w:pPr>
        <w:ind w:left="2960"/>
        <w:spacing w:after="0"/>
        <w:tabs>
          <w:tab w:leader="none" w:pos="5980" w:val="left"/>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001-41541</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661" w:right="999" w:bottom="1440" w:gutter="0" w:footer="0" w:header="0"/>
        </w:sectPr>
      </w:pPr>
    </w:p>
    <w:p>
      <w:pPr>
        <w:spacing w:after="0" w:line="66"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4240" w:space="720"/>
            <w:col w:w="500" w:space="720"/>
            <w:col w:w="3740"/>
          </w:cols>
          <w:pgMar w:left="980" w:top="661" w:right="99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color w:val="auto"/>
        </w:rPr>
        <w:t>organization)</w:t>
      </w:r>
    </w:p>
    <w:p>
      <w:pPr>
        <w:sectPr>
          <w:pgSz w:w="11900" w:h="16838" w:orient="portrait"/>
          <w:cols w:equalWidth="0" w:num="1">
            <w:col w:w="9920"/>
          </w:cols>
          <w:pgMar w:left="980" w:top="661" w:right="999" w:bottom="1440" w:gutter="0" w:footer="0" w:header="0"/>
          <w:type w:val="continuous"/>
        </w:sectPr>
      </w:pPr>
    </w:p>
    <w:p>
      <w:pPr>
        <w:spacing w:after="0" w:line="21"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color w:val="auto"/>
        </w:rPr>
        <w:t>c/o Mobileye B.V.</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+972-2-541-7333</w:t>
      </w:r>
    </w:p>
    <w:p>
      <w:pPr>
        <w:spacing w:after="0" w:line="9" w:lineRule="exact"/>
        <w:rPr>
          <w:sz w:val="24"/>
          <w:szCs w:val="24"/>
          <w:color w:val="auto"/>
        </w:rPr>
      </w:pPr>
    </w:p>
    <w:p>
      <w:pPr>
        <w:sectPr>
          <w:pgSz w:w="11900" w:h="16838" w:orient="portrait"/>
          <w:cols w:equalWidth="0" w:num="2">
            <w:col w:w="6140" w:space="720"/>
            <w:col w:w="3060"/>
          </w:cols>
          <w:pgMar w:left="980" w:top="661" w:right="999" w:bottom="1440" w:gutter="0" w:footer="0" w:header="0"/>
          <w:type w:val="continuous"/>
        </w:sectPr>
      </w:pPr>
    </w:p>
    <w:p>
      <w:pPr>
        <w:jc w:val="center"/>
        <w:ind w:right="4980"/>
        <w:spacing w:after="0"/>
        <w:rPr>
          <w:sz w:val="20"/>
          <w:szCs w:val="20"/>
          <w:color w:val="auto"/>
        </w:rPr>
      </w:pPr>
      <w:r>
        <w:rPr>
          <w:rFonts w:ascii="Times New Roman" w:cs="Times New Roman" w:eastAsia="Times New Roman" w:hAnsi="Times New Roman"/>
          <w:sz w:val="17"/>
          <w:szCs w:val="17"/>
          <w:color w:val="auto"/>
        </w:rPr>
        <w:t>Har Hotzvim, 1 Shlomo Momo HaLevi Street</w:t>
      </w:r>
    </w:p>
    <w:p>
      <w:pPr>
        <w:spacing w:after="0" w:line="21" w:lineRule="exact"/>
        <w:rPr>
          <w:sz w:val="24"/>
          <w:szCs w:val="24"/>
          <w:color w:val="auto"/>
        </w:rPr>
      </w:pPr>
    </w:p>
    <w:p>
      <w:pPr>
        <w:jc w:val="center"/>
        <w:ind w:right="4980"/>
        <w:spacing w:after="0"/>
        <w:rPr>
          <w:sz w:val="20"/>
          <w:szCs w:val="20"/>
          <w:color w:val="auto"/>
        </w:rPr>
      </w:pPr>
      <w:r>
        <w:rPr>
          <w:rFonts w:ascii="Times New Roman" w:cs="Times New Roman" w:eastAsia="Times New Roman" w:hAnsi="Times New Roman"/>
          <w:sz w:val="18"/>
          <w:szCs w:val="18"/>
          <w:color w:val="auto"/>
        </w:rPr>
        <w:t>Jerusalem 9777015, Israel</w:t>
      </w:r>
    </w:p>
    <w:p>
      <w:pPr>
        <w:sectPr>
          <w:pgSz w:w="11900" w:h="16838" w:orient="portrait"/>
          <w:cols w:equalWidth="0" w:num="1">
            <w:col w:w="9920"/>
          </w:cols>
          <w:pgMar w:left="980" w:top="661" w:right="999" w:bottom="1440" w:gutter="0" w:footer="0" w:header="0"/>
          <w:type w:val="continuous"/>
        </w:sectPr>
      </w:pPr>
    </w:p>
    <w:p>
      <w:pPr>
        <w:spacing w:after="0" w:line="9"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83" w:lineRule="exact"/>
        <w:rPr>
          <w:sz w:val="24"/>
          <w:szCs w:val="24"/>
          <w:color w:val="auto"/>
        </w:rPr>
      </w:pPr>
    </w:p>
    <w:p>
      <w:pPr>
        <w:sectPr>
          <w:pgSz w:w="11900" w:h="16838" w:orient="portrait"/>
          <w:cols w:equalWidth="0" w:num="2">
            <w:col w:w="4880" w:space="720"/>
            <w:col w:w="4320"/>
          </w:cols>
          <w:pgMar w:left="980" w:top="661"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9920"/>
          </w:cols>
          <w:pgMar w:left="980" w:top="661" w:right="999" w:bottom="1440" w:gutter="0" w:footer="0" w:header="0"/>
          <w:type w:val="continuous"/>
        </w:sectPr>
      </w:pPr>
    </w:p>
    <w:p>
      <w:pPr>
        <w:spacing w:after="0" w:line="1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Class A common stock, par value $0.01</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MBLY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ind w:right="40" w:hanging="6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Global Select Market</w:t>
      </w:r>
    </w:p>
    <w:p>
      <w:pPr>
        <w:spacing w:after="0" w:line="24" w:lineRule="exact"/>
        <w:rPr>
          <w:sz w:val="24"/>
          <w:szCs w:val="24"/>
          <w:color w:val="auto"/>
        </w:rPr>
      </w:pPr>
    </w:p>
    <w:p>
      <w:pPr>
        <w:sectPr>
          <w:pgSz w:w="11900" w:h="16838" w:orient="portrait"/>
          <w:cols w:equalWidth="0" w:num="4">
            <w:col w:w="3240" w:space="400"/>
            <w:col w:w="140" w:space="520"/>
            <w:col w:w="1880" w:space="720"/>
            <w:col w:w="3020"/>
          </w:cols>
          <w:pgMar w:left="980" w:top="661" w:right="999" w:bottom="1440" w:gutter="0" w:footer="0" w:header="0"/>
          <w:type w:val="continuous"/>
        </w:sect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2"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98" w:lineRule="exact"/>
        <w:rPr>
          <w:sz w:val="24"/>
          <w:szCs w:val="24"/>
          <w:color w:val="auto"/>
        </w:rPr>
      </w:pPr>
    </w:p>
    <w:p>
      <w:pPr>
        <w:sectPr>
          <w:pgSz w:w="11900" w:h="16838" w:orient="portrait"/>
          <w:cols w:equalWidth="0" w:num="2">
            <w:col w:w="4420" w:space="720"/>
            <w:col w:w="4780"/>
          </w:cols>
          <w:pgMar w:left="980" w:top="661" w:right="99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62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244,415,099 shares of Class A common stock, $0.01 par value, outstanding at April 15, 2026</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925830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MOBILEYE GLOBAL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4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28, 2026</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560" w:type="dxa"/>
            <w:vAlign w:val="bottom"/>
            <w:gridSpan w:val="4"/>
            <w:vMerge w:val="restart"/>
          </w:tcPr>
          <w:p>
            <w:pPr>
              <w:spacing w:after="0"/>
              <w:rPr>
                <w:sz w:val="24"/>
                <w:szCs w:val="24"/>
                <w:color w:val="auto"/>
              </w:rPr>
            </w:pPr>
          </w:p>
        </w:tc>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5140" w:type="dxa"/>
            <w:vAlign w:val="bottom"/>
            <w:gridSpan w:val="11"/>
            <w:vMerge w:val="restart"/>
          </w:tcPr>
          <w:p>
            <w:pPr>
              <w:spacing w:after="0"/>
              <w:rPr>
                <w:sz w:val="24"/>
                <w:szCs w:val="24"/>
                <w:color w:val="auto"/>
              </w:rPr>
            </w:pP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5140" w:type="dxa"/>
            <w:vAlign w:val="bottom"/>
            <w:gridSpan w:val="11"/>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w:t>
            </w:r>
          </w:p>
        </w:tc>
        <w:tc>
          <w:tcPr>
            <w:tcW w:w="500" w:type="dxa"/>
            <w:vAlign w:val="bottom"/>
            <w:gridSpan w:val="3"/>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4980" w:type="dxa"/>
            <w:vAlign w:val="bottom"/>
            <w:gridSpan w:val="9"/>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340" w:type="dxa"/>
            <w:vAlign w:val="bottom"/>
            <w:gridSpan w:val="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1040" w:type="dxa"/>
            <w:vAlign w:val="bottom"/>
            <w:gridSpan w:val="2"/>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3080" w:type="dxa"/>
            <w:vAlign w:val="bottom"/>
            <w:gridSpan w:val="5"/>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280" w:type="dxa"/>
            <w:vAlign w:val="bottom"/>
            <w:gridSpan w:val="6"/>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60" w:type="dxa"/>
            <w:vAlign w:val="bottom"/>
            <w:gridSpan w:val="2"/>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940" w:type="dxa"/>
            <w:vAlign w:val="bottom"/>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040" w:type="dxa"/>
            <w:vAlign w:val="bottom"/>
            <w:gridSpan w:val="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II.</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460" w:type="dxa"/>
            <w:vAlign w:val="bottom"/>
            <w:gridSpan w:val="2"/>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060" w:type="dxa"/>
            <w:vAlign w:val="bottom"/>
            <w:gridSpan w:val="1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3060" w:type="dxa"/>
            <w:vAlign w:val="bottom"/>
            <w:gridSpan w:val="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60" w:type="dxa"/>
            <w:vAlign w:val="bottom"/>
            <w:gridSpan w:val="2"/>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6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50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6800" w:type="dxa"/>
            <w:vAlign w:val="bottom"/>
            <w:gridSpan w:val="1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640" w:type="dxa"/>
            <w:vAlign w:val="bottom"/>
            <w:gridSpan w:val="17"/>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00" w:right="11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References to “Moovit” refer to GG Acquisition Ltd., Moovit App Global Ltd., and their consolidated subsidiaries. References to “Mentee Robotics” refer to Mentee Robotics Ltd.</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have a 52- or 53-week fiscal year that ends on the last Saturday in December. Fiscal year 2026 is a 52-week fiscal year; fiscal year 2025 was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and deposits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Contingencies (see Note 11)</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4,000,000,000 shares authorized; shares issued and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243,656,395 as of March 28, 2026 and 216,980,847 as of December 27, 2025</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1,500,000,000 shares authorized; shares issued and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597,768,015 as of March 28, 2026 and December 27, 2025</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ind w:left="7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340" w:type="dxa"/>
            <w:vAlign w:val="bottom"/>
            <w:tcBorders>
              <w:top w:val="single" w:sz="8" w:color="auto"/>
            </w:tcBorders>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 per share attributed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 Class A and Class B stockholders (in millions):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60" w:type="dxa"/>
            <w:vAlign w:val="bottom"/>
          </w:tcPr>
          <w:p>
            <w:pPr>
              <w:spacing w:after="0"/>
              <w:rPr>
                <w:sz w:val="11"/>
                <w:szCs w:val="11"/>
                <w:color w:val="auto"/>
              </w:rPr>
            </w:pPr>
          </w:p>
        </w:tc>
        <w:tc>
          <w:tcPr>
            <w:tcW w:w="8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4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U.S. dollars except number of shares, in millions</w:t>
            </w:r>
          </w:p>
        </w:tc>
        <w:tc>
          <w:tcPr>
            <w:tcW w:w="9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180" w:type="dxa"/>
            <w:vAlign w:val="bottom"/>
          </w:tcPr>
          <w:p>
            <w:pPr>
              <w:spacing w:after="0"/>
              <w:rPr>
                <w:sz w:val="13"/>
                <w:szCs w:val="13"/>
                <w:color w:val="auto"/>
              </w:rPr>
            </w:pP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 Income (Loss)</w:t>
            </w: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80" w:type="dxa"/>
            <w:vAlign w:val="bottom"/>
            <w:gridSpan w:val="3"/>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28, 2024</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812</w:t>
            </w:r>
          </w:p>
        </w:tc>
        <w:tc>
          <w:tcPr>
            <w:tcW w:w="140" w:type="dxa"/>
            <w:vAlign w:val="bottom"/>
          </w:tcPr>
          <w:p>
            <w:pPr>
              <w:spacing w:after="0"/>
              <w:rPr>
                <w:sz w:val="11"/>
                <w:szCs w:val="11"/>
                <w:color w:val="auto"/>
              </w:rPr>
            </w:pPr>
          </w:p>
        </w:tc>
        <w:tc>
          <w:tcPr>
            <w:tcW w:w="680" w:type="dxa"/>
            <w:vAlign w:val="bottom"/>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15,137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160" w:type="dxa"/>
            <w:vAlign w:val="bottom"/>
          </w:tcPr>
          <w:p>
            <w:pPr>
              <w:spacing w:after="0"/>
              <w:rPr>
                <w:sz w:val="11"/>
                <w:szCs w:val="11"/>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(3,060)</w:t>
            </w: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40" w:type="dxa"/>
            <w:vAlign w:val="bottom"/>
          </w:tcPr>
          <w:p>
            <w:pPr>
              <w:jc w:val="right"/>
              <w:ind w:right="6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Tax sharing agreement with Parent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29, 2025</w:t>
            </w:r>
          </w:p>
        </w:tc>
        <w:tc>
          <w:tcPr>
            <w:tcW w:w="14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812</w:t>
            </w:r>
          </w:p>
        </w:tc>
        <w:tc>
          <w:tcPr>
            <w:tcW w:w="1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15,204</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(3,162)</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gridSpan w:val="2"/>
          </w:tcPr>
          <w:p>
            <w:pPr>
              <w:spacing w:after="0"/>
              <w:rPr>
                <w:sz w:val="11"/>
                <w:szCs w:val="11"/>
                <w:color w:val="auto"/>
              </w:rPr>
            </w:pPr>
          </w:p>
        </w:tc>
        <w:tc>
          <w:tcPr>
            <w:tcW w:w="14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27, 2025</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815</w:t>
            </w:r>
          </w:p>
        </w:tc>
        <w:tc>
          <w:tcPr>
            <w:tcW w:w="820" w:type="dxa"/>
            <w:vAlign w:val="bottom"/>
            <w:gridSpan w:val="2"/>
          </w:tcPr>
          <w:p>
            <w:pPr>
              <w:jc w:val="right"/>
              <w:ind w:right="56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15,308</w:t>
            </w:r>
          </w:p>
        </w:tc>
        <w:tc>
          <w:tcPr>
            <w:tcW w:w="40" w:type="dxa"/>
            <w:vAlign w:val="bottom"/>
          </w:tcPr>
          <w:p>
            <w:pPr>
              <w:spacing w:after="0"/>
              <w:rPr>
                <w:sz w:val="11"/>
                <w:szCs w:val="11"/>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w:t>
            </w:r>
          </w:p>
        </w:tc>
        <w:tc>
          <w:tcPr>
            <w:tcW w:w="280" w:type="dxa"/>
            <w:vAlign w:val="bottom"/>
            <w:gridSpan w:val="2"/>
          </w:tcPr>
          <w:p>
            <w:pPr>
              <w:jc w:val="right"/>
              <w:ind w:right="5"/>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(3,452)</w:t>
            </w:r>
          </w:p>
        </w:tc>
        <w:tc>
          <w:tcPr>
            <w:tcW w:w="280" w:type="dxa"/>
            <w:vAlign w:val="bottom"/>
            <w:gridSpan w:val="3"/>
          </w:tcPr>
          <w:p>
            <w:pPr>
              <w:jc w:val="right"/>
              <w:ind w:right="65"/>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11,881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(3,818)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80" w:type="dxa"/>
            <w:vAlign w:val="bottom"/>
            <w:gridSpan w:val="2"/>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the acquisition of Mentee</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Robotics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28, 2026</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841</w:t>
            </w:r>
          </w:p>
        </w:tc>
        <w:tc>
          <w:tcPr>
            <w:tcW w:w="140" w:type="dxa"/>
            <w:vAlign w:val="bottom"/>
          </w:tcPr>
          <w:p>
            <w:pPr>
              <w:spacing w:after="0"/>
              <w:rPr>
                <w:sz w:val="11"/>
                <w:szCs w:val="11"/>
                <w:color w:val="auto"/>
              </w:rPr>
            </w:pPr>
          </w:p>
        </w:tc>
        <w:tc>
          <w:tcPr>
            <w:tcW w:w="68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15,417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w:t>
            </w:r>
          </w:p>
        </w:tc>
        <w:tc>
          <w:tcPr>
            <w:tcW w:w="160" w:type="dxa"/>
            <w:vAlign w:val="bottom"/>
          </w:tcPr>
          <w:p>
            <w:pPr>
              <w:spacing w:after="0"/>
              <w:rPr>
                <w:sz w:val="11"/>
                <w:szCs w:val="11"/>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(7,270)</w:t>
            </w: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4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7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3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131"/>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vMerge w:val="continue"/>
          </w:tcPr>
          <w:p>
            <w:pPr>
              <w:spacing w:after="0"/>
              <w:rPr>
                <w:sz w:val="15"/>
                <w:szCs w:val="15"/>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long-term benefits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acquisition of Mentee Robotics, net of cash acquired</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non-cash investing and financing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Intel Corporation (“Intel” or the “Parent”) directly or indirectly holds all of the Class B common stock of Mobileye as well as 50,000,000 shares of Class A common stock, which as of March 28, 2026, together represent approximately 77.0% of our outstanding common stock and 96.9% of the voting power of our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responded. In addition, Iran, Hezbollah and the Houthi movement attacked military and civilian targets in Israel, to which Israel responded, including through increased air and/or ground operations in Lebanon, Syria, Yemen and Iran. Following years of conflict in the region, on October 9, 2025, Israel, Hamas, the United States and other countries in the region agreed to a framework for a ceasefire in Gaza between Israel and Hamas. On February 28, 2026, the United States and Israel launched joint combat operations in Iran to which Iran and Hezbollah responded with ballistic missile and drone attacks on Israel as well as other countries and U.S. military bases in the region. On April 8, 2026, the United States and Iran agreed to a two-week ceasefire.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April 15, 2026 approximately 7.0%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Purchase Agreement for the acquisition of 100% of Mentee Robotics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3, 2026, the Company and Mobileye Vision Technologies Ltd. (a wholly-owned indirect subsidiary of the Company) acquired 100% of the issued and outstanding stock of Mentee Robotics, a privately held Israeli company focused on humanoid robotics (the “Acquisition”), pursuant to a share purchase agreement dated as of January 5, 2026 (the “Share Purchase Agreement”) by and among the Company, Mobileye Vision Technologies Ltd., Mentee Robotics Ltd., the shareholders of Mentee Robotics, and Shareholder Representative Services LLC, as the exclusive representative of the Mentee Robotics shareholders. For further detail, see Note 13 </w:t>
      </w:r>
      <w:r>
        <w:rPr>
          <w:rFonts w:ascii="Times New Roman" w:cs="Times New Roman" w:eastAsia="Times New Roman" w:hAnsi="Times New Roman"/>
          <w:sz w:val="18"/>
          <w:szCs w:val="18"/>
          <w:i w:val="1"/>
          <w:iCs w:val="1"/>
          <w:color w:val="auto"/>
        </w:rPr>
        <w:t>Business Combinations.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 2026 is a 52-week fiscal year; fiscal year 2025 was also a 52-week fiscal year.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28, 2026 shown in this report are not necessarily indicative of the results to be expected for the full year ending December 26, 2026. The condensed consolidated financial statements should be read in conjunction with the audited consolidated financial statements for the fiscal year ended December 27,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consolidated financial statements for the fiscal year ended December 27, 2025, except as detailed below regarding accounting for a business combination. For further detail, see Note 2 in the audited consolidated financial statements for the fiscal year ended December 27,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valuation of intangible assets, useful lives of intangible assets, impairment assessment of intangible assets and goodwill, and income taxes. A change in estimates, including a change in the overall market value of the Company, could require reassessments of the items noted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makes a determination whether a transaction should be accounted for as a business combination or as an asset acquisition in accordance with ASC 805, Business Combinations. The Company accounts for business combinations using the acquisition method of accounting. The Company includes the results of operations of the businesses that it acquires in the consolidated financial statements beginning on the date of acquisition. The Company allocates the purchase price paid for assets acquired and liabilities assumed in connection with the Company’s acquisitions based on their estimated fair values at the date of acquisition. This allocation involves a number of assumptions, estimates, and judgments, including the following:</w:t>
      </w:r>
    </w:p>
    <w:p>
      <w:pPr>
        <w:spacing w:after="0" w:line="187" w:lineRule="exact"/>
        <w:rPr>
          <w:sz w:val="20"/>
          <w:szCs w:val="20"/>
          <w:color w:val="auto"/>
        </w:rPr>
      </w:pPr>
    </w:p>
    <w:p>
      <w:pPr>
        <w:ind w:right="20" w:firstLine="332"/>
        <w:spacing w:after="0" w:line="28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estimations of future cash flows, discount rates, and growth rates, as well as the estimated useful life of intangible assets;</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 which are initially estimated as of the acquisition date;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measured as the excess of consideration transferred over the net of the acquisition date fair values of the assets acquired and the liabilities assumed.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assumptions and estimates are based on comparable market data and information obtained from the Company’s management and the management of the acquired companies. These assumptions and estimates are used to value assets acquired and liabilities assumed, and to allocate goodwill to the reporting unit of the business that is expected to benefit from the acquisition. During the measurement period, which may extend up to one year from the acquisition date, the Company may record adjustments to the preliminary allocation of the purchase consideration based on additional information about facts and circumstances that existed as of the acquisition date.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related expenses are recognized separately from the business combination and expensed as incurred.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15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December 27, 2025</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4"/>
        </w:trPr>
        <w:tc>
          <w:tcPr>
            <w:tcW w:w="6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presented in the consolidated statements of</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6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short term deposits, trade accounts receivable and accounts payable approximates their fair value due to the short maturity of these items.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March 28, 2026 and March 29, 2025, amounted to $7 million and $10 million, respectively.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investment in U.S. government and corporate bonds is measured at fair value within Level 1 of the fair value hierarchy because they consist of U.S. bonds for which quoted prices are available in an active market.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derivative instruments designated as hedging instruments, are measured at fair value within Level 2 of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facilities, equipment, and supplies for research and development activities.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$16 million and $26 million were offset against research and development costs in the three months ended March 28, 2026 and March 29, 2025,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settlement.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and comprehensive income (loss). As of March 28, 2026, the Company expects to reclassify all of its unrealized gains and losses from accumulated other comprehensive income (loss)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notional amount and fair value of outstanding derivatives at the end of each period were: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6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2060" w:type="dxa"/>
            <w:vAlign w:val="bottom"/>
          </w:tcPr>
          <w:p>
            <w:pPr>
              <w:ind w:left="1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8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20" w:type="dxa"/>
            <w:vAlign w:val="bottom"/>
          </w:tcPr>
          <w:p>
            <w:pPr>
              <w:spacing w:after="0"/>
              <w:rPr>
                <w:sz w:val="12"/>
                <w:szCs w:val="12"/>
                <w:color w:val="auto"/>
              </w:rPr>
            </w:pPr>
          </w:p>
        </w:tc>
        <w:tc>
          <w:tcPr>
            <w:tcW w:w="38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derivatives contracts</w:t>
            </w:r>
          </w:p>
        </w:tc>
        <w:tc>
          <w:tcPr>
            <w:tcW w:w="2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 assets</w:t>
            </w:r>
          </w:p>
        </w:tc>
        <w:tc>
          <w:tcPr>
            <w:tcW w:w="20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relating to gains (losses) on derivatives used for hedging for the three months ended March 28, 2026, and March 29, 2025,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8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380" w:type="dxa"/>
            <w:vAlign w:val="bottom"/>
            <w:tcBorders>
              <w:top w:val="single" w:sz="8" w:color="auto"/>
            </w:tcBorders>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6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 **</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from hedging transactions</w:t>
            </w:r>
          </w:p>
        </w:tc>
        <w:tc>
          <w:tcPr>
            <w:tcW w:w="6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 million.</w:t>
      </w:r>
    </w:p>
    <w:p>
      <w:pPr>
        <w:spacing w:after="0" w:line="225"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gains (losses) reclassified from other comprehensive income (loss) into profit or loss are recorded in cost of revenue and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money market funds, U.S. government and corporate bonds, derivative financial instruments, and also trade accounts receivable.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and Europe, as well as in Israel. Generally, these cash equivalents may be redeemed upon demand. Short-term bank deposits are held in the aforementioned banks. The money market funds consist of institutional investors money market funds and are readily redeemable to cash, and the U.S. government and corporate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 Our investments in U.S. corporate bonds are made with high-credit-quality counterparties, and we limit our credit exposure to any single counterparty.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(loss). As of March 28, 2026 and December 27, 2025, the credit loss allowance for trade accounts receivable was not material. For the three months ended March 28, 2026 and March 29, 2025, the charge-offs and recoveries in relation to the credit losses were not material.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related to customers that accounted for more than 10% of the Company’s total revenue and more than 10% of the total accounts receivable balance for each of the periods presented in these condensed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a single supplier or limited suppliers risk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risk</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prior periods, we experienced supply chain disruptions, raw material shortages and manufacturing capacity constraints that reduced the availability of key components, including EyeQ™ SoCs, and resulted in lower inventory levels and limitations on our ability to meet customer demand. As supply conditions improved, we increased inventory levels to help mitigate potential future constraints. However, if similar disruptions were to recur, depending on their duration and severity, we may again be required to operate with reduced inventory levels, which could limit our ability to meet customer demand. As a result, we are substantially reliant on timely shipments of EyeQ™ SoCs from STMicroelectronics and ECUs from Quanta Computer (or other suppliers)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 in the period</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2025-05,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for Accounts Receivable and Contract Assets </w:t>
      </w:r>
      <w:r>
        <w:rPr>
          <w:rFonts w:ascii="Times New Roman" w:cs="Times New Roman" w:eastAsia="Times New Roman" w:hAnsi="Times New Roman"/>
          <w:sz w:val="18"/>
          <w:szCs w:val="18"/>
          <w:color w:val="auto"/>
        </w:rPr>
        <w:t>(“ASU 2025-05”). ASU 2025-05 provides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including interim reporting periods within those fiscal years. Entities that elect the practical expedient and, if applicable, make the accounting policy election are required to apply the amendments prospectively. ASU 2025-05 did not have a material impact on the Company’s consolidated financial statements.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 (Subtopic 220-40): Disaggregation of Income Statement Expense </w:t>
      </w:r>
      <w:r>
        <w:rPr>
          <w:rFonts w:ascii="Times New Roman" w:cs="Times New Roman" w:eastAsia="Times New Roman" w:hAnsi="Times New Roman"/>
          <w:sz w:val="18"/>
          <w:szCs w:val="18"/>
          <w:color w:val="auto"/>
        </w:rPr>
        <w:t>(“ASU 2024-03”) and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Update 2025-01, </w:t>
      </w:r>
      <w:r>
        <w:rPr>
          <w:rFonts w:ascii="Times New Roman" w:cs="Times New Roman" w:eastAsia="Times New Roman" w:hAnsi="Times New Roman"/>
          <w:sz w:val="18"/>
          <w:szCs w:val="18"/>
          <w:i w:val="1"/>
          <w:iCs w:val="1"/>
          <w:color w:val="auto"/>
        </w:rPr>
        <w:t xml:space="preserve">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2025-01”). ASU 2024-03 and ASU 2025-01 improves the disclosures about a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revenue, general and administrative, and research and development). ASU 2024-03 and ASU 2025-01 are both effective for annual reporting periods beginning after December 15, 2026, and interim periods within annual reporting periods beginning after December 15, 2027. Early adoption is permitted. The Company is evaluating the potential impact of ASU 2024-03 and ASU 2025-01 on its consolidated financial statement disclosures.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2025-06,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Targeted Improvements to the Accounting for Internal-Use Software </w:t>
      </w:r>
      <w:r>
        <w:rPr>
          <w:rFonts w:ascii="Times New Roman" w:cs="Times New Roman" w:eastAsia="Times New Roman" w:hAnsi="Times New Roman"/>
          <w:sz w:val="18"/>
          <w:szCs w:val="18"/>
          <w:color w:val="auto"/>
        </w:rPr>
        <w:t>(“ASU 2025-06”). ASU 2025-06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targeted improvements to the accounting for internal-use software costs by replacing the existing project-stage model with a principles-based approach to determine when capitalization of costs should begin. ASU 2025-06 is effective for all entities, on a prospective basis, for annual reporting periods beginning after December 15, 2027, including interim reporting periods within those fiscal years, with early adoption permitted. The Company is currently evaluating the potential impact that ASU 2025-06 will have on its consolidated financial statements.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2025-11, </w:t>
      </w:r>
      <w:r>
        <w:rPr>
          <w:rFonts w:ascii="Times New Roman" w:cs="Times New Roman" w:eastAsia="Times New Roman" w:hAnsi="Times New Roman"/>
          <w:sz w:val="18"/>
          <w:szCs w:val="18"/>
          <w:i w:val="1"/>
          <w:iCs w:val="1"/>
          <w:color w:val="auto"/>
        </w:rPr>
        <w:t>Interim Reporting (Topic 270): Narrow-Scope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2025-11”). ASU 2025-11 provides clarifications intended to improve the consistency and usability of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2025-11 is effective for fiscal years beginning after December 15, 2027, including interim periods within those fiscal years, with early adoption is permitted.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60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40" w:type="dxa"/>
            <w:vAlign w:val="bottom"/>
          </w:tcPr>
          <w:p>
            <w:pPr>
              <w:spacing w:after="0"/>
              <w:rPr>
                <w:sz w:val="12"/>
                <w:szCs w:val="12"/>
                <w:color w:val="auto"/>
              </w:rPr>
            </w:pPr>
          </w:p>
        </w:tc>
        <w:tc>
          <w:tcPr>
            <w:tcW w:w="400" w:type="dxa"/>
            <w:vAlign w:val="bottom"/>
            <w:gridSpan w:val="3"/>
          </w:tcPr>
          <w:p>
            <w:pPr>
              <w:jc w:val="right"/>
              <w:ind w:right="16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2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2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6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the three months ended March 28, 2026 and totaled $1 million for the three months ended March 29,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vMerge w:val="continue"/>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5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1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5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expenses totaled $20 million and $18 million for the three months ended March 28, 2026 and March 29, 2025, respectively. During the three months ended March 28, 2026 and March 29, 2025, the Company derecognized the cost and accumulated depreciation of fully depreciated assets in the amount of zero and $1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ind w:left="340" w:right="7080" w:hanging="332"/>
        <w:spacing w:after="0" w:line="503"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plans </w:t>
      </w:r>
      <w:r>
        <w:rPr>
          <w:rFonts w:ascii="Times New Roman" w:cs="Times New Roman" w:eastAsia="Times New Roman" w:hAnsi="Times New Roman"/>
          <w:sz w:val="18"/>
          <w:szCs w:val="18"/>
          <w:b w:val="1"/>
          <w:bCs w:val="1"/>
          <w:i w:val="1"/>
          <w:iCs w:val="1"/>
          <w:color w:val="auto"/>
        </w:rPr>
        <w:t>Mobileye Plan</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2025, the stockholders of the Company approved the Amended and Restated Mobileye Global Inc. 2022 Equity Incentive Plan (the “2022 Plan”). Equity awards under the 2022 Plan are granted for Class A shares and vest upon the satisfaction of a service-based vesting condition, mostly over service periods of three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three months ended March 28, 2026 for RSUs granted to Company’s employees under the 2022 Plan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420" w:type="dxa"/>
            <w:vAlign w:val="bottom"/>
            <w:gridSpan w:val="3"/>
          </w:tcPr>
          <w:p>
            <w:pPr>
              <w:ind w:left="198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3"/>
        </w:trPr>
        <w:tc>
          <w:tcPr>
            <w:tcW w:w="48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42"/>
        </w:trPr>
        <w:tc>
          <w:tcPr>
            <w:tcW w:w="486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27, 2025</w:t>
            </w:r>
          </w:p>
        </w:tc>
        <w:tc>
          <w:tcPr>
            <w:tcW w:w="20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28, 2026</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0"/>
        </w:trPr>
        <w:tc>
          <w:tcPr>
            <w:tcW w:w="4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28, 2026, the unrecognized compensation cost related to all unvested RSUs granted under the 2022 Plan, was $401 million, which is expected to be recognized as an expense over a weighted-average period of 2.02 years.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acquisition of Mentee Robotics, 23,651,844 Restricted Shares of Class A common stock were issued to the Mentee Founders. Such Restricted Shares were deposited with a deferred consideration trustee and will be released in equal portions twenty-four and forty-eight months after the closing date of February 3, 2026, subject to continued employment, or under certain circumstances affiliation, with the Company and its subsidiaries. For further detail, refer to Note 13 </w:t>
      </w:r>
      <w:r>
        <w:rPr>
          <w:rFonts w:ascii="Times New Roman" w:cs="Times New Roman" w:eastAsia="Times New Roman" w:hAnsi="Times New Roman"/>
          <w:sz w:val="18"/>
          <w:szCs w:val="18"/>
          <w:i w:val="1"/>
          <w:iCs w:val="1"/>
          <w:color w:val="auto"/>
        </w:rPr>
        <w:t>Business Combination.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Restricted Shares activity for the three months ended March 28, 2026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ind w:left="602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Grant date fair value per</w:t>
            </w:r>
          </w:p>
        </w:tc>
      </w:tr>
      <w:tr>
        <w:trPr>
          <w:trHeight w:val="173"/>
        </w:trPr>
        <w:tc>
          <w:tcPr>
            <w:tcW w:w="616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42"/>
        </w:trPr>
        <w:tc>
          <w:tcPr>
            <w:tcW w:w="616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27, 2025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28, 2026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23,652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28, 2026, the unrecognized compensation cost related to all unvested Restricted Shares, was $199 million, which is expected to be recognized as an expense over a weighted-average period of 3.85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consolidated statements of operations and comprehensive income (loss)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3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42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3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100" w:type="dxa"/>
            <w:vAlign w:val="bottom"/>
            <w:vMerge w:val="restart"/>
          </w:tcPr>
          <w:p>
            <w:pPr>
              <w:jc w:val="right"/>
              <w:ind w:right="1639"/>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earnings (loss)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9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360" w:type="dxa"/>
            <w:vAlign w:val="bottom"/>
            <w:gridSpan w:val="3"/>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80" w:type="dxa"/>
            <w:vAlign w:val="bottom"/>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0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00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(3,818)</w:t>
            </w:r>
          </w:p>
        </w:tc>
        <w:tc>
          <w:tcPr>
            <w:tcW w:w="36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basic and diluted</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28, 2026 and March 29, 2025, the computation of diluted earnings (loss) per share attributable to common stockholders does not include 49.8 million and 21.4 million potential common shares, respectively, related to restricted stock units granted under the 2022 Plan to the Company’s employees and restricted shares granted as part of the acquisition of Mentee Robotics, as the effect of their inclusion would have been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76"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As the Company has jurisdictions that have sustained recent losses, a valuation allowance is required for deferred tax assets for which no benefit can be currently realized.</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Benefit for income tax in the three months ended March 28, 2026, was $64 million compared to a provision for income tax of $(3) million for the three months ended March 29, 2025. This $67 million change was primarily due to the deferred tax effect of goodwill impairment to the Mobileye reporting unit recorded in the three months ended March 28,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PARTIES TRANSACTIONS</w:t>
      </w:r>
    </w:p>
    <w:p>
      <w:pPr>
        <w:spacing w:after="0" w:line="22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For further description of the arrangements refer to Note 9 of the notes to the consolidated financial statements for the year ended December 27, 2025.</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227"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$0.1 million and $1.0 million for the three months ended March 28, 2026 and March 29, 2025, respectively.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2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March 28, 2026 were immaterial and totaled $0.7 million for the three months ended March 29, 2025.</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as well as paid for certain security related costs. For the three months ended March 28, 2026 and March 29, 2025, travel related reimbursements and security related costs were $0.8 million and $1.1 million,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costs incurred under this agreement for the three months ended March 28, 2026 and March 29, 2025 were $0.2 million and $0.9 million,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Pursuant to the Technology and Services Agreement, the Company and Intel agree to statements of work with additional terms for Technology Projects.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amounts incurred under this agreement for the three months ended March 28, 2026 and March 29, 2025 were $0.3 million and $0.5 million,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On August 14, 2024, Mobileye and Intel entered into an Amended and Restated Tax Sharing Agreement, which incorporated certain clarifying amendments into the original Tax Sharing Agreement. As a result of the Tax Deconsolidation, starting July 12, 2025, the computation of cash payable between the Company and Intel, under the Amended and Restated Tax Sharing Agreement, is no longer applicable with respect to U.S. federal income taxes. However, other obligations of the parties under the Amended and Restated Tax Sharing Agreement remain in effect. As of March 28, 2026 and December 27, 2025, the related party payable to Intel, pursuant to the Tax Sharing Agreement was zero.</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Mentee Robotics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3, 2026, the Company and Mobileye Vision Technologies Ltd. (a wholly-owned indirect subsidiary of the Company) acquired 100% of the issued and outstanding stock of Mentee Robotics, pursuant to the Share Purchase Agreement, by and among the Company, Mobileye Vision Technologies Ltd., Mentee Robotics Ltd., the shareholders of Mentee Robotics, and Shareholder Representative Services LLC, as the exclusive representative of the Mentee Robotics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Acquisition was approved by the Board, acting on the recommendation of a strategic transaction committee consisting of four disinterested directors (two of whom are independent). The Audit Committee of the Board also approved the Acquisition pursuant to the Company’s Related Persons Transaction Policy. Intel, as the sole beneficial holder of the Company’s issued and outstanding Class B common stock, also approved the Acquisition pursuant to the Company’s Amended and Restated Certificate of Incorporation. Prof. Amnon Shashua recused himself from the Board’s consideration and approval of the Acquisition. Prof. Shashua, President and CEO of the Company, is the Chairman, Co-Founder and a significant shareholder of Mentee Robotics, and Prof. Shai Shalev-Shwartz Chief Technology Officer of the Company, is Co-Founder and a significant shareholder of Mentee Robotics. In addition, Prof. Shashua’s son and son-in-law, are both employees of Mentee Robotics, and received consideration for their vested and unvested options pursuant to the terms of the Share Purchase Agreement. The Audit Committee of the Board also approved the Acquisition pursuant to the Company’s Related Persons Transaction Policy. Stock based compensation expenses for restricted shares issued to related parties as part of the acquisition, totaled $6 million for the three months ended March 28, 2026. For further detail, refer to Note 13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IDENTIFIED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6"/>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December 27, 2025</w:t>
            </w: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60" w:type="dxa"/>
            <w:vAlign w:val="bottom"/>
            <w:gridSpan w:val="2"/>
          </w:tcPr>
          <w:p>
            <w:pPr>
              <w:jc w:val="right"/>
              <w:ind w:right="99"/>
              <w:spacing w:after="0" w:line="118"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0"/>
                <w:szCs w:val="10"/>
                <w:color w:val="auto"/>
              </w:rPr>
            </w:pPr>
          </w:p>
        </w:tc>
        <w:tc>
          <w:tcPr>
            <w:tcW w:w="1100" w:type="dxa"/>
            <w:vAlign w:val="bottom"/>
            <w:gridSpan w:val="4"/>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20" w:type="dxa"/>
            <w:vAlign w:val="bottom"/>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0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80" w:type="dxa"/>
            <w:vAlign w:val="bottom"/>
            <w:gridSpan w:val="3"/>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16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Developed IP</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4,610</w:t>
            </w:r>
          </w:p>
        </w:tc>
        <w:tc>
          <w:tcPr>
            <w:tcW w:w="1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4,482</w:t>
            </w:r>
          </w:p>
        </w:tc>
        <w:tc>
          <w:tcPr>
            <w:tcW w:w="1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3,316</w:t>
            </w:r>
          </w:p>
        </w:tc>
        <w:tc>
          <w:tcPr>
            <w:tcW w:w="20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17"/>
        </w:trPr>
        <w:tc>
          <w:tcPr>
            <w:tcW w:w="5920" w:type="dxa"/>
            <w:vAlign w:val="bottom"/>
          </w:tcPr>
          <w:p>
            <w:pPr>
              <w:ind w:left="58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020" w:type="dxa"/>
            <w:vAlign w:val="bottom"/>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420" w:type="dxa"/>
            <w:vAlign w:val="bottom"/>
            <w:gridSpan w:val="2"/>
          </w:tcPr>
          <w:p>
            <w:pPr>
              <w:jc w:val="right"/>
              <w:ind w:right="11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2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r>
      <w:tr>
        <w:trPr>
          <w:trHeight w:val="173"/>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Developed IP</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80" w:type="dxa"/>
            <w:vAlign w:val="bottom"/>
            <w:gridSpan w:val="2"/>
          </w:tcPr>
          <w:p>
            <w:pPr>
              <w:jc w:val="right"/>
              <w:ind w:right="2"/>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34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4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3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2030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Thereafter</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0"/>
        </w:trPr>
        <w:tc>
          <w:tcPr>
            <w:tcW w:w="2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reportable operating segment and Moovit, which is a mobility-as-a-service company, is presented within “Other” as per ASC 280, Segment Reporting.</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CODM uses segment performance to allocate resources to segments in the annual budget and forecasting process and also uses that measure to assess the segment performance.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Segment performance is the operating income (loss) reported excluding the amortization of acquisition-related intangible assets, share-based compensation expense, impairment of goodwill and acquisition related expenses.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measure of assets has not been disclosed for each segment as it is not regularly provided to the CODM.</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consolidated financial statements for the fiscal year ended December 27, 2025.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700" w:type="dxa"/>
            <w:vAlign w:val="bottom"/>
            <w:gridSpan w:val="2"/>
          </w:tcPr>
          <w:p>
            <w:pPr>
              <w:ind w:left="2440"/>
              <w:spacing w:after="0"/>
              <w:rPr>
                <w:sz w:val="20"/>
                <w:szCs w:val="20"/>
                <w:color w:val="auto"/>
              </w:rPr>
            </w:pPr>
            <w:r>
              <w:rPr>
                <w:rFonts w:ascii="Times New Roman" w:cs="Times New Roman" w:eastAsia="Times New Roman" w:hAnsi="Times New Roman"/>
                <w:sz w:val="14"/>
                <w:szCs w:val="14"/>
                <w:color w:val="auto"/>
              </w:rPr>
              <w:t>​​​</w:t>
            </w:r>
          </w:p>
        </w:tc>
        <w:tc>
          <w:tcPr>
            <w:tcW w:w="33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2560" w:type="dxa"/>
            <w:vAlign w:val="bottom"/>
          </w:tcPr>
          <w:p>
            <w:pPr>
              <w:ind w:left="2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400" w:type="dxa"/>
            <w:vAlign w:val="bottom"/>
            <w:tcBorders>
              <w:top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top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vMerge w:val="continue"/>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25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25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2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25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2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400" w:type="dxa"/>
            <w:vAlign w:val="bottom"/>
            <w:gridSpan w:val="2"/>
            <w:shd w:val="clear" w:color="auto" w:fill="CCEEFF"/>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880" w:type="dxa"/>
            <w:vAlign w:val="bottom"/>
          </w:tcPr>
          <w:p>
            <w:pPr>
              <w:spacing w:after="0"/>
              <w:rPr>
                <w:sz w:val="24"/>
                <w:szCs w:val="24"/>
                <w:color w:val="auto"/>
              </w:rPr>
            </w:pPr>
          </w:p>
        </w:tc>
        <w:tc>
          <w:tcPr>
            <w:tcW w:w="270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w:t>
            </w:r>
          </w:p>
        </w:tc>
        <w:tc>
          <w:tcPr>
            <w:tcW w:w="33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0" w:type="dxa"/>
            <w:vAlign w:val="bottom"/>
          </w:tcPr>
          <w:p>
            <w:pPr>
              <w:spacing w:after="0"/>
              <w:rPr>
                <w:sz w:val="1"/>
                <w:szCs w:val="1"/>
                <w:color w:val="auto"/>
              </w:rPr>
            </w:pPr>
          </w:p>
        </w:tc>
      </w:tr>
      <w:tr>
        <w:trPr>
          <w:trHeight w:val="142"/>
        </w:trPr>
        <w:tc>
          <w:tcPr>
            <w:tcW w:w="38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560" w:type="dxa"/>
            <w:vAlign w:val="bottom"/>
          </w:tcPr>
          <w:p>
            <w:pPr>
              <w:ind w:left="24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top w:val="single" w:sz="8" w:color="auto"/>
            </w:tcBorders>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25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25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2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25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2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shd w:val="clear" w:color="auto" w:fill="CCEEFF"/>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3880" w:type="dxa"/>
            <w:vAlign w:val="bottom"/>
          </w:tcPr>
          <w:p>
            <w:pPr>
              <w:spacing w:after="0"/>
              <w:rPr>
                <w:sz w:val="24"/>
                <w:szCs w:val="24"/>
                <w:color w:val="auto"/>
              </w:rPr>
            </w:pPr>
          </w:p>
        </w:tc>
        <w:tc>
          <w:tcPr>
            <w:tcW w:w="25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304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0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400" w:type="dxa"/>
            <w:vAlign w:val="bottom"/>
            <w:gridSpan w:val="3"/>
          </w:tcPr>
          <w:p>
            <w:pPr>
              <w:jc w:val="right"/>
              <w:ind w:right="12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3"/>
        </w:trPr>
        <w:tc>
          <w:tcPr>
            <w:tcW w:w="4300" w:type="dxa"/>
            <w:vAlign w:val="bottom"/>
            <w:vMerge w:val="continue"/>
          </w:tcPr>
          <w:p>
            <w:pPr>
              <w:spacing w:after="0"/>
              <w:rPr>
                <w:sz w:val="15"/>
                <w:szCs w:val="15"/>
                <w:color w:val="auto"/>
              </w:rPr>
            </w:pPr>
          </w:p>
        </w:tc>
        <w:tc>
          <w:tcPr>
            <w:tcW w:w="304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Slovakia</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24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24"/>
        <w:spacing w:after="0" w:line="201"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92% and 94% of our revenue for each of the three months ended March 28, 2026 and March 29, 2025,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ind w:left="72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50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7400" w:type="dxa"/>
            <w:vAlign w:val="bottom"/>
          </w:tcPr>
          <w:p>
            <w:pPr>
              <w:ind w:left="726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left="3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Pr>
          <w:p>
            <w:pPr>
              <w:spacing w:after="0"/>
              <w:rPr>
                <w:sz w:val="11"/>
                <w:szCs w:val="11"/>
                <w:color w:val="auto"/>
              </w:rPr>
            </w:pPr>
          </w:p>
        </w:tc>
      </w:tr>
      <w:tr>
        <w:trPr>
          <w:trHeight w:val="173"/>
        </w:trPr>
        <w:tc>
          <w:tcPr>
            <w:tcW w:w="7400" w:type="dxa"/>
            <w:vAlign w:val="bottom"/>
          </w:tcPr>
          <w:p>
            <w:pPr>
              <w:ind w:left="72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revenues:</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432"/>
        </w:trPr>
        <w:tc>
          <w:tcPr>
            <w:tcW w:w="876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400" w:type="dxa"/>
            <w:vAlign w:val="bottom"/>
          </w:tcPr>
          <w:p>
            <w:pPr>
              <w:ind w:left="72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7"/>
        </w:trPr>
        <w:tc>
          <w:tcPr>
            <w:tcW w:w="7400" w:type="dxa"/>
            <w:vAlign w:val="bottom"/>
          </w:tcPr>
          <w:p>
            <w:pPr>
              <w:ind w:left="72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920" w:type="dxa"/>
            <w:vAlign w:val="bottom"/>
          </w:tcPr>
          <w:p>
            <w:pPr>
              <w:jc w:val="center"/>
              <w:ind w:left="70"/>
              <w:spacing w:after="0" w:line="118"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180" w:type="dxa"/>
            <w:vAlign w:val="bottom"/>
            <w:gridSpan w:val="2"/>
          </w:tcPr>
          <w:p>
            <w:pPr>
              <w:spacing w:after="0"/>
              <w:rPr>
                <w:sz w:val="10"/>
                <w:szCs w:val="10"/>
                <w:color w:val="auto"/>
              </w:rPr>
            </w:pPr>
          </w:p>
        </w:tc>
      </w:tr>
      <w:tr>
        <w:trPr>
          <w:trHeight w:val="173"/>
        </w:trPr>
        <w:tc>
          <w:tcPr>
            <w:tcW w:w="7400" w:type="dxa"/>
            <w:vAlign w:val="bottom"/>
          </w:tcPr>
          <w:p>
            <w:pPr>
              <w:spacing w:after="0"/>
              <w:rPr>
                <w:sz w:val="15"/>
                <w:szCs w:val="15"/>
                <w:color w:val="auto"/>
              </w:rPr>
            </w:pPr>
          </w:p>
        </w:tc>
        <w:tc>
          <w:tcPr>
            <w:tcW w:w="940" w:type="dxa"/>
            <w:vAlign w:val="bottom"/>
            <w:gridSpan w:val="2"/>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accounts receivables balance:</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gridSpan w:val="2"/>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MARKETABLE SECURITIES AND DEPOSITS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Marketable securities include U.S. government and corporate bonds for original maturities of up to 12 months and are classified as available for sale and measured at fair value with the related unrealized gains and losses included in other comprehensive income (loss), net. Short term deposits are short term unrestricted highly liquid investments with original maturities of more than three months at acquisition.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 and short term deposits: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58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2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spacing w:after="0"/>
              <w:rPr>
                <w:sz w:val="15"/>
                <w:szCs w:val="15"/>
                <w:color w:val="auto"/>
              </w:rPr>
            </w:pPr>
          </w:p>
        </w:tc>
      </w:tr>
      <w:tr>
        <w:trPr>
          <w:trHeight w:val="271"/>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6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23"/>
                <w:szCs w:val="2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3"/>
                <w:szCs w:val="2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U.S. corporate bonds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1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2"/>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r>
      <w:tr>
        <w:trPr>
          <w:trHeight w:val="369"/>
        </w:trPr>
        <w:tc>
          <w:tcPr>
            <w:tcW w:w="2840" w:type="dxa"/>
            <w:vAlign w:val="bottom"/>
          </w:tcPr>
          <w:p>
            <w:pPr>
              <w:spacing w:after="0"/>
              <w:rPr>
                <w:sz w:val="24"/>
                <w:szCs w:val="24"/>
                <w:color w:val="auto"/>
              </w:rPr>
            </w:pPr>
          </w:p>
        </w:tc>
        <w:tc>
          <w:tcPr>
            <w:tcW w:w="158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2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spacing w:after="0"/>
              <w:rPr>
                <w:sz w:val="15"/>
                <w:szCs w:val="15"/>
                <w:color w:val="auto"/>
              </w:rPr>
            </w:pPr>
          </w:p>
        </w:tc>
      </w:tr>
      <w:tr>
        <w:trPr>
          <w:trHeight w:val="257"/>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6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2"/>
                <w:szCs w:val="22"/>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2"/>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1:24-CV-01390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Oral argument was held on December 4, 2025. On December 16, 2025, the Second Circuit issued a summary order affirming the Court’s dismissal of the second amended complaint in full. The time for the plaintiff to seek further review by filing a petition for a writ of certiorari with the U.S. Supreme Court has expired, and no such petition was filed. No provision was recorded in the condensed consolidated financial statements as of March 28, 2026.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26, 2024, Facet Technology Corp. (“Facet”) sued Mobileye in the U.S. District Court for the Eastern District of Texas for patent infringement. The suit accuses Mobileye Global Inc., Mobileye Vision Technologies Ltd., and Mobileye Inc. of allegedly infringing two expired patents. Despite expiration of the patents, the suit seeks injunctive relief and a permanent injunction as well as unspecified damages, fees and costs. Mobileye Vision Technologies Ltd. and Mobileye Inc., sued Facet in the U.S. District Court of Minnesota seeking a declaratory judgment of non-infringement of both patents. Before either action was answered, the Patent Trial and Appeal Board (“PTAB”) of the US Patent and Trademark Office instituted two </w:t>
      </w:r>
      <w:r>
        <w:rPr>
          <w:rFonts w:ascii="Times New Roman" w:cs="Times New Roman" w:eastAsia="Times New Roman" w:hAnsi="Times New Roman"/>
          <w:sz w:val="18"/>
          <w:szCs w:val="18"/>
          <w:i w:val="1"/>
          <w:iCs w:val="1"/>
          <w:color w:val="auto"/>
        </w:rPr>
        <w:t>Inter Parte Review</w:t>
      </w:r>
      <w:r>
        <w:rPr>
          <w:rFonts w:ascii="Times New Roman" w:cs="Times New Roman" w:eastAsia="Times New Roman" w:hAnsi="Times New Roman"/>
          <w:sz w:val="18"/>
          <w:szCs w:val="18"/>
          <w:color w:val="auto"/>
        </w:rPr>
        <w:t xml:space="preserve"> (IPR) proceedings on both patents, and both district court actions were stayed. The parties are challenging aspects of the PTAB’s determinations, and the district court actions remain stayed. We intend to defend these matters vigorously. No provision was recorded in the condensed consolidated financial statements as of March 28,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carrying amount of goodwill by segment as of March 28, 2026 and December 27,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38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4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(1)</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4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w:t>
            </w:r>
          </w:p>
        </w:tc>
      </w:tr>
      <w:tr>
        <w:trPr>
          <w:trHeight w:val="20"/>
        </w:trPr>
        <w:tc>
          <w:tcPr>
            <w:tcW w:w="24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Goodwill arising from the acquisition of Mentee Robotics has been allocated to the Mobileye reporting segment.</w:t>
      </w:r>
    </w:p>
    <w:p>
      <w:pPr>
        <w:spacing w:after="0" w:line="22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During the first quarter of 2026, the Company performed an interim quantitative goodwill impairment analysis for the “Mobileye” reporting unit, due to a 35% decline in the price of the Company’s Class A common stock, and corresponding market capitalization since the most recent assessment date, as well as increased uncertainty in the macroeconomic and geopolitical environment. The quantitative assessment was performed by measuring the reporting unit’s fair value using the income approach, based on the expected present value of estimated future cash flows. The fair value measurement is categorized as Level 3 within the fair value hierarchy due to the use of unobservable inputs such as financial projections, terminal growth rate, and discount rate. When using the income approach, we tested the reasonableness of the inputs and outcomes of our discounted cash flow analysis against available market data. As part of this analysis, we determined that a significant increase in the discount rate was required relative to the discount rate used in our most recent assessment. This increase resulted from higher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Mobileye-specific risk premiums associated with changes in global macroeconomic conditions in 2026, including heightened geopolitical risks related to operations in the Middle East, particularly the conflict between Israel and Iran, as well as increased uncertainty related to the evolving competitive landscape.</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the impairment analysis indicated that the carrying value of the Mobileye reporting unit was in excess of its fair value. Therefore, the Company has recorded a non-cash impairment loss of $3,788 million, under “goodwill impairment” in the Condensed Consolidated Statements of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impairment conclusion is sensitive to the market capitalization in that a further sustained decline in the Company’s market capitalization may require additional analysis to support the reasonability of our implied control premium, and may require further adjustments to certain key assumptions underlying our valuation.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was identified in any of the other reporting units.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BUSINESS COMBINATIONS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February 3, 2026, the Company and Mobileye Vision Technologies Ltd. (a wholly-owned indirect subsidiary of the Company) acquired 100% of the issued and outstanding stock of Mentee Robotics, an AI-first humanoid robotics company, pursuant to the Share Purchase Agreement.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Share Purchase Agreement provided for an aggregate purchase price of $900 million, which consisted of (i) approximately $612 million in cash, and (ii) 26,279,824 shares of Class A common stock of the Company. The entirety of such Class A common stock was allocated to the Mentee Founders (the “Aggregate Stock Consideration”). 10% of the Aggregate Stock Consideration is subject to a six month lock-up period pursuant to a Lock-Up Agreement. The remaining 90% of the Aggregate Stock Consideration was deposited with a deferred consideration trustee and will be released in equal portions twenty-four and forty-eight months after the closing date of February 3, 2026, subject to continued employment, or under certain circumstances affiliation, with the Company and its subsidiaries. Prof. Amnon Shashua received 37.83% of the total consideration, valued at approximately $341 million, paid evenly in cash and Class A Common Stock, and Prof. Shai Shalev-Shwartz received 13.07% of the total consideration, valued at approximately $118 million, paid evenly in cash and the Company’s Class A common stock.</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closing, $95 million of the purchase price was deposited with an escrow agent (provided that with respect to the Mentee Founders, 50% of their pro rata portion of the escrow was deposited in the form of Class A common stock) to secure the post-closing purchase price adjustments and certain indemnification obligations of the shareholders of Mentee Robotics.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Share Purchase Agreement, (i) all vested options to acquire shares of Mentee Robotics (each option, a “Mentee Option”) and 20% of unvested Mentee Options (“Accelerated Options”) were cancelled and converted into the right to receive a portion of the cash consideration based on the intrinsic value of such Mentee Options at the purchase price and (ii) all remaining unvested Mentee Options were cancelled and converted into the right to receive a number of unvested RSUs of the Company calculated based on the volume weighted average of the closing sale prices for the Company’s Class A common stock over the thirty (30) Trading Days ending immediately prior to February 3, 2026 and with a value equal to the intrinsic value of such Mentee Options at the purchase price.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 Purchase Agreement contains customary representations, warranties and covenants of the Company, Mobileye Vision Technologies Ltd. and Mentee Robotics, certain of which (except for the representations and warranties of the Company) shall survive the closing of the Acquisition. The shareholders of Mentee Robotics have agreed to indemnify the Company and Mobileye Vision Technologies Ltd. for certain breaches of representations, warranties and covenants.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purchase consideration for the Acquisition of Mentee Robotics: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10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U.S. dollars in millions</w:t>
            </w:r>
          </w:p>
        </w:tc>
      </w:tr>
      <w:tr>
        <w:trPr>
          <w:trHeight w:val="209"/>
        </w:trPr>
        <w:tc>
          <w:tcPr>
            <w:tcW w:w="6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outstanding Mentee shares (1)</w:t>
            </w:r>
          </w:p>
        </w:tc>
        <w:tc>
          <w:tcPr>
            <w:tcW w:w="140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paid for vested Mentee options (2)</w:t>
            </w:r>
          </w:p>
        </w:tc>
        <w:tc>
          <w:tcPr>
            <w:tcW w:w="1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Mobileye Class A common stock issued to Mentee Founders (3)</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Mentee options assumed by Mobileye (4)</w:t>
            </w: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400" w:type="dxa"/>
            <w:vAlign w:val="bottom"/>
            <w:gridSpan w:val="2"/>
          </w:tcPr>
          <w:p>
            <w:pPr>
              <w:spacing w:after="0"/>
              <w:rPr>
                <w:sz w:val="18"/>
                <w:szCs w:val="18"/>
                <w:color w:val="auto"/>
              </w:rPr>
            </w:pP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r>
      <w:tr>
        <w:trPr>
          <w:trHeight w:val="20"/>
        </w:trPr>
        <w:tc>
          <w:tcPr>
            <w:tcW w:w="2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r>
    </w:tbl>
    <w:p>
      <w:pPr>
        <w:spacing w:after="0" w:line="76"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cash consideration paid to Mentee Robotics shareholders for their outstanding Mentee shares.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cash consideration paid to Mentee Robotics employees for their vested options and accelerated options (which were converted into the right to receive cash consideration) for the portion attributable to the pre-combination service period. The portion of accelerated options value which is attributable to post-combination service period, amounted to $4 million and was recognized as an immediate expense.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left="34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the Class A common stock (as of the closing date) issued to Mentee Founders that are not subject to continuing employment (10% of the Aggregate Stock Consideration). The substantial majority of the Class A common stock issued to Mentee Founders (90% of the Aggregate Stock Consideration) is contingent on continuing employment and therefore not recognized as part of the total purchase consideration of $637 million. The fair value of these Restricted Shares, amounting to $207 million will be recognized as share-based compensation expense over two and four years.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Mentee Robotics options attributable to pre-acquisition services. The fair value of Mobileye RSUs that replaced Mentee Robotics unvested options that is attributable to post-combination services amounts to $10 million and will be recognized as an expense over a service period of up to four years.</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purchase consideration has been allocated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U.S. dollars in millions</w:t>
            </w:r>
          </w:p>
        </w:tc>
      </w:tr>
      <w:tr>
        <w:trPr>
          <w:trHeight w:val="209"/>
        </w:trPr>
        <w:tc>
          <w:tcPr>
            <w:tcW w:w="5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(1)</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7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7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r>
      <w:tr>
        <w:trPr>
          <w:trHeight w:val="20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7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net assets acquired (2)</w:t>
            </w:r>
          </w:p>
        </w:tc>
        <w:tc>
          <w:tcPr>
            <w:tcW w:w="2780" w:type="dxa"/>
            <w:vAlign w:val="bottom"/>
          </w:tcPr>
          <w:p>
            <w:pPr>
              <w:spacing w:after="0"/>
              <w:rPr>
                <w:sz w:val="18"/>
                <w:szCs w:val="18"/>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r>
      <w:tr>
        <w:trPr>
          <w:trHeight w:val="20"/>
        </w:trPr>
        <w:tc>
          <w:tcPr>
            <w:tcW w:w="24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million.</w:t>
      </w:r>
    </w:p>
    <w:p>
      <w:pPr>
        <w:spacing w:after="0" w:line="185" w:lineRule="exact"/>
        <w:rPr>
          <w:sz w:val="20"/>
          <w:szCs w:val="20"/>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Developed IP Asset was determined using the Multi-Period Excess Earnings Method and will be amortized over a useful life of 9 years. The significant assumptions used include useful economic life, estimated annual net cash flows, discount rate and applicable tax rate.</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assets and liabilities acquired is based on our preliminary valuations. Final adjustments may be made to the purchase price allocation if more information becomes available.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goodwill is primarily attributable to the expected synergies and other benefits that will be generated from the combination of Mobileye and Mentee Robotics, as well as the value attributable to the assembled workforce. Goodwill arising from the Acquisition has been allocated to the Mobileye reporting segment.</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Law for Encouragement of Knowledge-Intensive Industry (Temporary Order) — 2023 by the Israel Tax Authorities, generally referred to as the “Angels Law”, offers several incentives to promote investments in Israeli high-tech companies. Notably, it allows a five-year amortization period for the acquisition cost of an Israeli high-tech company. To qualify for this tax benefit, certain requirements must be met, as defined by the Angels Law. The Company expects the acquisition of Mentee Robotics to satisfy the requirements for tax incentives under the Angels Law.</w:t>
      </w:r>
    </w:p>
    <w:p>
      <w:pPr>
        <w:spacing w:after="0" w:line="124"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For U.S. tax purposes, the Company has elected to treat the acquisition as an asset purchase. The election will result in a step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in the tax basis of the acquired assets to their estimated fair values. The step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will create deductible temporary differences primarily related to intangible assets and goodwill, which are expected to be amortized over fifteen years for U.S. tax purposes.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28, 2026, we incurred $6 million of transaction costs related to the Acquisition which were recorded in general and administrative expenses in the condensed consolidated statements of operations and comprehensive income (loss).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operating results of Mentee Robotics have been included in the condensed consolidated statements of operations and comprehensive income (loss) since the acquisition date and are not material. Proforma financial information has not been presented because the impact of the acquisition was not material to the condensed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30, 2026, the Company’s compensation committee approved the issuance of restricted stock units to be issued under our 2022 Plan. The total aggregate fair value of RSUs granted was $21.0 million, which consisted of 2,906 thousand RSUs, which will vest over a service period of three years.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25 years ago and have continuously expanded the scope of our ADAS offerings, while leading the evolution to autonomous driving solutions. On February 3, 2026, we completed the acquisition of Mentee Robotics, a humanoid robotics company. This acquisition combines Mobileye’s advanced artificial intelligence (“AI”) technology and global production expertise with Mentee Robotics’ breakthrough humanoid platform and deep AI talent, creating a comprehensive provider of Physical AI technology across two transformative markets: autonomous driving and humanoid robotics.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As of March 28, 2026, our solutions had been installed in approximately 1,400 vehicle models (including local country, year, and other vehicle model variations), and our System-on-Chips (“SoCs”) had been deployed in more than 248 million vehicles. We are actively working with more than 50 Original Equipment Manufacturers (“OEMs”) worldwide on the implementation of our ADAS solutions. In the three months ended March 28, 2026, we shipped approximately 10.8 million of our systems, the substantial majority of which were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This represents an increase from the approximately 8.5 million of our systems that we shipped in the first three months of 2025.</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responded. In addition, Iran, Hezbollah and the Houthi movement attacked military and civilian targets in Israel, to which Israel responded, including through increased air and/or ground operations in Lebanon, Syria, Yemen and Iran. Following years of conflict in the region, on October 9, 2025, Israel, Hamas, the United States and other countries in the region agreed to a framework for a ceasefire in Gaza between Israel and Hamas. On February 28, 2026, the United States and Israel launched joint combat operations in Iran to which Iran and Hezbollah responded with ballistic missile and drone attacks on Israel as well as other countries and U.S. military bases in the region. On April 8, 2026, the United States and Iran agreed to a two-week ceasefire.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April 15, 2026 approximately 7.0% of our employees have been called to reserve duty in the Israel Defense Forces. However, since these are events beyond our control, their continuation or cessation may affect our expectations. We continue to monitor political and military developments closely and examine the consequences for our operations and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Mentee Robotics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3, 2026, the Company and Mobileye Vision Technologies Ltd. (a wholly-owned indirect subsidiary of the Company) acquired 100% of the issued and outstanding stock of Mentee Robotics (such transaction, the “Acquisition”), pursuant to a share purchase agreement dated as of January 5, 2026, by and among the Company, Mobileye Vision Technologies Ltd., Mentee Robotics, the shareholders of Mentee Robotics, and Shareholder Representative Services LLC, as the exclusive representative of the Mentee Robotics shareholders. The Share Purchase Agreement provided for an aggregate purchase price of $900 million, which consisted of (i) approximately $612 million in cash (subject to certain adjustments,) and (ii) 26,279,824 shares of Class A common stock of the Company. The entirety of such Class A common stock was allocated to the founders of Mentee Robotics, which include Prof. Shashua, our President and CEO, and Prof. Shai Shalev-Shwartz, our Chief Technology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We are now approaching the start of production of an advanced set of solutions, including Mobileye Surround ADAS™, Mobileye SuperVision™, Mobileye Chauffeur™ and Mobileye Drive™. These solutions are propelled by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SoC and subsequent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generations, our next-generation software solutions, and our software-defined imaging radars. We expect these solutions will, over time, meaningfully contribute to changes in our mix of revenue and result in broader adoption of premium ADAS and AV products by our customers.</w:t>
      </w:r>
    </w:p>
    <w:p>
      <w:pPr>
        <w:spacing w:after="0" w:line="19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2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with STMicroelectronics,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have also established relationships with several suppliers, such as Quanta Computer, to develop and assemble our ECUs, including the design for our Mobileye SuperVision™, which includes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SoCs manufactured by STMicroelectronics. As part of an effort to establish redundancy and better control of our supply chain, we have sought additional qualified suppliers, and we have recently entered into an agreement with TSMC (Taiwan Semiconductor Manufacturing Company Ltd.) pursuant to which it will manufacture components of our imaging radar and some of our future generations of our EyeQ™ product, and potentially other future products.</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Intel’s strength in government affairs and policy development around the world will continue to be of significant value to us as we collaborate with regulators who are preparing frameworks to enable commercial deployment of AVs.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22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and inflation may contribute to a reduction in consumer demand. In addition to economic conditions, in prior periods we have experienced variability in customer ordering patterns and demand timing driven by supply chain disruptions, inventory management practices and changes in OEM production expectations, including customers accelerating orders during periods of constrained supply and subsequently utilizing accumulated inventory before placing new orders. While these dynamics have largely normalized, similar fluctuations in customer ordering behavior, production estimates or inventory levels may recur in future periods and could result in variability in the timing of our revenue recognition. Additionally, recent increased demand for semi-conductor and other components has resulted in component shortages, price increases and longer order lead times, which may increase the pricing of our solutions and/or our ability to meet our customers’ demand. Certain Tier 1 customers may increase their orders for our solutions to counteract these component shortages and any resulting price increases or other impacts, causing some demand for our solutions and the corresponding revenue to be shifted to earlier time period than otherwise would have occurred. ADAS volumes have grown faster in recent years than the overall automotive market as ADAS penetration rates have increased, and we believe that we will continue to benefit from that trend. Our revenue of $558 million in the three months ended March 28, 2026 was up 27% year-over-year.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20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and integration of new technologies and expansion into adjacent markets. </w:t>
      </w:r>
      <w:r>
        <w:rPr>
          <w:rFonts w:ascii="Times New Roman" w:cs="Times New Roman" w:eastAsia="Times New Roman" w:hAnsi="Times New Roman"/>
          <w:sz w:val="18"/>
          <w:szCs w:val="18"/>
          <w:color w:val="auto"/>
        </w:rPr>
        <w:t>Our results of operations may be affected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our ability to successfully integrate acquired businesses and technologies and to effectively allocate resources to new areas of development. On February 3, 2026, we acquired Mentee Robotics, a privately held Israeli company focused on humanoid robotics. The integration of Mentee Robotics’ personnel, technology and operations may require significant management attention, capital investment and operating expenses, and we may not realize the anticipated benefits of the acquisition on the expected timeline or at all. Humanoid robotics is a nascent and rapidly evolving area characterized by significant technical complexity, long development timelines, potentially high capital requirements, uncertain customer demand and evolving regulatory and safety frameworks. Our investment in this area may result in increased research and development and operating expenses and may divert resources from our core ADAS and autonomous driving initiatives. In addition, the timing and extent of commercialization of humanoid robotics solutions remains uncertain with respect to scalability, economic viability and regulatory approval. As a result, our expansion into adjacent markets, including through the acquisition of Mentee Robotics, may adversely affect our results of operations, margins and cash flows, particularly in the near to medium term.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policies, sanctions and import and export controls. </w:t>
      </w:r>
      <w:r>
        <w:rPr>
          <w:rFonts w:ascii="Times New Roman" w:cs="Times New Roman" w:eastAsia="Times New Roman" w:hAnsi="Times New Roman"/>
          <w:sz w:val="18"/>
          <w:szCs w:val="18"/>
          <w:color w:val="auto"/>
        </w:rPr>
        <w:t>Trade policies and international disputes at times result in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tariffs, trade barriers and other restrictions, which can increase our manufacturing costs, make our solutions less competitive, reduce demand for our solutions, limit our ability to sell to certain customers, limit our ability to procure raw components or raw materials or impede or slow the movement of our goods across borders. In addition, tariffs could lead to higher prices for finished automobiles, which would reduce demand for automobiles and thus the market for our products. During 2025, the United States implemented a series of broad-based and sector-specific tariffs affecting passenger vehicles, automotive components and other industrial inputs, as well as country-specific tariff regimes and reciprocal trade measures. These actions were accompanied by ongoing bilateral and multilateral negotiations, interim trade agreements, pauses, delays and retaliatory measures by certain countries, resulting in significant uncertainty regarding the scope, timing and duration of applicable tariffs and export controls. In addition, sector-specific measures announced during 2025, including tariffs on certain raw materials, and export controls affecting the semiconductor supply chain, have increased complexity and risk across global automotive and technology markets. As of the date of this report, there remains a high degree of uncertainty surrounding U.S. trade policy, how it will be implemented, how other countries will react, and how it will ultimately impact our industry and business. For example, our customers may have shifted or will shift orders for components and parts, including our solutions, adjust sourcing strategies or modify productions schedules, which could shift demand for our solutions and corresponding revenue between periods. While we continually evaluate changes in U.S. trade policy and global reactions thereto, as well as our ability to mitigate their impact, these developments may negatively impact our customers, our results of operations and our business. For additional information, see “Item IA - Risk Factors - We are subject to risk related to trade policies, sanctions, and import and export controls” in our 2025 Form 10-K.</w:t>
      </w:r>
    </w:p>
    <w:p>
      <w:pPr>
        <w:spacing w:after="0" w:line="19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 ways to improve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w:t>
      </w:r>
    </w:p>
    <w:p>
      <w:pPr>
        <w:spacing w:after="0" w:line="142"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1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including robotaxi services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2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 revenue and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carry significantly higher prices as compared to our single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advanced solutions become a larger portion of our product mix.</w:t>
      </w:r>
    </w:p>
    <w:p>
      <w:pPr>
        <w:spacing w:after="0" w:line="14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More recently, the AI industry has generated increased demand for components necessary for the production of our solutions, including EyeQ™ SoCs and ECUs for our SuperVision™, Mobileye Chauffeur™ and Mobileye Drive™ solutions. This new demand has resulted in and may continue to result in increased competition for and shortages of components necessary for our solutions and substantial increases in prices for such components.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 chain. The continued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In prior periods, we experienced supply chain disruptions, raw material shortages and manufacturing capacity constraints that reduced the availability of key components, including EyeQ™ SoCs, and resulted in lower inventory levels and limitations on our ability to meet customer demand. As supply conditions improved, we increased inventory levels to help mitigate potential future constraints. However, if similar disruptions were to recur, depending on their duration and severity, we may again be required to operate with reduced inventory levels, which could limit our ability to meet customer demand. As a result, we are substantially reliant on timely shipments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Further, in 2025 and in 2026 the AI industry has generated increased demand for components necessary for the production of our solutions, including EyeQ™ SoCs and ECUs for our SuperVision™, Mobileye Chauffeur™ and Mobileye Drive™ solutions. This new demand has resulted in and may continue to result in incrased competition for and shortages of components necessary for our solutions, substantial increases in prices for such components and suppliers requiring us to increase lead times and purchase greater quantities of such components in advance in order to ensure we secure sufficient supply. Such shortages of components, as well as the increases in pricing, order requirements and lead times, has and may continue to impact our ability to supply solutions to our customers in order to meet demand as well as impact OEMs’ ability to purchase our solutions.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13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expenses. </w:t>
      </w:r>
      <w:r>
        <w:rPr>
          <w:rFonts w:ascii="Times New Roman" w:cs="Times New Roman" w:eastAsia="Times New Roman" w:hAnsi="Times New Roman"/>
          <w:sz w:val="18"/>
          <w:szCs w:val="18"/>
          <w:color w:val="auto"/>
        </w:rPr>
        <w:t>In connection with the Mobileye IPO, we established an equity incentive plan for purposes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to be based on their original vesting schedules. Equity compensation has been, and will continue to be, an important part of our future compensation strategy and a significant component of our future expenses, which we expect to increase over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94"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92% and 94% of our revenue for the three months ended March 28, 2026 and March 29, 2025, respectively. Sales of our SuperVision™ product represented half of the reminder of our revenue for the three months ended March 28, 2026 and less than half of the remainder of our revenue for the three months ended March 29, 2025.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1" w:lineRule="exact"/>
        <w:rPr>
          <w:sz w:val="20"/>
          <w:szCs w:val="20"/>
          <w:color w:val="auto"/>
        </w:rPr>
      </w:pPr>
    </w:p>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our SuperVision™ product,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amortization of acquired intangible asset related to developed IP, quality assurance within the development programs, and allocated overhead costs.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83"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generations, Premium Driver-Assist offerings and the investment in software and hardware infrastructure for our AV solutions and active sensor suite.</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moderately increase in absolute dollars but to decrease as a percentage of total revenue as our business grows. The expected increase is mainly associated with the costs related to being a public company, as well as the increased use of share-based compensation for general and administrative personnel.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impairment expenses consist of a non-cash impairment loss recognized for the goodwill of the “Mobileye” reporting unit in the three months ended March 28, 2026, as a result of the impairment analysis the Company performed during the first quarter of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income (expense), net, consists primarily of income related to investments in money market funds, short term deposits as well as income from marketable securities, and fluctuations in value due to foreign exchange differences between our monetary assets and liabilities denominated in New Israeli Shekels and to a much lesser extent, the Euro, the Chinese Yuan, the Japanese Yen, and other currencies.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in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In Israel, the regulations of Pillar Two Model Rules became effective for tax years beginning after January 1, 2026. The Pillar Two Model Rules does not have a material effect on our income tax provision for the 2026 fiscal year. We are continuing to evaluate the impacts of enacted legislation and pending legislation to enact Pillar Two Model Rules in the non-US tax jurisdictions in which we operate. The Company is a constituent entity of its Parent for Pillar Two Model Rules purposes.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29, 2026, the Israeli Knesset approved the Law for the Encouragement and Promotion of Research and Development, 2026 (the “Incentive Law”). The Incentive Law introduces a framework of incentives for research and development activities, to be provided either as a tax credit or as a cash grant in lieu thereof, and is intended to align with the OECD Pillar Two framework. As of the date of approval of these financial statements, the Company is assessing the potential impact of the Incentive Law on its operations, including its effect on the Company’s results of operations and eligibility for incentives.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Israeli operations of Mobileye, Moovit and Mentee Robotics are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relates to U.S. branch deferred tax assets not currently expected to be realized given that we have sustained recent losses.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7"/>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6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color w:val="auto"/>
              </w:rPr>
              <w:t>​​​</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0"/>
                <w:szCs w:val="10"/>
                <w:color w:val="auto"/>
              </w:rPr>
            </w:pPr>
          </w:p>
        </w:tc>
        <w:tc>
          <w:tcPr>
            <w:tcW w:w="400" w:type="dxa"/>
            <w:vAlign w:val="bottom"/>
            <w:gridSpan w:val="2"/>
            <w:vMerge w:val="restart"/>
          </w:tcPr>
          <w:p>
            <w:pPr>
              <w:jc w:val="center"/>
              <w:ind w:right="5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0"/>
                <w:szCs w:val="10"/>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60" w:type="dxa"/>
            <w:vAlign w:val="bottom"/>
            <w:gridSpan w:val="3"/>
            <w:vMerge w:val="continue"/>
          </w:tcPr>
          <w:p>
            <w:pPr>
              <w:spacing w:after="0"/>
              <w:rPr>
                <w:sz w:val="15"/>
                <w:szCs w:val="15"/>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10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18"/>
                <w:szCs w:val="18"/>
                <w:color w:val="auto"/>
              </w:rPr>
            </w:pPr>
          </w:p>
        </w:tc>
        <w:tc>
          <w:tcPr>
            <w:tcW w:w="10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0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0" w:type="dxa"/>
            <w:vAlign w:val="bottom"/>
          </w:tcPr>
          <w:p>
            <w:pPr>
              <w:spacing w:after="0"/>
              <w:rPr>
                <w:sz w:val="18"/>
                <w:szCs w:val="18"/>
                <w:color w:val="auto"/>
              </w:rPr>
            </w:pPr>
          </w:p>
        </w:tc>
        <w:tc>
          <w:tcPr>
            <w:tcW w:w="10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679 %</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4,171</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(3,896)</w:t>
            </w:r>
          </w:p>
        </w:tc>
        <w:tc>
          <w:tcPr>
            <w:tcW w:w="2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(3,882)</w:t>
            </w:r>
          </w:p>
        </w:tc>
        <w:tc>
          <w:tcPr>
            <w:tcW w:w="2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4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(3,818)</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gridSpan w:val="2"/>
          </w:tcPr>
          <w:p>
            <w:pPr>
              <w:spacing w:after="0"/>
              <w:rPr>
                <w:sz w:val="7"/>
                <w:szCs w:val="7"/>
                <w:color w:val="auto"/>
              </w:rPr>
            </w:pPr>
          </w:p>
        </w:tc>
        <w:tc>
          <w:tcPr>
            <w:tcW w:w="3260" w:type="dxa"/>
            <w:vAlign w:val="bottom"/>
            <w:gridSpan w:val="5"/>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5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460" w:type="dxa"/>
            <w:vAlign w:val="bottom"/>
            <w:gridSpan w:val="3"/>
          </w:tcPr>
          <w:p>
            <w:pPr>
              <w:ind w:left="1000"/>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5"/>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gridSpan w:val="4"/>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466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Total amortization of acquired intangible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gridSpan w:val="2"/>
          </w:tcPr>
          <w:p>
            <w:pPr>
              <w:spacing w:after="0"/>
              <w:rPr>
                <w:sz w:val="7"/>
                <w:szCs w:val="7"/>
                <w:color w:val="auto"/>
              </w:rPr>
            </w:pPr>
          </w:p>
        </w:tc>
        <w:tc>
          <w:tcPr>
            <w:tcW w:w="1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6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80" w:type="dxa"/>
            <w:vAlign w:val="bottom"/>
            <w:gridSpan w:val="5"/>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gridSpan w:val="4"/>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4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60" w:type="dxa"/>
            <w:vAlign w:val="bottom"/>
          </w:tcPr>
          <w:p>
            <w:pPr>
              <w:spacing w:after="0"/>
              <w:rPr>
                <w:sz w:val="18"/>
                <w:szCs w:val="18"/>
                <w:color w:val="auto"/>
              </w:rPr>
            </w:pPr>
          </w:p>
        </w:tc>
        <w:tc>
          <w:tcPr>
            <w:tcW w:w="160" w:type="dxa"/>
            <w:vAlign w:val="bottom"/>
            <w:gridSpan w:val="3"/>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28, 2026 and March 29, 2025</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In the three months ended March 28, 2026, revenue increased by $120 million, or 27%, compared to the three months ended March 29, 2025, mainly due to an increase of $100 million, or 24%,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primarily attributable to a 28% increase in volume attributable to higher EyeQ demand, as well as to the normalization of safety stock levels at our Tier 1 customers, as a result of a certain draw down which took place in the fourth quarter of 2025.</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In the three months ended March 28, 2026, our cost of revenue increased by $52 million, or 23%, compared to the three months ended March 29, 2025, due to an increase of $52 million in manufacturing costs, mainly resulting from the increase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in addition to an increase in sales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89"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In the three months ended March 28, 2026, our gross profit increased by $68 million, or 33%, compared to the three months ended March 29, 2025. This increase was mainly driven by the increase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gross margin increased from 47% for the three months ended March 29, 2025, to 49% for the three months ended March 28, 2026. This increase was primarily due to the lower impact of amortization of intangible assets as a percentage of revenue, partially offset by a higher EyeQ-related cost per unit given the different mix of EyeQ products sold.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in the three months ended March 28, 2026, increased by $48 million, or 17%, compared to the three months ended March 29, 2025. This increase was primarily due to an increase in payroll and related expenses, resulting from an increase in salary expenses and unfavorable fluctuation of New Israeli Shekels against U.S dollars. In addition, stock based compensation expense increased, mainly given the additional equity awards granted as part of the acquisition of Mentee Robotics.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three months ended March 28, 2026, decreased by $2 million, or 6%, compared to the three months ended March 29, 2025, mainly given lower marketing expenses.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three months ended March 28, 2026, increased by $13 million, or 72%, compared to the three months ended March 29, 2025. This increase was primarily related to transaction costs associated with the acquisition of Mentee Robotics, as well as to higher stock based compensation, resulting mainly from the acquisition of Mentee Robotics.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impairment expenses were $3,788 million in the three months ended March 28, 2026 and zero in the three months ended March 29, 2025. During the first quarter of 2026, the Company performed an interim quantitative goodwill impairment analysis for the “Mobileye” reporting unit, resulting in a non-cash impairment loss. For further details, refer to Note 12 to the Condensed Consolidated Financial Statements included in this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income, net, in the three months ended March 28, 2026, was $14 million compared to $18 million in the three months ended March 29, 2025. This decrease was mainly due to a decrease in interest earned on investment in money market funds due to cash used for the acquisition of Mentee Robotics and a decrease derived from the impact of fluctuations in foreign exchange rates, partially offset by an increase in interest earned on short term bank deposits.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 for income tax in the three months ended March 28, 2026, was $64 million compared to a provision for income tax of $(3) million in the three months ended March 29, 2025. This $67 million change is mainly due to the deferred tax effect of goodwill impairment to the Mobileye reporting unit.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departments, investments attributable to new product development, as well as for funding our capital expenditures, and the recent acquisition of Mentee Robotics, a humanoid robotics company. Our capital expenditures for purchase of property and equipment have related mainly to data storage and other computer related equipment, expenditure related to research and development projects including data farming and cloud compute and to leasehold improvements, and were $30 million and $14 million for the three months ended March 28, 2026 and March 29, 2025, respectively. Cash paid for the acquisition of Mentee Robotics, net of cash acquired, was $591 million.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We expect our total capital expenditures for 2026 to be higher compared to our total capital expenditures in 2025. We continue to invest in equipment related to the development of our next generation products. Our future capital requirements will depend on many factors, including our growth rate and the timing and extent of operating expenses.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cash flow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6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70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360" w:type="dxa"/>
            <w:vAlign w:val="bottom"/>
            <w:tcBorders>
              <w:top w:val="single" w:sz="8" w:color="auto"/>
            </w:tcBorders>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28, 2026 compared to the three months ended March 29, 2025, the $34 million decrease in cash provided by operating activities was mainly due to a higher increase in trade accounts receivable and a lower decrease in inventory compared to prior year period, due to the increase in sales and the relatively low accounts receivable balance as of the end of 2025. This was partially offset by an increase in accounts payable, accrued expenses and related party payable compared to a decrease in prior year period.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the three months ended March 28, 2026 and the three months ended March 29, 2025 was $699 million and $25 million, respectively. The three months ended March 28, 2026 include $591 million net cash paid for the acquisition of Mentee Robotics. In both periods net cash used in investing activities include capital expenditures and debt investments.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three months ended March 28, 2026 and the three months ended March 29, 2025 was $0 million and $3 million, respectively, consisting of share-based compensation recharge with Intel.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Severance pay liability was $78 million as of March 28, 2026 and December 27,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increased from $62 million as of December 27, 2025 to $63 million as of March 28, 2026, reflecting mainly new lease contracts, partially offset by the progress in lease payments for existing arrangements.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$22 million as of March 28, 2026 (denominated in New Israeli Shekels) mainly in connection with lease agreements and import of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(Loss) and Margin and Adjusted Net Income (Loss),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expenses, acquisition-related expenses, impairment of goodwill and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 acquisition-related expenses include professional fees and other costs incurred in connection with business combinations. We believe exclusion of acquisition-related expenses is appropriate because they are transaction-specific costs and not reflective of our ongoing operating results.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Revenue</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5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Revenue</w:t>
            </w:r>
          </w:p>
        </w:tc>
        <w:tc>
          <w:tcPr>
            <w:tcW w:w="2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top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17 %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66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69</w:t>
            </w: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and Adjusted Gross Margin will decrease over time because of the greater hardware content included in our solutions. However, as a result of a higher expected selling price for such systems, we expect our gross profit per unit will increase on a dollar basis.</w:t>
      </w:r>
    </w:p>
    <w:p>
      <w:pPr>
        <w:spacing w:after="0" w:line="202"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Adjusted Gross Margin decreased from 69% for the three months ended March 29, 2025 to 66% for the three months ended March 28, 2026. This was mainly due to a higher EyeQ™-related cost per unit given the different mix of EyeQ™ products sold. The decrease was also related to higher percentage of revenue attributable to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 and Margin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(Loss) as operating income (loss) presented in accordance with GAAP, adjusted to exclude amortization of acquisition related intangibles and share-based compensation expenses, acquisition-related expenses and impairment of goodwill. Operating Margin is calculated as operating income (loss) divided by total revenue, and Adjusted Operating Margin is calculated as Adjusted Operating Income (Loss) divided by total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(Loss) and the calculations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and Adjusted Operating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6"/>
          </w:tcPr>
          <w:p>
            <w:pPr>
              <w:jc w:val="right"/>
              <w:ind w:right="85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1860" w:type="dxa"/>
            <w:vAlign w:val="bottom"/>
            <w:tcBorders>
              <w:top w:val="single" w:sz="8" w:color="auto"/>
            </w:tcBorders>
            <w:gridSpan w:val="4"/>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Pr>
          <w:p>
            <w:pPr>
              <w:spacing w:after="0"/>
              <w:rPr>
                <w:sz w:val="12"/>
                <w:szCs w:val="12"/>
                <w:color w:val="auto"/>
              </w:rPr>
            </w:pPr>
          </w:p>
        </w:tc>
      </w:tr>
      <w:tr>
        <w:trPr>
          <w:trHeight w:val="142"/>
        </w:trPr>
        <w:tc>
          <w:tcPr>
            <w:tcW w:w="4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20" w:type="dxa"/>
            <w:vAlign w:val="bottom"/>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 of Revenue</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 of Revenue</w:t>
            </w:r>
          </w:p>
        </w:tc>
        <w:tc>
          <w:tcPr>
            <w:tcW w:w="280" w:type="dxa"/>
            <w:vAlign w:val="bottom"/>
          </w:tcPr>
          <w:p>
            <w:pPr>
              <w:spacing w:after="0"/>
              <w:rPr>
                <w:sz w:val="12"/>
                <w:szCs w:val="12"/>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 Margin</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tcBorders>
              <w:top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1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 Acquisition related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679 %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 and Margin</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4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Loss increased by $3,779 million in the three months ended March 28, 2026 compared to the three months ended March 29, 2025, mainly due to the goodwill impairment loss recognized this quarter.</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Adjusted Operating Income increased by $36 million in the three months ended March 28, 2026 compared to the three months ended March 29, 2025, mainly due to higher Adjusted Gross Profit, partially offset by an increase in operating expenses.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Adjusted Operating Margin increased from 13% for the three months ended March 29, 2025 to 17% for the three months ended March 28, 2026, due to lower operating expenses as a percentage of revenue, partially offset by lower Adjusted Gross Margin.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presented in accordance with GAAP, adjusted to exclude amortization of acquisition related intangibles and share-based compensation expenses, acquisition-related expenses, impairment of goodwill and the related income tax effects. Income tax effects have been calculated using the applicable statutory tax rate for each adjustment taking into consideration the associated valuation allowance impacts. The adjustment for income tax effects consist primarily of the deferred tax impact of the amortization of acquired intangible assets and impairment of goodwill.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6"/>
          </w:tcPr>
          <w:p>
            <w:pPr>
              <w:jc w:val="right"/>
              <w:ind w:right="850"/>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2026</w:t>
            </w:r>
          </w:p>
        </w:tc>
        <w:tc>
          <w:tcPr>
            <w:tcW w:w="1860" w:type="dxa"/>
            <w:vAlign w:val="bottom"/>
            <w:gridSpan w:val="4"/>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Pr>
          <w:p>
            <w:pPr>
              <w:spacing w:after="0"/>
              <w:rPr>
                <w:sz w:val="12"/>
                <w:szCs w:val="12"/>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0" w:type="dxa"/>
            <w:vAlign w:val="bottom"/>
          </w:tcPr>
          <w:p>
            <w:pPr>
              <w:ind w:left="9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 of Revenue</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 of Revenue</w:t>
            </w:r>
          </w:p>
        </w:tc>
        <w:tc>
          <w:tcPr>
            <w:tcW w:w="2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tcBorders>
              <w:top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top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13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 Acquisition related expenses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679 %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net loss increased by $3,716 million in the three months ended March 28, 2026, compared the three months ended March 29, 2025, primarily due to the goodwill impairment loss recognized this quarter.</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had an Adjusted Net Income of $96 million in the three months ended March 28, 2026 compared to an Adjusted Net Income of $63 million in the three months ended March 29, 2025, primarily due to the increase in Adjusted Gross Profit, partially offset by an increase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Note 2, “Significant Accounting Policies” of the Notes to the condensed consolidated Financial Statements in Part I, Item 1 of this Form 10-Q and in the Notes to the Consolidated Financial Statements in Part II, Item 8 of the 2025 Annual Report on Form 10-K, as filed with the SEC on February 12, 2026 (the “2025 Form 10-K”) describe the significant accounting policies and methods used in the preparation of the Company’s condensed consolidated financial statements. There have been no material changes to the Company’s critical accounting estimates since the 2025 Form 10-K.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in the 2025 Form 10-K critical accounting policies, we regularly test our goodwill and intangible assets to make a judgment on whether facts and circumstances indicate that the carrying amount may not be recoverable and an impairment may be required. These reviews can be affected by various factors, including external factors such as industry and economic trends, and internal factors such as changes in our business strategy and our forecasts for specific product lines.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fourth quarter of 2025, we completed our annual impairment assessment. For the “Mobileye” reporting unit, the assessment was performed using a quantitative test. The quantitative impairment test estimated the fair value of the reporting unit using an income approach. The Company also assessed the reasonableness of the estimated fair value of the reporting unit by comparison to its market capitalization, including consideration of expected acquirer synergies, control premium, and the current market. Based on the assessment, no impairment was recorded.</w:t>
      </w:r>
    </w:p>
    <w:p>
      <w:pPr>
        <w:spacing w:after="0" w:line="183"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During the first quarter of 2026, we performed an interim quantitative goodwill impairment analysis for the “Mobileye” reporting unit due to a 35% decline in the share price of the Company’s Class A common stock and the corresponding decline in market capitalization since the most recent assessment date, as well as increased uncertainty in the macroeconomic and geopolitical environment. The quantitative impairment test estimates the fair value of the reporting unit using an income approach. Significant inputs and assumptions incorporated in the valuation include business projections, estimated costs, terminal growth rate, and discount rate based on the reporting unit’s weighted average cost of capital. When using the income approach, we tested the reasonableness of the inputs and outcomes of our discounted cash flow analysis against available market data. As part of this analysis, we determined that a significant increase in the discount rate was required relative to the discount rate used in our most recent assessment. This increase resulted from higher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Mobileye-specific risk premiums associated with changes in global macroeconomic conditions in 2026, including heightened geopolitical risks related to operations in the Middle East, particularly the conflict between Israel and Iran, as well as increased uncertainty related to the evolving competitive landscape.</w:t>
      </w:r>
    </w:p>
    <w:p>
      <w:pPr>
        <w:spacing w:after="0" w:line="20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assessed the reasonableness of the estimated fair value of the reporting unit by comparison to its market capitalization, including consideration of expected acquirer synergies, control premium, and the current market.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impairment analysis indicate that the fair value of the Mobileye reporting unit is below its carrying amount and therefore a non-cash impairment loss of $3,788 million, was recognized in the Condensed Consolidated Statements of Operations.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1% increase in the discount rate and a 0.5% decrease in terminal growth rate would result in an additional impairment of $682 million and $141 million,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impairment conclusion is sensitive to the market capitalization in that a further sustained decline in the Company’s market capitalization may require additional analysis to support the reasonability of our implied control premium, and may require further adjustments to certain key assumptions underlying our valuation.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of macroeconomic conditions due to ongoing global economic and political uncertainty;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strategic and financial performance, goals and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emerging chip manufacturers and OEMs;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humanoid robotics industry and its accompanying technology may not develop as expected;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and trade policy, including increased tariffs, in regions in which we operate, including the U.S., Europe and China;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as a result of war and geopolitical conflict, which may affect our operations and may limit our ability to produce and sell our solutions;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low levels of our share price and market capitalization as well as other factors may require further testing of our Mobileye reporting unit, which may result in an impairment of goodwill;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our social and environmental goals and projections;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report and under the sections entitled “Risk Factors,” “Management’s Discussion and Analysis of Financial Condition and Results of Operations” and “Business,” in our 2025 Form 10-K.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in our 2025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2025 Form 10-K.</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investments in money market funds, U.S. government and corporate bonds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March 28, 2026 and December 27, 2025, our investment in money market funds was $548 million and $1,016 million, respectively; our U.S. government bonds were $76 million and $55 million, respectively, our corporate bonds were 30 million and zero, respectively, and our short term deposits were $638 million and $785 million, respectively.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investments in money market funds, U.S. government and corporate bonds and short term deposits is to fund our cash requirements in the ordinary course of business and preserve principal. We do not enter into investments for trading or speculative purposes.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7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hedges portions of its forecasted payroll payments denominated in ILS using forward contracts that are designated as cash flow hedges, as defined by ASC 815.</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$8 million in the three months ended March 28, 2026. If the New Israeli Shekel had strengthened by 10% against the U.S. dollar, it would have decreased our cash flows by approximately $11 million in the three months ended March 29,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March 28, 2026 that have materially affected, or are reasonably likely to materially affect, our internal control over financial reporting.</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Oral argument was held on December 4, 2025. On December 16, 2025, the Second Circuit issued a summary order affirming the Court’s dismissal of the second amended complaint in full. The time for the plaintiff to seek further review by filing a petition for a writ of certiorari with the U.S. Supreme Court has expired, and no such petition was filed. No provision was recorded in the condensed consolidated financial statements as of March 28, 2026.</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26, 2024, Facet Technology Corp. (“Facet”) sued Mobileye in the U.S. District Court for the Eastern District of Texas for patent infringement. The suit accuses Mobileye Global Inc., Mobileye Vision Technologies Ltd., and Mobileye Inc. of allegedly infringing two expired patents. Despite expiration of the patents, the suit seeks injunctive relief and a permanent injunction as well as unspecified damages, fees and costs. Mobileye Vision Technologies Ltd. and Mobileye Inc., sued Facet in the U.S. District Court of Minnesota seeking a declaratory judgment of non-infringement of both patents. Before either action was answered, the Patent Trial and Appeal Board (“PTAB”) of the US Patent and Trademark Office instituted two </w:t>
      </w:r>
      <w:r>
        <w:rPr>
          <w:rFonts w:ascii="Times New Roman" w:cs="Times New Roman" w:eastAsia="Times New Roman" w:hAnsi="Times New Roman"/>
          <w:sz w:val="18"/>
          <w:szCs w:val="18"/>
          <w:i w:val="1"/>
          <w:iCs w:val="1"/>
          <w:color w:val="auto"/>
        </w:rPr>
        <w:t>Inter Parte Review</w:t>
      </w:r>
      <w:r>
        <w:rPr>
          <w:rFonts w:ascii="Times New Roman" w:cs="Times New Roman" w:eastAsia="Times New Roman" w:hAnsi="Times New Roman"/>
          <w:sz w:val="18"/>
          <w:szCs w:val="18"/>
          <w:color w:val="auto"/>
        </w:rPr>
        <w:t xml:space="preserve"> (IPR) proceedings on both patents, and both district court actions were stayed. The parties are challenging aspects of the PTAB’s determinations, and the district court actions remain stayed. We intend to defend these matters vigorously. No provision was recorded in the condensed consolidated financial statements as of March 28, 2026.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our 2025 Form 10-K. The risks described in the section entitled “Item 1A. Risk Factors” in our 2025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March 28, 2026.</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7"/>
                <w:szCs w:val="17"/>
                <w:color w:val="auto"/>
              </w:rPr>
            </w:pPr>
          </w:p>
        </w:tc>
        <w:tc>
          <w:tcPr>
            <w:tcW w:w="90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Share Purchase Agreement, dated January 5, 2026, by and among Mobileye Global Inc., Mobileye Vision Technologies Ltd.,</w:t>
              </w:r>
            </w:hyperlink>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6"/>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Mentee Robotics Ltd., the Company Shareholders listed on Exhibit A thereto, and Shareholder Representative Services LLC,</w:t>
              </w:r>
            </w:hyperlink>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as the exclusive representative of the Company Shareholders (incorporated by reference to the Company’s Form 8-K filed on</w:t>
              </w:r>
            </w:hyperlink>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January 6, 2026).</w:t>
              </w:r>
            </w:hyperlink>
          </w:p>
        </w:tc>
        <w:tc>
          <w:tcPr>
            <w:tcW w:w="7820" w:type="dxa"/>
            <w:vAlign w:val="bottom"/>
            <w:gridSpan w:val="5"/>
          </w:tcPr>
          <w:p>
            <w:pPr>
              <w:spacing w:after="0"/>
              <w:rPr>
                <w:sz w:val="17"/>
                <w:szCs w:val="17"/>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300" w:type="dxa"/>
            <w:vAlign w:val="bottom"/>
            <w:gridSpan w:val="7"/>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75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302 of the Sarbanes-Oxley Act of 2002.</w:t>
            </w:r>
          </w:p>
        </w:tc>
        <w:tc>
          <w:tcPr>
            <w:tcW w:w="1580" w:type="dxa"/>
            <w:vAlign w:val="bottom"/>
            <w:gridSpan w:val="2"/>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9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Executive Officer of Mobileye Global Inc. pursuant to 18 U.S.C. § 1350 as adopted pursuant to</w:t>
            </w: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90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Financial Officer of Mobileye Global Inc. pursuant to 18 U.S.C. § 1350 as adopted pursuant to</w:t>
            </w: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r>
      <w:tr>
        <w:trPr>
          <w:trHeight w:val="21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financial statements from Mobileye Global Inc.’s Quarterly Report on Form 10-Q for the three months ended</w:t>
            </w: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March 28, 2026, filed with the Securities and Exchange Commission on April 23, 2026, formatted in iXBRL (Inline</w:t>
            </w: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eXtensible Business Reporting Language): (i) the Consolidated Balance Sheets, (ii) the Consolidated Statements of</w:t>
            </w: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Operations and Comprehensive Income (Loss), (iii) the Consolidated Statements of Changes in Equity, (iv) the Consolidated</w:t>
            </w: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Statements of Cash Flows and (v) the Notes to Consolidated Financial Statements.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8" w:lineRule="exact"/>
        <w:rPr>
          <w:sz w:val="20"/>
          <w:szCs w:val="20"/>
          <w:color w:val="auto"/>
        </w:rPr>
      </w:pPr>
    </w:p>
    <w:p>
      <w:pPr>
        <w:ind w:firstLine="8"/>
        <w:spacing w:after="0" w:line="261"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agrees to furnish supplementally a copy of any omitted schedule or exhibit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and not filed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auto"/>
        </w:rPr>
        <w:t>Professor Amnon Shashua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Moran Shemesh Rojansky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31F20"/>
        </w:rPr>
        <w:t>Amnon Shashua</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5715</wp:posOffset>
            </wp:positionV>
            <wp:extent cx="29146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1"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231F20"/>
        </w:rPr>
        <w:t>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100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 adopted pursuant to Section 906 of the Sarbanes-Oxley Act of 2002.</w:t>
      </w:r>
    </w:p>
    <w:p>
      <w:pPr>
        <w:spacing w:after="0" w:line="159" w:lineRule="exact"/>
        <w:rPr>
          <w:sz w:val="20"/>
          <w:szCs w:val="20"/>
          <w:color w:val="auto"/>
        </w:rPr>
      </w:pPr>
    </w:p>
    <w:p>
      <w:pPr>
        <w:jc w:val="both"/>
        <w:ind w:left="20" w:right="220" w:hanging="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March 28, 2026 as filed with the Securities and Exchange Commission on the date hereof (the “Report”), I, </w:t>
      </w:r>
      <w:r>
        <w:rPr>
          <w:rFonts w:ascii="Times New Roman" w:cs="Times New Roman" w:eastAsia="Times New Roman" w:hAnsi="Times New Roman"/>
          <w:sz w:val="18"/>
          <w:szCs w:val="18"/>
          <w:color w:val="231F20"/>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By: /s/ Professor </w:t>
      </w:r>
      <w:r>
        <w:rPr>
          <w:rFonts w:ascii="Times New Roman" w:cs="Times New Roman" w:eastAsia="Times New Roman" w:hAnsi="Times New Roman"/>
          <w:sz w:val="18"/>
          <w:szCs w:val="18"/>
          <w:color w:val="231F20"/>
        </w:rPr>
        <w:t>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0" w:name="page51"/>
    <w:bookmarkEnd w:id="50"/>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Ex. 32.2: Certificate of the Chief Financial Officer of Mobileye Global Inc. pursuant to 18 U.S.C. § 1350 as adopted pursuant to Section 906 of the Sarbanes-Oxley Act of 2002.</w:t>
      </w:r>
    </w:p>
    <w:p>
      <w:pPr>
        <w:spacing w:after="0" w:line="15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March 28, 2026 as filed with the Securities and Exchange Commission on the date hereof (the “Report”), 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56" Type="http://schemas.openxmlformats.org/officeDocument/2006/relationships/hyperlink" Target="https://www.sec.gov/Archives/edgar/data/1910139/000110465926001340/tm261864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2026-04-23T15:59:34Z</dcterms:created>
  <dcterms:modified xsi:type="dcterms:W3CDTF">2026-04-23T15:59:34Z</dcterms:modified>
</cp:coreProperties>
</file>