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left="1040" w:right="180"/>
        <w:spacing w:after="0" w:line="262"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August 22, 2022. This amended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r>
        <w:rPr>
          <w:rFonts w:ascii="Times New Roman" w:cs="Times New Roman" w:eastAsia="Times New Roman" w:hAnsi="Times New Roman"/>
          <w:sz w:val="14"/>
          <w:szCs w:val="14"/>
          <w:color w:val="auto"/>
        </w:rPr>
        <w:t xml:space="preserve">              ​</w:t>
      </w:r>
    </w:p>
    <w:p>
      <w:pPr>
        <w:spacing w:after="0" w:line="4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4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4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8" w:lineRule="exact"/>
        <w:rPr>
          <w:sz w:val="24"/>
          <w:szCs w:val="24"/>
          <w:color w:val="auto"/>
        </w:rPr>
      </w:pPr>
    </w:p>
    <w:tbl>
      <w:tblPr>
        <w:tblLayout w:type="fixed"/>
        <w:tblInd w:w="500" w:type="dxa"/>
        <w:tblCellMar>
          <w:top w:w="0" w:type="dxa"/>
          <w:left w:w="0" w:type="dxa"/>
          <w:bottom w:w="0" w:type="dxa"/>
          <w:right w:w="0" w:type="dxa"/>
        </w:tblCellMar>
      </w:tblPr>
      <w:tr>
        <w:trPr>
          <w:trHeight w:val="195"/>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w:t>
            </w:r>
            <w:r>
              <w:rPr>
                <w:rFonts w:ascii="Times New Roman" w:cs="Times New Roman" w:eastAsia="Times New Roman" w:hAnsi="Times New Roman"/>
                <w:sz w:val="17"/>
                <w:szCs w:val="17"/>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7372</w:t>
            </w:r>
            <w:r>
              <w:rPr>
                <w:rFonts w:ascii="Times New Roman" w:cs="Times New Roman" w:eastAsia="Times New Roman" w:hAnsi="Times New Roman"/>
                <w:sz w:val="17"/>
                <w:szCs w:val="17"/>
                <w:color w:val="auto"/>
              </w:rPr>
              <w:t>​</w:t>
            </w:r>
          </w:p>
        </w:tc>
        <w:tc>
          <w:tcPr>
            <w:tcW w:w="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88-0666433</w:t>
            </w:r>
            <w:r>
              <w:rPr>
                <w:rFonts w:ascii="Times New Roman" w:cs="Times New Roman" w:eastAsia="Times New Roman" w:hAnsi="Times New Roman"/>
                <w:sz w:val="17"/>
                <w:szCs w:val="17"/>
                <w:color w:val="auto"/>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(Primary Standard Industrial</w:t>
            </w:r>
          </w:p>
        </w:tc>
        <w:tc>
          <w:tcPr>
            <w:tcW w:w="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(I.R.S. Employer</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or Organization)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Classification Code Number)</w:t>
            </w:r>
            <w:r>
              <w:rPr>
                <w:rFonts w:ascii="Times New Roman" w:cs="Times New Roman" w:eastAsia="Times New Roman" w:hAnsi="Times New Roman"/>
                <w:sz w:val="17"/>
                <w:szCs w:val="17"/>
                <w:color w:val="auto"/>
              </w:rPr>
              <w:t>​</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26"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83820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Anat Heller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12"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7"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5"/>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 Michelle Gasaway</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Gregg A. Noel</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L. Savva</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6"/>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Sullivan &amp; Cromwell LLP</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300 South Grand Avenue</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525 University Avenue</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1870 Embarcadero Road</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Los Angeles, California 90071</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Palo Alto, California 94301</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Palo Alto, California 94303</w:t>
            </w:r>
          </w:p>
        </w:tc>
        <w:tc>
          <w:tcPr>
            <w:tcW w:w="420" w:type="dxa"/>
            <w:vAlign w:val="bottom"/>
          </w:tcPr>
          <w:p>
            <w:pPr>
              <w:spacing w:after="0"/>
              <w:rPr>
                <w:sz w:val="15"/>
                <w:szCs w:val="15"/>
                <w:color w:val="auto"/>
              </w:rPr>
            </w:pPr>
          </w:p>
        </w:tc>
      </w:tr>
      <w:tr>
        <w:trPr>
          <w:trHeight w:val="190"/>
        </w:trPr>
        <w:tc>
          <w:tcPr>
            <w:tcW w:w="1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(213) 687-5000</w:t>
            </w:r>
          </w:p>
        </w:tc>
        <w:tc>
          <w:tcPr>
            <w:tcW w:w="4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(650) 470-4500</w:t>
            </w:r>
          </w:p>
        </w:tc>
        <w:tc>
          <w:tcPr>
            <w:tcW w:w="6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(650) 461-5600</w:t>
            </w:r>
          </w:p>
        </w:tc>
        <w:tc>
          <w:tcPr>
            <w:tcW w:w="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500" w:right="26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0280"/>
          </w:cols>
          <w:pgMar w:left="580" w:top="205" w:right="1039" w:bottom="1440" w:gutter="0" w:footer="0" w:header="0"/>
        </w:sectPr>
      </w:pP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6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Large​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144"/>
        </w:trPr>
        <w:tc>
          <w:tcPr>
            <w:tcW w:w="3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c>
          <w:tcPr>
            <w:tcW w:w="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58"/>
        </w:trPr>
        <w:tc>
          <w:tcPr>
            <w:tcW w:w="1540" w:type="dxa"/>
            <w:vAlign w:val="bottom"/>
            <w:gridSpan w:val="2"/>
          </w:tcPr>
          <w:p>
            <w:pPr>
              <w:spacing w:after="0" w:line="59" w:lineRule="exact"/>
              <w:rPr>
                <w:sz w:val="20"/>
                <w:szCs w:val="20"/>
                <w:color w:val="auto"/>
              </w:rPr>
            </w:pPr>
            <w:r>
              <w:rPr>
                <w:rFonts w:ascii="Times New Roman" w:cs="Times New Roman" w:eastAsia="Times New Roman" w:hAnsi="Times New Roman"/>
                <w:sz w:val="6"/>
                <w:szCs w:val="6"/>
                <w:color w:val="auto"/>
              </w:rPr>
              <w:t>Non-accelerated filer</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42" w:lineRule="exact"/>
        <w:tabs>
          <w:tab w:leader="none" w:pos="4080" w:val="left"/>
        </w:tabs>
        <w:rPr>
          <w:sz w:val="20"/>
          <w:szCs w:val="20"/>
          <w:color w:val="auto"/>
        </w:rPr>
      </w:pPr>
      <w:r>
        <w:rPr>
          <w:rFonts w:ascii="Times New Roman" w:cs="Times New Roman" w:eastAsia="Times New Roman" w:hAnsi="Times New Roman"/>
          <w:sz w:val="14"/>
          <w:szCs w:val="14"/>
          <w:color w:val="auto"/>
        </w:rPr>
        <w:t xml:space="preserve">​ ​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22"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5"/>
          <w:szCs w:val="25"/>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214"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4"/>
          <w:szCs w:val="24"/>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162" w:lineRule="exact"/>
        <w:rPr>
          <w:sz w:val="24"/>
          <w:szCs w:val="24"/>
          <w:color w:val="auto"/>
        </w:rPr>
      </w:pPr>
    </w:p>
    <w:p>
      <w:pPr>
        <w:sectPr>
          <w:pgSz w:w="11900" w:h="16838" w:orient="portrait"/>
          <w:cols w:equalWidth="0" w:num="2">
            <w:col w:w="5600" w:space="520"/>
            <w:col w:w="4160"/>
          </w:cols>
          <w:pgMar w:left="580" w:top="205" w:right="1039" w:bottom="1440" w:gutter="0" w:footer="0" w:header="0"/>
          <w:type w:val="continuous"/>
        </w:sectPr>
      </w:pPr>
    </w:p>
    <w:p>
      <w:pPr>
        <w:ind w:left="500" w:right="1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6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or sale is</w:t>
            </w:r>
          </w:p>
        </w:tc>
      </w:tr>
      <w:tr>
        <w:trPr>
          <w:trHeight w:val="7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w:t>
            </w:r>
          </w:p>
        </w:tc>
      </w:tr>
      <w:tr>
        <w:trPr>
          <w:trHeight w:val="44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15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it</w:t>
            </w:r>
          </w:p>
        </w:tc>
      </w:tr>
      <w:tr>
        <w:trPr>
          <w:trHeight w:val="8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6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an</w:t>
            </w:r>
          </w:p>
        </w:tc>
      </w:tr>
      <w:tr>
        <w:trPr>
          <w:trHeight w:val="36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0"/>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Subject to Completion, dated                      ,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i w:val="1"/>
          <w:iCs w:val="1"/>
          <w:color w:val="auto"/>
        </w:rPr>
        <w:t xml:space="preserve">                     </w:t>
      </w: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101600</wp:posOffset>
            </wp:positionV>
            <wp:extent cx="1200150"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Mobileye Global Inc.</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15" w:lineRule="exact"/>
        <w:rPr>
          <w:sz w:val="20"/>
          <w:szCs w:val="20"/>
          <w:color w:val="auto"/>
        </w:rPr>
      </w:pPr>
    </w:p>
    <w:p>
      <w:pPr>
        <w:ind w:right="99" w:firstLine="360"/>
        <w:spacing w:after="0" w:line="250" w:lineRule="auto"/>
        <w:rPr>
          <w:sz w:val="20"/>
          <w:szCs w:val="20"/>
          <w:color w:val="auto"/>
        </w:rPr>
      </w:pPr>
      <w:r>
        <w:rPr>
          <w:rFonts w:ascii="Times New Roman" w:cs="Times New Roman" w:eastAsia="Times New Roman" w:hAnsi="Times New Roman"/>
          <w:sz w:val="18"/>
          <w:szCs w:val="18"/>
          <w:color w:val="auto"/>
        </w:rPr>
        <w:t>This is an initial public offering of shares of our Class A common stock, and no public market currently exists for shares of our Class A common stock.</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the initial public offering price will be between $            and $            per share.</w:t>
      </w:r>
    </w:p>
    <w:p>
      <w:pPr>
        <w:spacing w:after="0" w:line="117" w:lineRule="exact"/>
        <w:rPr>
          <w:sz w:val="20"/>
          <w:szCs w:val="20"/>
          <w:color w:val="auto"/>
        </w:rPr>
      </w:pPr>
    </w:p>
    <w:p>
      <w:pPr>
        <w:ind w:right="99" w:firstLine="360"/>
        <w:spacing w:after="0" w:line="232"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approximately $              of indebtedness owed to our parent company Intel Corporation, a Delaware corporation (Nasdaq: INTC) (together with its subsidiaries other than us, “Intel”), under the Dividend Note (as defined below), and the remainder for working capital and general corporate purposes.</w:t>
      </w:r>
    </w:p>
    <w:p>
      <w:pPr>
        <w:spacing w:after="0" w:line="77" w:lineRule="exact"/>
        <w:rPr>
          <w:sz w:val="20"/>
          <w:szCs w:val="20"/>
          <w:color w:val="auto"/>
        </w:rPr>
      </w:pPr>
    </w:p>
    <w:p>
      <w:pPr>
        <w:jc w:val="both"/>
        <w:ind w:right="259" w:firstLine="360"/>
        <w:spacing w:after="0" w:line="23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after the date of this prospectus to purchase up to an additional                     shares of our Class A common stock from us at the initial public offering price less the underwriting discounts and commissions.</w:t>
      </w:r>
    </w:p>
    <w:p>
      <w:pPr>
        <w:spacing w:after="0" w:line="78" w:lineRule="exact"/>
        <w:rPr>
          <w:sz w:val="20"/>
          <w:szCs w:val="20"/>
          <w:color w:val="auto"/>
        </w:rPr>
      </w:pPr>
    </w:p>
    <w:p>
      <w:pPr>
        <w:ind w:right="119" w:firstLine="360"/>
        <w:spacing w:after="0" w:line="223" w:lineRule="auto"/>
        <w:rPr>
          <w:sz w:val="20"/>
          <w:szCs w:val="20"/>
          <w:color w:val="auto"/>
        </w:rPr>
      </w:pPr>
      <w:r>
        <w:rPr>
          <w:rFonts w:ascii="Times New Roman" w:cs="Times New Roman" w:eastAsia="Times New Roman" w:hAnsi="Times New Roman"/>
          <w:sz w:val="18"/>
          <w:szCs w:val="18"/>
          <w:color w:val="auto"/>
        </w:rPr>
        <w:t>Following this offering, we will have two classes of authorized common stock: Class A common stock and Class B common stock. The rights of the holders of our Class A common stock and Class B common stock will be identical, except with respect to voting, transfer, and conversion rights. Each share of our Class A common stock will be entitled to one vote. Each share of our Class B common stock will be entitled to ten votes and will be convertible at any time into one share of our Class A common stock, subject to certain conditions. Immediately prior to the completion of this offering, Intel will be our only beneficial owner.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we will be a “controlled company” within the meaning of the corporate governance standards of The Nasdaq Global Select Market (“Nasdaq”). See “Management — Controlled Company Exemption” and “Description of Capital Stock — Common Stock.”</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applied to list the shares of our Class A common stock on Nasdaq under the symbol “MBLY”.</w:t>
      </w:r>
    </w:p>
    <w:p>
      <w:pPr>
        <w:spacing w:after="0" w:line="113" w:lineRule="exact"/>
        <w:rPr>
          <w:sz w:val="20"/>
          <w:szCs w:val="20"/>
          <w:color w:val="auto"/>
        </w:rPr>
      </w:pPr>
    </w:p>
    <w:p>
      <w:pPr>
        <w:ind w:right="5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“Risk Factors” beginning on page </w:t>
      </w:r>
      <w:r>
        <w:rPr>
          <w:rFonts w:ascii="Times New Roman" w:cs="Times New Roman" w:eastAsia="Times New Roman" w:hAnsi="Times New Roman"/>
          <w:sz w:val="18"/>
          <w:szCs w:val="18"/>
          <w:b w:val="1"/>
          <w:bCs w:val="1"/>
          <w:u w:val="single" w:color="auto"/>
          <w:color w:val="0000EE"/>
        </w:rPr>
        <w:t>19</w:t>
      </w:r>
      <w:r>
        <w:rPr>
          <w:rFonts w:ascii="Times New Roman" w:cs="Times New Roman" w:eastAsia="Times New Roman" w:hAnsi="Times New Roman"/>
          <w:sz w:val="18"/>
          <w:szCs w:val="18"/>
          <w:b w:val="1"/>
          <w:bCs w:val="1"/>
          <w:color w:val="auto"/>
        </w:rPr>
        <w:t xml:space="preserve"> to read about certain factors you should consider before buying our common stock.</w:t>
      </w:r>
    </w:p>
    <w:p>
      <w:pPr>
        <w:spacing w:after="0" w:line="60" w:lineRule="exact"/>
        <w:rPr>
          <w:sz w:val="20"/>
          <w:szCs w:val="20"/>
          <w:color w:val="auto"/>
        </w:rPr>
      </w:pPr>
    </w:p>
    <w:p>
      <w:pPr>
        <w:ind w:right="339" w:firstLine="360"/>
        <w:spacing w:after="0" w:line="23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gridSpan w:val="2"/>
          </w:tcPr>
          <w:p>
            <w:pPr>
              <w:ind w:left="17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5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4911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17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See “Underwriting” for a description of the compensation payable to the underwriters.</w:t>
      </w:r>
    </w:p>
    <w:p>
      <w:pPr>
        <w:spacing w:after="0" w:line="131" w:lineRule="exact"/>
        <w:rPr>
          <w:sz w:val="20"/>
          <w:szCs w:val="20"/>
          <w:color w:val="auto"/>
        </w:rPr>
      </w:pPr>
    </w:p>
    <w:p>
      <w:pPr>
        <w:ind w:right="259" w:firstLine="360"/>
        <w:spacing w:after="0" w:line="250"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2022.</w:t>
      </w:r>
    </w:p>
    <w:p>
      <w:pPr>
        <w:spacing w:after="0" w:line="130"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Morgan Stanley</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67310</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type w:val="continuous"/>
        </w:sectPr>
      </w:pPr>
    </w:p>
    <w:bookmarkStart w:id="2" w:name="page3"/>
    <w:bookmarkEnd w:id="2"/>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3" w:name="page4"/>
    <w:bookmarkEnd w:id="3"/>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4" w:name="page5"/>
    <w:bookmarkEnd w:id="4"/>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53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805370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5" w:name="page6"/>
    <w:bookmarkEnd w:id="5"/>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48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848233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6" w:name="page7"/>
    <w:bookmarkEnd w:id="6"/>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16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821690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7" w:name="page8"/>
    <w:bookmarkEnd w:id="7"/>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044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40"/>
        <w:spacing w:after="0" w:line="284"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MANAGEMENT’S DISCUSSION AND ANALYSIS OF FINANCIAL CONDITION AND</w:t>
      </w:r>
    </w:p>
    <w:p>
      <w:pPr>
        <w:spacing w:after="0" w:line="1" w:lineRule="exact"/>
        <w:rPr>
          <w:sz w:val="20"/>
          <w:szCs w:val="20"/>
          <w:color w:val="auto"/>
        </w:rPr>
      </w:pPr>
    </w:p>
    <w:p>
      <w:pPr>
        <w:ind w:left="1440" w:hanging="180"/>
        <w:spacing w:after="0"/>
        <w:tabs>
          <w:tab w:leader="none" w:pos="1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right="5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DIRECTOR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PARTY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SHARES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ELIGIBLE FOR FUTURE SALE</w:t>
      </w:r>
    </w:p>
    <w:p>
      <w:pPr>
        <w:spacing w:after="0" w:line="63" w:lineRule="exact"/>
        <w:rPr>
          <w:rFonts w:ascii="Times New Roman" w:cs="Times New Roman" w:eastAsia="Times New Roman" w:hAnsi="Times New Roman"/>
          <w:sz w:val="18"/>
          <w:szCs w:val="18"/>
          <w:color w:val="auto"/>
        </w:rPr>
      </w:pPr>
    </w:p>
    <w:p>
      <w:pPr>
        <w:ind w:left="1260" w:right="8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.S. FEDERAL INCOME TAX CONSIDERATIONS FOR NON-U.S. HOLDERS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ind w:left="1260" w:right="4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VALIDITY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885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ectPr>
          <w:pgSz w:w="11900" w:h="16838" w:orient="portrait"/>
          <w:cols w:equalWidth="0" w:num="2">
            <w:col w:w="8300" w:space="720"/>
            <w:col w:w="859"/>
          </w:cols>
          <w:pgMar w:left="580" w:top="97" w:right="1440" w:bottom="1440" w:gutter="0" w:footer="0" w:header="0"/>
          <w:type w:val="continuous"/>
        </w:sectPr>
      </w:pPr>
    </w:p>
    <w:p>
      <w:pPr>
        <w:ind w:left="1260" w:right="419" w:firstLine="360"/>
        <w:spacing w:after="0" w:line="237"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Corporation, Mobileye B.V., GG Acquisition Ltd., Moovit App Global Ltd., and their respective subsidiaries, along with certain Intel employees mainly in research and development, and (ii) upon completion of the Reorganization (as defined below), Mobileye Global Inc. and its consolidated subsidiaries, which will include the Mobileye Group. References to “Moovit” refer to GG Acquisition Ltd., Moovit App Global Ltd., and their consolidated subsidiaries.</w:t>
      </w:r>
    </w:p>
    <w:p>
      <w:pPr>
        <w:spacing w:after="0" w:line="13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years 2021, 2020, and 2019 were 52-week fiscal years; fiscal year 2022 is a 53-week fiscal year. The additional week in fiscal year 2022 is added to the first quarter, which consisted of 14 weeks.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25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1" w:name="page12"/>
    <w:bookmarkEnd w:id="11"/>
    <w:p>
      <w:pPr>
        <w:spacing w:after="0" w:line="225" w:lineRule="auto"/>
        <w:rPr>
          <w:sz w:val="20"/>
          <w:szCs w:val="20"/>
          <w:color w:val="auto"/>
        </w:rPr>
      </w:pPr>
      <w:r>
        <w:rPr>
          <w:rFonts w:ascii="Calibri" w:cs="Calibri" w:eastAsia="Calibri" w:hAnsi="Calibri"/>
          <w:sz w:val="13"/>
          <w:szCs w:val="13"/>
          <w:color w:val="003366"/>
        </w:rPr>
        <w:t>TABLE</w:t>
      </w:r>
      <w:r>
        <w:rPr>
          <w:rFonts w:ascii="Times New Roman" w:cs="Times New Roman" w:eastAsia="Times New Roman" w:hAnsi="Times New Roman"/>
          <w:sz w:val="31"/>
          <w:szCs w:val="31"/>
          <w:color w:val="000000"/>
          <w:vertAlign w:val="subscript"/>
        </w:rPr>
        <w:t xml:space="preserve"> </w:t>
      </w:r>
      <w:r>
        <w:rPr>
          <w:rFonts w:ascii="Calibri" w:cs="Calibri" w:eastAsia="Calibri" w:hAnsi="Calibri"/>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112395</wp:posOffset>
            </wp:positionV>
            <wp:extent cx="6831965" cy="8225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0"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3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80"/>
        <w:spacing w:after="0"/>
        <w:rPr>
          <w:sz w:val="20"/>
          <w:szCs w:val="20"/>
          <w:color w:val="auto"/>
        </w:rPr>
      </w:pPr>
      <w:r>
        <w:rPr>
          <w:rFonts w:ascii="Times New Roman" w:cs="Times New Roman" w:eastAsia="Times New Roman" w:hAnsi="Times New Roman"/>
          <w:sz w:val="18"/>
          <w:szCs w:val="18"/>
          <w:color w:val="auto"/>
        </w:rPr>
        <w:t>in 2021. For the six months ended July 2, 2022 and June 26, 2021, our revenue was $854 million and $704</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million, respectively, representing period-over-period growth of 21%. We currently derive substantially all</w:t>
      </w:r>
    </w:p>
    <w:p>
      <w:pPr>
        <w:ind w:left="1280"/>
        <w:spacing w:after="0" w:line="234" w:lineRule="auto"/>
        <w:rPr>
          <w:sz w:val="20"/>
          <w:szCs w:val="20"/>
          <w:color w:val="auto"/>
        </w:rPr>
      </w:pPr>
      <w:r>
        <w:rPr>
          <w:rFonts w:ascii="Times New Roman" w:cs="Times New Roman" w:eastAsia="Times New Roman" w:hAnsi="Times New Roman"/>
          <w:sz w:val="18"/>
          <w:szCs w:val="18"/>
          <w:color w:val="auto"/>
        </w:rPr>
        <w:t>of our revenue from our commercially deployed ADAS solutions. We recorded net losses of $75 million,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$196 million, and $328 million in 2021, 2020, and 2019, respectively. We recorded net losses of $67 million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 net income of $4 million in the six months ended July 2, 2022 and June 26, 2021, respectively. Our</w:t>
      </w:r>
    </w:p>
    <w:p>
      <w:pPr>
        <w:ind w:left="1280"/>
        <w:spacing w:after="0" w:line="234" w:lineRule="auto"/>
        <w:rPr>
          <w:sz w:val="20"/>
          <w:szCs w:val="20"/>
          <w:color w:val="auto"/>
        </w:rPr>
      </w:pPr>
      <w:r>
        <w:rPr>
          <w:rFonts w:ascii="Times New Roman" w:cs="Times New Roman" w:eastAsia="Times New Roman" w:hAnsi="Times New Roman"/>
          <w:sz w:val="18"/>
          <w:szCs w:val="18"/>
          <w:color w:val="auto"/>
        </w:rPr>
        <w:t>Adjusted Net Income, a non-GAAP financial measure, for 2021, 2020 and 2019 was $474 million,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$289 million,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99"/>
        <w:spacing w:after="0" w:line="282" w:lineRule="auto"/>
        <w:rPr>
          <w:sz w:val="20"/>
          <w:szCs w:val="20"/>
          <w:color w:val="auto"/>
        </w:rPr>
      </w:pPr>
      <w:r>
        <w:rPr>
          <w:rFonts w:ascii="Times New Roman" w:cs="Times New Roman" w:eastAsia="Times New Roman" w:hAnsi="Times New Roman"/>
          <w:sz w:val="18"/>
          <w:szCs w:val="18"/>
          <w:color w:val="auto"/>
        </w:rPr>
        <w:t>$51 million, respectively. Our Adjusted Net Income for the six months ended July 2, 2022 and June 26, 2021 was $276 million and $270 million, respectively.</w:t>
      </w:r>
    </w:p>
    <w:p>
      <w:pPr>
        <w:spacing w:after="0" w:line="81" w:lineRule="exact"/>
        <w:rPr>
          <w:sz w:val="20"/>
          <w:szCs w:val="20"/>
          <w:color w:val="auto"/>
        </w:rPr>
      </w:pPr>
    </w:p>
    <w:p>
      <w:pPr>
        <w:ind w:left="1280" w:right="519" w:firstLine="360"/>
        <w:spacing w:after="0" w:line="244" w:lineRule="auto"/>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53-week fiscal year while 2021, 2020, and 2019 are 52 -week fiscal years. However, the inclusion of the additional week does not have a material impact on our revenue and cost of revenue as the timing of deliveries to customers is not consistent from week -to-week. Further, most of our expenses (such as payroll) are incurred on a monthly basis and, as such, the accrual for the additional week does not materially impact our results of operations.</w:t>
      </w:r>
    </w:p>
    <w:p>
      <w:pPr>
        <w:spacing w:after="0" w:line="114" w:lineRule="exact"/>
        <w:rPr>
          <w:sz w:val="20"/>
          <w:szCs w:val="20"/>
          <w:color w:val="auto"/>
        </w:rPr>
      </w:pPr>
    </w:p>
    <w:p>
      <w:pPr>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System-on-Chips (“SoCs”) had been deployed in over 117 million vehicles. We are actively working with more than 50 Original Equipment Manufacturers (“OEMs”) worldwide on the implementation of our 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July 2, 2022.</w:t>
      </w:r>
    </w:p>
    <w:p>
      <w:pPr>
        <w:spacing w:after="0" w:line="327"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60" w:lineRule="exact"/>
        <w:rPr>
          <w:sz w:val="20"/>
          <w:szCs w:val="20"/>
          <w:color w:val="auto"/>
        </w:rPr>
      </w:pPr>
    </w:p>
    <w:p>
      <w:pPr>
        <w:ind w:left="1820" w:right="419" w:hanging="182"/>
        <w:spacing w:after="0" w:line="228"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78"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54"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 designed to employ two independent perception sub 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75" w:lineRule="exact"/>
        <w:rPr>
          <w:rFonts w:ascii="Times New Roman" w:cs="Times New Roman" w:eastAsia="Times New Roman" w:hAnsi="Times New Roman"/>
          <w:sz w:val="18"/>
          <w:szCs w:val="18"/>
          <w:color w:val="auto"/>
        </w:rPr>
      </w:pPr>
    </w:p>
    <w:p>
      <w:pPr>
        <w:jc w:val="both"/>
        <w:ind w:left="1820" w:right="419" w:hanging="182"/>
        <w:spacing w:after="0" w:line="26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54" w:lineRule="exact"/>
        <w:rPr>
          <w:rFonts w:ascii="Times New Roman" w:cs="Times New Roman" w:eastAsia="Times New Roman" w:hAnsi="Times New Roman"/>
          <w:sz w:val="18"/>
          <w:szCs w:val="18"/>
          <w:color w:val="auto"/>
        </w:rPr>
      </w:pPr>
    </w:p>
    <w:p>
      <w:pPr>
        <w:ind w:left="1820" w:right="759" w:hanging="182"/>
        <w:spacing w:after="0" w:line="261"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99" w:lineRule="exact"/>
        <w:rPr>
          <w:sz w:val="20"/>
          <w:szCs w:val="20"/>
          <w:color w:val="auto"/>
        </w:rPr>
      </w:pPr>
    </w:p>
    <w:p>
      <w:pPr>
        <w:jc w:val="both"/>
        <w:ind w:left="1280" w:right="459" w:firstLine="360"/>
        <w:spacing w:after="0" w:line="258"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84" w:lineRule="exact"/>
        <w:rPr>
          <w:sz w:val="20"/>
          <w:szCs w:val="20"/>
          <w:color w:val="auto"/>
        </w:rPr>
      </w:pPr>
    </w:p>
    <w:p>
      <w:pPr>
        <w:ind w:left="1820" w:right="87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67" w:lineRule="exact"/>
        <w:rPr>
          <w:rFonts w:ascii="Times New Roman" w:cs="Times New Roman" w:eastAsia="Times New Roman" w:hAnsi="Times New Roman"/>
          <w:sz w:val="18"/>
          <w:szCs w:val="18"/>
          <w:color w:val="auto"/>
        </w:rPr>
      </w:pPr>
    </w:p>
    <w:p>
      <w:pPr>
        <w:jc w:val="both"/>
        <w:ind w:left="1820" w:right="45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67" w:lineRule="exact"/>
        <w:rPr>
          <w:rFonts w:ascii="Times New Roman" w:cs="Times New Roman" w:eastAsia="Times New Roman" w:hAnsi="Times New Roman"/>
          <w:sz w:val="18"/>
          <w:szCs w:val="18"/>
          <w:color w:val="auto"/>
        </w:rPr>
      </w:pPr>
    </w:p>
    <w:p>
      <w:pPr>
        <w:jc w:val="both"/>
        <w:ind w:left="1820" w:right="57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80" w:right="579" w:firstLine="360"/>
        <w:spacing w:after="0" w:line="209"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w:t>
      </w:r>
    </w:p>
    <w:p>
      <w:pPr>
        <w:spacing w:after="0" w:line="2" w:lineRule="exact"/>
        <w:rPr>
          <w:sz w:val="20"/>
          <w:szCs w:val="20"/>
          <w:color w:val="auto"/>
        </w:rPr>
      </w:pPr>
    </w:p>
    <w:p>
      <w:pPr>
        <w:ind w:left="1280" w:right="439"/>
        <w:spacing w:after="0" w:line="239" w:lineRule="auto"/>
        <w:rPr>
          <w:sz w:val="20"/>
          <w:szCs w:val="20"/>
          <w:color w:val="auto"/>
        </w:rPr>
      </w:pPr>
      <w:r>
        <w:rPr>
          <w:rFonts w:ascii="Times New Roman" w:cs="Times New Roman" w:eastAsia="Times New Roman" w:hAnsi="Times New Roman"/>
          <w:sz w:val="18"/>
          <w:szCs w:val="18"/>
          <w:color w:val="auto"/>
        </w:rPr>
        <w:t>robustness and reduce the compute resources required to validate the solution, and RSS, which separates the perception system’s validation from the driving policy system. Both of these are critical contributors to achieving efficient solutions.</w:t>
      </w:r>
    </w:p>
    <w:p>
      <w:pPr>
        <w:spacing w:after="0" w:line="19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46" w:lineRule="exact"/>
        <w:rPr>
          <w:sz w:val="20"/>
          <w:szCs w:val="20"/>
          <w:color w:val="auto"/>
        </w:rPr>
      </w:pPr>
    </w:p>
    <w:p>
      <w:pPr>
        <w:jc w:val="both"/>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40" w:lineRule="exact"/>
        <w:rPr>
          <w:sz w:val="20"/>
          <w:szCs w:val="20"/>
          <w:color w:val="auto"/>
        </w:rPr>
      </w:pPr>
    </w:p>
    <w:p>
      <w:pPr>
        <w:ind w:left="1820" w:right="55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36" w:lineRule="exact"/>
        <w:rPr>
          <w:rFonts w:ascii="Times New Roman" w:cs="Times New Roman" w:eastAsia="Times New Roman" w:hAnsi="Times New Roman"/>
          <w:sz w:val="18"/>
          <w:szCs w:val="18"/>
          <w:color w:val="auto"/>
        </w:rPr>
      </w:pPr>
    </w:p>
    <w:p>
      <w:pPr>
        <w:ind w:left="1820" w:right="559" w:hanging="182"/>
        <w:spacing w:after="0" w:line="229"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 a monolithic “AV-on-Chip”, covers our autonomous driving solutions portfolio;</w:t>
      </w:r>
    </w:p>
    <w:p>
      <w:pPr>
        <w:spacing w:after="0" w:line="90"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48"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ind w:left="1280" w:right="579"/>
        <w:spacing w:after="0" w:line="243"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spacing w:after="0" w:line="250" w:lineRule="auto"/>
        <w:rPr>
          <w:sz w:val="20"/>
          <w:szCs w:val="20"/>
          <w:color w:val="auto"/>
        </w:rPr>
      </w:pPr>
      <w:r>
        <w:rPr>
          <w:rFonts w:ascii="Times New Roman" w:cs="Times New Roman" w:eastAsia="Times New Roman" w:hAnsi="Times New Roman"/>
          <w:sz w:val="18"/>
          <w:szCs w:val="18"/>
          <w:color w:val="auto"/>
        </w:rPr>
        <w:t>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w:t>
      </w:r>
    </w:p>
    <w:p>
      <w:pPr>
        <w:spacing w:after="0" w:line="110" w:lineRule="exact"/>
        <w:rPr>
          <w:sz w:val="20"/>
          <w:szCs w:val="20"/>
          <w:color w:val="auto"/>
        </w:rPr>
      </w:pPr>
    </w:p>
    <w:p>
      <w:pPr>
        <w:ind w:left="1280" w:right="939" w:firstLine="360"/>
        <w:spacing w:after="0" w:line="266" w:lineRule="auto"/>
        <w:rPr>
          <w:sz w:val="20"/>
          <w:szCs w:val="20"/>
          <w:color w:val="auto"/>
        </w:rPr>
      </w:pPr>
      <w:r>
        <w:rPr>
          <w:rFonts w:ascii="Times New Roman" w:cs="Times New Roman" w:eastAsia="Times New Roman" w:hAnsi="Times New Roman"/>
          <w:sz w:val="18"/>
          <w:szCs w:val="18"/>
          <w:color w:val="auto"/>
        </w:rPr>
        <w:t>We currently ship a variety of ADAS solutions to 13 of the 15 largest automakers in the world in addition to many smaller OEMs, and we are recognized for our top-rated safety solutions globally.</w:t>
      </w:r>
    </w:p>
    <w:p>
      <w:pPr>
        <w:spacing w:after="0" w:line="56" w:lineRule="exact"/>
        <w:rPr>
          <w:sz w:val="20"/>
          <w:szCs w:val="20"/>
          <w:color w:val="auto"/>
        </w:rPr>
      </w:pPr>
    </w:p>
    <w:p>
      <w:pPr>
        <w:ind w:left="1280" w:right="65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15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80" w:right="399" w:firstLine="360"/>
        <w:spacing w:after="0" w:line="222"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Electronic Control Unit (“ECU”) architecture, thereby supporting a variety of ADAS solution architectures.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SoCs and subsequent generations feature EyeQ Kit™ — an end-to-end software-development kit (“SDK”) intended to enable the co-hosting of our partners’ and customers’ workloads alongside our cutting-edge artificial intelligence (“AI”) technologies.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20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Road Experience Management™</w:t>
      </w:r>
    </w:p>
    <w:p>
      <w:pPr>
        <w:spacing w:after="0" w:line="146"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REM™ is a cloud-based system that leverages the broad installed-base of REM™-equipped vehicles to build Mobileye Roadbook™, our crowd-sourced, high-definition maps of roads from around the world.</w:t>
      </w:r>
    </w:p>
    <w:p>
      <w:pPr>
        <w:spacing w:after="0" w:line="81"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By augmenting our base ADAS with REM™ and Mobileye Roadbook™, we have pioneered the new ADAS category of cloud-enhanced ADAS, which we call Cloud-Enhanced Driver Assist.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80" w:right="859" w:firstLine="360"/>
        <w:spacing w:after="0" w:line="258"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 worst-case assumptions regarding the behavior of other road-users, thereby enabling assertive, human-like driving while rigorously respecting the boundary between safe driving decisions and dangerous, risk-inducing ones.</w:t>
      </w:r>
    </w:p>
    <w:p>
      <w:pPr>
        <w:spacing w:after="0" w:line="1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True Redundancy™: Our Unique Sensor Fusion Architecture</w:t>
      </w:r>
    </w:p>
    <w:p>
      <w:pPr>
        <w:spacing w:after="0" w:line="160"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Our unique architecture design, called True Redundancy™, further enhances the robustness and safety of our self-driving system. Rather than fusing all different sensor modalities prior to creating an “environment model” of the world, we are developing two independent perception sub systems. One subsystem is powered solely by cameras and the other is powered by active sensors (radars and lidars).</w:t>
      </w:r>
    </w:p>
    <w:p>
      <w:pPr>
        <w:spacing w:after="0" w:line="110"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recently launched by Geely Group for its Zeekr premium electric vehicle brand, is a productization of the camera-only subsystem of our autonomous driving development, offering fully operational point-to-point assisted driving navigation.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believe our custom designed imaging radars will allow us to eliminate the need for multiple high- cost lidars around the vehicle and require only a single front-facing lidar, thereby significantly lowering the overall cost of the required sensors compared to other solutions that use lidar-centric or lidar-only systems.</w:t>
      </w:r>
    </w:p>
    <w:p>
      <w:pPr>
        <w:spacing w:after="0" w:line="110" w:lineRule="exact"/>
        <w:rPr>
          <w:sz w:val="20"/>
          <w:szCs w:val="20"/>
          <w:color w:val="auto"/>
        </w:rPr>
      </w:pPr>
    </w:p>
    <w:p>
      <w:pPr>
        <w:ind w:left="1280" w:right="479" w:firstLine="360"/>
        <w:spacing w:after="0" w:line="245"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Zeekr. Consumer AV ranges from very limited operational design domain (e.g., low -speed, highway-only “traffic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pacing w:after="0" w:line="114"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Building upon Mobileye Chauffeur™, which targets the consumer-owned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48"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6"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80" w:right="77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20" w:right="93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w:t>
      </w:r>
    </w:p>
    <w:p>
      <w:pPr>
        <w:spacing w:after="0" w:line="46" w:lineRule="exact"/>
        <w:rPr>
          <w:rFonts w:ascii="Times New Roman" w:cs="Times New Roman" w:eastAsia="Times New Roman" w:hAnsi="Times New Roman"/>
          <w:sz w:val="18"/>
          <w:szCs w:val="18"/>
          <w:color w:val="auto"/>
        </w:rPr>
      </w:pPr>
    </w:p>
    <w:p>
      <w:pPr>
        <w:jc w:val="both"/>
        <w:ind w:left="1820" w:right="579" w:hanging="182"/>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w:t>
      </w:r>
    </w:p>
    <w:p>
      <w:pPr>
        <w:spacing w:after="0" w:line="62" w:lineRule="exact"/>
        <w:rPr>
          <w:rFonts w:ascii="Times New Roman" w:cs="Times New Roman" w:eastAsia="Times New Roman" w:hAnsi="Times New Roman"/>
          <w:sz w:val="18"/>
          <w:szCs w:val="18"/>
          <w:color w:val="auto"/>
        </w:rPr>
      </w:pPr>
    </w:p>
    <w:p>
      <w:pPr>
        <w:ind w:left="1820" w:right="439" w:hanging="182"/>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In order for autonomous driving consumer vehicles to scale in volume, we believe the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self-driving system needs to be reduced significantly, such as to several thousands of dollars, an order of magnitude lower than the cost of market solutions to date.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spacing w:after="0" w:line="250" w:lineRule="auto"/>
        <w:rPr>
          <w:sz w:val="20"/>
          <w:szCs w:val="20"/>
          <w:color w:val="auto"/>
        </w:rPr>
      </w:pPr>
      <w:r>
        <w:rPr>
          <w:rFonts w:ascii="Times New Roman" w:cs="Times New Roman" w:eastAsia="Times New Roman" w:hAnsi="Times New Roman"/>
          <w:sz w:val="18"/>
          <w:szCs w:val="18"/>
          <w:color w:val="auto"/>
        </w:rPr>
        <w:t>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w:t>
      </w:r>
    </w:p>
    <w:p>
      <w:pPr>
        <w:spacing w:after="0" w:line="65" w:lineRule="exact"/>
        <w:rPr>
          <w:sz w:val="20"/>
          <w:szCs w:val="20"/>
          <w:color w:val="auto"/>
        </w:rPr>
      </w:pPr>
    </w:p>
    <w:p>
      <w:pPr>
        <w:ind w:left="1820" w:right="79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Assist. </w:t>
      </w:r>
      <w:r>
        <w:rPr>
          <w:rFonts w:ascii="Times New Roman" w:cs="Times New Roman" w:eastAsia="Times New Roman" w:hAnsi="Times New Roman"/>
          <w:sz w:val="18"/>
          <w:szCs w:val="18"/>
          <w:color w:val="auto"/>
        </w:rPr>
        <w:t>Base Driver Assist functions are foundational to our spectrum of ADAS and AV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and include critical safety features such as real-time detection of road users, geometry, semantics, and markings to provide safety alerts and emergency interventions.</w:t>
      </w:r>
    </w:p>
    <w:p>
      <w:pPr>
        <w:spacing w:after="0" w:line="49" w:lineRule="exact"/>
        <w:rPr>
          <w:rFonts w:ascii="Times New Roman" w:cs="Times New Roman" w:eastAsia="Times New Roman" w:hAnsi="Times New Roman"/>
          <w:sz w:val="18"/>
          <w:szCs w:val="18"/>
          <w:color w:val="auto"/>
        </w:rPr>
      </w:pPr>
    </w:p>
    <w:p>
      <w:pPr>
        <w:ind w:left="1820" w:right="579" w:hanging="182"/>
        <w:spacing w:after="0" w:line="265"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Cloud-Enhanced Driver Assist. </w:t>
      </w:r>
      <w:r>
        <w:rPr>
          <w:rFonts w:ascii="Times New Roman" w:cs="Times New Roman" w:eastAsia="Times New Roman" w:hAnsi="Times New Roman"/>
          <w:sz w:val="18"/>
          <w:szCs w:val="18"/>
          <w:color w:val="auto"/>
        </w:rPr>
        <w:t>Cloud-Enhanced Driver Assist provides drivers with high-accuracy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a scene in real-time utilizing centimeter-level drivable path accuracy, foresight of the path ahead, and other semantic information provided by our crowdsourced REM™ mapping system.</w:t>
      </w:r>
    </w:p>
    <w:p>
      <w:pPr>
        <w:spacing w:after="0" w:line="286" w:lineRule="exact"/>
        <w:rPr>
          <w:rFonts w:ascii="Times New Roman" w:cs="Times New Roman" w:eastAsia="Times New Roman" w:hAnsi="Times New Roman"/>
          <w:sz w:val="18"/>
          <w:szCs w:val="18"/>
          <w:color w:val="auto"/>
        </w:rPr>
      </w:pPr>
    </w:p>
    <w:p>
      <w:pPr>
        <w:ind w:left="1820" w:right="71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SuperVision™. </w:t>
      </w:r>
      <w:r>
        <w:rPr>
          <w:rFonts w:ascii="Times New Roman" w:cs="Times New Roman" w:eastAsia="Times New Roman" w:hAnsi="Times New Roman"/>
          <w:sz w:val="18"/>
          <w:szCs w:val="18"/>
          <w:color w:val="auto"/>
        </w:rPr>
        <w:t>Mobileye SuperVision™, our Premium Driver Assist offering, is a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point-to-point assisted driving navigation solution and includes cloud-based enhancements such as REM™ and supports over-the-air (“OTA”) updates.</w:t>
      </w:r>
    </w:p>
    <w:p>
      <w:pPr>
        <w:spacing w:after="0" w:line="49"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Chauffeur™. </w:t>
      </w:r>
      <w:r>
        <w:rPr>
          <w:rFonts w:ascii="Times New Roman" w:cs="Times New Roman" w:eastAsia="Times New Roman" w:hAnsi="Times New Roman"/>
          <w:sz w:val="18"/>
          <w:szCs w:val="18"/>
          <w:color w:val="auto"/>
        </w:rPr>
        <w:t>Mobileye Chauffeur’s™ first generation solution will be based on six</w:t>
      </w:r>
    </w:p>
    <w:p>
      <w:pPr>
        <w:spacing w:after="0" w:line="31" w:lineRule="exact"/>
        <w:rPr>
          <w:rFonts w:ascii="Times New Roman" w:cs="Times New Roman" w:eastAsia="Times New Roman" w:hAnsi="Times New Roman"/>
          <w:sz w:val="18"/>
          <w:szCs w:val="18"/>
          <w:color w:val="auto"/>
        </w:rPr>
      </w:pPr>
    </w:p>
    <w:p>
      <w:pPr>
        <w:ind w:left="1820" w:right="459"/>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89" w:lineRule="exact"/>
        <w:rPr>
          <w:rFonts w:ascii="Times New Roman" w:cs="Times New Roman" w:eastAsia="Times New Roman" w:hAnsi="Times New Roman"/>
          <w:sz w:val="18"/>
          <w:szCs w:val="18"/>
          <w:color w:val="auto"/>
        </w:rPr>
      </w:pPr>
    </w:p>
    <w:p>
      <w:pPr>
        <w:ind w:left="1820" w:right="599" w:hanging="182"/>
        <w:spacing w:after="0" w:line="26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Drive™. </w:t>
      </w:r>
      <w:r>
        <w:rPr>
          <w:rFonts w:ascii="Times New Roman" w:cs="Times New Roman" w:eastAsia="Times New Roman" w:hAnsi="Times New Roman"/>
          <w:sz w:val="18"/>
          <w:szCs w:val="18"/>
          <w:color w:val="auto"/>
        </w:rPr>
        <w:t>Mobileye Drive™, our Level 4 solution, will encompass our core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3" w:lineRule="exact"/>
        <w:rPr>
          <w:sz w:val="20"/>
          <w:szCs w:val="20"/>
          <w:color w:val="auto"/>
        </w:rPr>
      </w:pPr>
    </w:p>
    <w:p>
      <w:pPr>
        <w:ind w:left="1640" w:right="899"/>
        <w:spacing w:after="0" w:line="266" w:lineRule="auto"/>
        <w:rPr>
          <w:sz w:val="20"/>
          <w:szCs w:val="20"/>
          <w:color w:val="auto"/>
        </w:rPr>
      </w:pPr>
      <w:r>
        <w:rPr>
          <w:rFonts w:ascii="Times New Roman" w:cs="Times New Roman" w:eastAsia="Times New Roman" w:hAnsi="Times New Roman"/>
          <w:sz w:val="18"/>
          <w:szCs w:val="18"/>
          <w:color w:val="auto"/>
        </w:rPr>
        <w:t>Mobileye Drive™ may be offered across two increasingly vertically integrated product sets, each underpinned by our full set of autonomous driving technology solutions:</w:t>
      </w:r>
    </w:p>
    <w:p>
      <w:pPr>
        <w:spacing w:after="0" w:line="50" w:lineRule="exact"/>
        <w:rPr>
          <w:sz w:val="20"/>
          <w:szCs w:val="20"/>
          <w:color w:val="auto"/>
        </w:rPr>
      </w:pPr>
    </w:p>
    <w:p>
      <w:pPr>
        <w:ind w:left="2180" w:right="579" w:hanging="182"/>
        <w:spacing w:after="0" w:line="262" w:lineRule="auto"/>
        <w:tabs>
          <w:tab w:leader="none" w:pos="2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 Level 4 self-driving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68" w:lineRule="exact"/>
        <w:rPr>
          <w:rFonts w:ascii="Times New Roman" w:cs="Times New Roman" w:eastAsia="Times New Roman" w:hAnsi="Times New Roman"/>
          <w:sz w:val="18"/>
          <w:szCs w:val="18"/>
          <w:color w:val="auto"/>
        </w:rPr>
      </w:pPr>
    </w:p>
    <w:p>
      <w:pPr>
        <w:ind w:left="2180" w:right="459" w:hanging="182"/>
        <w:spacing w:after="0" w:line="258" w:lineRule="auto"/>
        <w:tabs>
          <w:tab w:leader="none" w:pos="2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also will provide the necessary service and user-base layer within our own AMaaS solution where we plan to deploy Mobileye-Drive-enabled self-driving vehicles in partnership with fleet operators.</w:t>
      </w:r>
    </w:p>
    <w:p>
      <w:pPr>
        <w:spacing w:after="0" w:line="32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 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Additionally, we have created a separate dataset of 8.6 billion miles of roads driven as of July 2, 2022 from, based on our estimates, approximately 1.5 million REM™- enabled vehicles worldwide. We then apply a series of on-cloud algorithms to build this crowd -sourced data into a high-definition, rapidly updating map that contains a rich variety of information, including road geometry, drivable paths, common speeds, right-of-way, and traffic light-to-lane associations.</w:t>
      </w:r>
    </w:p>
    <w:p>
      <w:pPr>
        <w:spacing w:after="0" w:line="110"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These two datasets create powerful network effects as we seek to continually improve our solutions as more vehicles are deployed with our technology.</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80" w:right="639" w:firstLine="360"/>
        <w:spacing w:after="0" w:line="253"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ind w:left="1280" w:right="439" w:hanging="2"/>
        <w:spacing w:after="0"/>
        <w:tabs>
          <w:tab w:leader="none" w:pos="15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85"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with the computational workloads required by the software stack. Our approach results in low power consumption and lean compute, yet is able to support a very powerful range of solutions for the ADAS and AV markets.</w:t>
      </w:r>
    </w:p>
    <w:p>
      <w:pPr>
        <w:spacing w:after="0" w:line="36" w:lineRule="exact"/>
        <w:rPr>
          <w:rFonts w:ascii="Times New Roman" w:cs="Times New Roman" w:eastAsia="Times New Roman" w:hAnsi="Times New Roman"/>
          <w:sz w:val="18"/>
          <w:szCs w:val="18"/>
          <w:color w:val="auto"/>
        </w:rPr>
      </w:pPr>
    </w:p>
    <w:p>
      <w:pPr>
        <w:ind w:left="1820" w:right="519" w:hanging="182"/>
        <w:spacing w:after="0" w:line="221"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67" w:lineRule="exact"/>
        <w:rPr>
          <w:rFonts w:ascii="Times New Roman" w:cs="Times New Roman" w:eastAsia="Times New Roman" w:hAnsi="Times New Roman"/>
          <w:sz w:val="18"/>
          <w:szCs w:val="18"/>
          <w:color w:val="auto"/>
        </w:rPr>
      </w:pPr>
    </w:p>
    <w:p>
      <w:pPr>
        <w:ind w:left="1820" w:right="459" w:hanging="182"/>
        <w:spacing w:after="0" w:line="244"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 </w:t>
      </w:r>
      <w:r>
        <w:rPr>
          <w:rFonts w:ascii="Times New Roman" w:cs="Times New Roman" w:eastAsia="Times New Roman" w:hAnsi="Times New Roman"/>
          <w:sz w:val="18"/>
          <w:szCs w:val="18"/>
          <w:color w:val="auto"/>
        </w:rPr>
        <w:t>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We believe EyeQ Kit™ accelerates time to market for our customers at a lower cost than alternative in-house solutions while strengthening our partnerships by encouraging our customers to customize their offerings on top of our platform.</w:t>
      </w:r>
    </w:p>
    <w:p>
      <w:pPr>
        <w:spacing w:after="0" w:line="82" w:lineRule="exact"/>
        <w:rPr>
          <w:rFonts w:ascii="Times New Roman" w:cs="Times New Roman" w:eastAsia="Times New Roman" w:hAnsi="Times New Roman"/>
          <w:sz w:val="18"/>
          <w:szCs w:val="18"/>
          <w:color w:val="auto"/>
        </w:rPr>
      </w:pPr>
    </w:p>
    <w:p>
      <w:pPr>
        <w:ind w:left="1820" w:right="539" w:hanging="182"/>
        <w:spacing w:after="0" w:line="262"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leading computer vision capabilities — </w:t>
      </w:r>
      <w:r>
        <w:rPr>
          <w:rFonts w:ascii="Times New Roman" w:cs="Times New Roman" w:eastAsia="Times New Roman" w:hAnsi="Times New Roman"/>
          <w:sz w:val="18"/>
          <w:szCs w:val="18"/>
          <w:color w:val="auto"/>
        </w:rPr>
        <w:t>We are a technology leader for computer 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ADAS, and we have continuously enhanced our leadership position since we launched with customers in 2007 through our ability to meet the extreme performance, accuracy, and cost metrics of our OEM customers.</w:t>
      </w:r>
    </w:p>
    <w:p>
      <w:pPr>
        <w:spacing w:after="0" w:line="68" w:lineRule="exact"/>
        <w:rPr>
          <w:rFonts w:ascii="Times New Roman" w:cs="Times New Roman" w:eastAsia="Times New Roman" w:hAnsi="Times New Roman"/>
          <w:sz w:val="18"/>
          <w:szCs w:val="18"/>
          <w:color w:val="auto"/>
        </w:rPr>
      </w:pPr>
    </w:p>
    <w:p>
      <w:pPr>
        <w:ind w:left="1820" w:right="499" w:hanging="182"/>
        <w:spacing w:after="0" w:line="268"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 mapping technology, our True Redundancy™ approach, our RSS and driving policy, and our active sensor architecture based on our imaging radars.</w:t>
      </w:r>
    </w:p>
    <w:p>
      <w:pPr>
        <w:spacing w:after="0" w:line="62" w:lineRule="exact"/>
        <w:rPr>
          <w:rFonts w:ascii="Times New Roman" w:cs="Times New Roman" w:eastAsia="Times New Roman" w:hAnsi="Times New Roman"/>
          <w:sz w:val="18"/>
          <w:szCs w:val="18"/>
          <w:color w:val="auto"/>
        </w:rPr>
      </w:pPr>
    </w:p>
    <w:p>
      <w:pPr>
        <w:ind w:left="1820" w:right="699" w:hanging="182"/>
        <w:spacing w:after="0" w:line="259"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Autonomous driving-ADAS synergies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autonomous driving-ADAS interplay is bi-directional: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71" w:lineRule="exact"/>
        <w:rPr>
          <w:rFonts w:ascii="Times New Roman" w:cs="Times New Roman" w:eastAsia="Times New Roman" w:hAnsi="Times New Roman"/>
          <w:sz w:val="18"/>
          <w:szCs w:val="18"/>
          <w:color w:val="auto"/>
        </w:rPr>
      </w:pPr>
    </w:p>
    <w:p>
      <w:pPr>
        <w:jc w:val="both"/>
        <w:ind w:left="1820" w:right="419" w:hanging="182"/>
        <w:spacing w:after="0" w:line="256"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creates a powerful network effect and long-term competitive advantage — </w:t>
      </w:r>
      <w:r>
        <w:rPr>
          <w:rFonts w:ascii="Times New Roman" w:cs="Times New Roman" w:eastAsia="Times New Roman" w:hAnsi="Times New Roman"/>
          <w:sz w:val="18"/>
          <w:szCs w:val="18"/>
          <w:color w:val="auto"/>
        </w:rPr>
        <w:t>Our REM™ system is a crucial ingredient that we believe allows for: (1) defining a new category of cloud-enhanced ADAS that we call Cloud-Enhanced Driver Assist; (2) evolving ADAS to an “eyes-on/hands-free” point-to-point assisted driving navigation; and (3) the scale deployment of AV.</w:t>
      </w:r>
    </w:p>
    <w:p>
      <w:pPr>
        <w:spacing w:after="0" w:line="3" w:lineRule="exact"/>
        <w:rPr>
          <w:rFonts w:ascii="Times New Roman" w:cs="Times New Roman" w:eastAsia="Times New Roman" w:hAnsi="Times New Roman"/>
          <w:sz w:val="18"/>
          <w:szCs w:val="18"/>
          <w:color w:val="auto"/>
        </w:rPr>
      </w:pPr>
    </w:p>
    <w:p>
      <w:pPr>
        <w:ind w:left="18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right="419" w:hanging="182"/>
        <w:spacing w:after="0" w:line="25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and technology advantage — </w:t>
      </w:r>
      <w:r>
        <w:rPr>
          <w:rFonts w:ascii="Times New Roman" w:cs="Times New Roman" w:eastAsia="Times New Roman" w:hAnsi="Times New Roman"/>
          <w:sz w:val="18"/>
          <w:szCs w:val="18"/>
          <w:color w:val="auto"/>
        </w:rPr>
        <w:t>We have assembled a substantial dataset of real-world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encompassing over 200 petabytes of data, which includes over 23 million clips collected over decades of driving on urban, highway, and arterial roads in over 80 countries. We utilize up to approximately 500,000 cloud CPU cores to process approximately 100 petabytes of data every month, which we believe demonstrates the size and scale of our data repository. Our dataset creates a powerful network effect as we seek to continually improve our solutions as more vehicles are deployed with our technology.</w:t>
      </w:r>
    </w:p>
    <w:p>
      <w:pPr>
        <w:spacing w:after="0" w:line="88" w:lineRule="exact"/>
        <w:rPr>
          <w:rFonts w:ascii="Times New Roman" w:cs="Times New Roman" w:eastAsia="Times New Roman" w:hAnsi="Times New Roman"/>
          <w:sz w:val="18"/>
          <w:szCs w:val="18"/>
          <w:color w:val="auto"/>
        </w:rPr>
      </w:pPr>
    </w:p>
    <w:p>
      <w:pPr>
        <w:ind w:left="1820" w:right="579" w:hanging="182"/>
        <w:spacing w:after="0" w:line="26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RSS and driving policy are designed for global deployment — </w:t>
      </w:r>
      <w:r>
        <w:rPr>
          <w:rFonts w:ascii="Times New Roman" w:cs="Times New Roman" w:eastAsia="Times New Roman" w:hAnsi="Times New Roman"/>
          <w:sz w:val="18"/>
          <w:szCs w:val="18"/>
          <w:color w:val="auto"/>
        </w:rPr>
        <w:t>RSS is the key enabler of our “lean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68" w:lineRule="exact"/>
        <w:rPr>
          <w:rFonts w:ascii="Times New Roman" w:cs="Times New Roman" w:eastAsia="Times New Roman" w:hAnsi="Times New Roman"/>
          <w:sz w:val="18"/>
          <w:szCs w:val="18"/>
          <w:color w:val="auto"/>
        </w:rPr>
      </w:pPr>
    </w:p>
    <w:p>
      <w:pPr>
        <w:ind w:left="1820" w:right="419" w:hanging="182"/>
        <w:spacing w:after="0" w:line="25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 architecture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291" w:lineRule="exact"/>
        <w:rPr>
          <w:rFonts w:ascii="Times New Roman" w:cs="Times New Roman" w:eastAsia="Times New Roman" w:hAnsi="Times New Roman"/>
          <w:sz w:val="18"/>
          <w:szCs w:val="18"/>
          <w:color w:val="auto"/>
        </w:rPr>
      </w:pPr>
    </w:p>
    <w:p>
      <w:pPr>
        <w:ind w:left="1820" w:right="459" w:hanging="182"/>
        <w:spacing w:after="0" w:line="259"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71" w:lineRule="exact"/>
        <w:rPr>
          <w:rFonts w:ascii="Times New Roman" w:cs="Times New Roman" w:eastAsia="Times New Roman" w:hAnsi="Times New Roman"/>
          <w:sz w:val="18"/>
          <w:szCs w:val="18"/>
          <w:color w:val="auto"/>
        </w:rPr>
      </w:pPr>
    </w:p>
    <w:p>
      <w:pPr>
        <w:ind w:left="1820" w:right="639" w:hanging="182"/>
        <w:spacing w:after="0" w:line="26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collaborative ecosystem relationships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20" w:right="419" w:hanging="182"/>
        <w:spacing w:after="0" w:line="26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w:t>
      </w:r>
    </w:p>
    <w:p>
      <w:pPr>
        <w:spacing w:after="0" w:line="62" w:lineRule="exact"/>
        <w:rPr>
          <w:rFonts w:ascii="Times New Roman" w:cs="Times New Roman" w:eastAsia="Times New Roman" w:hAnsi="Times New Roman"/>
          <w:sz w:val="18"/>
          <w:szCs w:val="18"/>
          <w:color w:val="auto"/>
        </w:rPr>
      </w:pPr>
    </w:p>
    <w:p>
      <w:pPr>
        <w:ind w:left="1820" w:right="419" w:hanging="182"/>
        <w:spacing w:after="0" w:line="234"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 technology. In the future, we plan to create revenue streams from our OTA capabilities and AV maps through solution upgrades.</w:t>
      </w:r>
    </w:p>
    <w:p>
      <w:pPr>
        <w:spacing w:after="0" w:line="88" w:lineRule="exact"/>
        <w:rPr>
          <w:rFonts w:ascii="Times New Roman" w:cs="Times New Roman" w:eastAsia="Times New Roman" w:hAnsi="Times New Roman"/>
          <w:sz w:val="18"/>
          <w:szCs w:val="18"/>
          <w:color w:val="auto"/>
        </w:rPr>
      </w:pPr>
    </w:p>
    <w:p>
      <w:pPr>
        <w:ind w:left="1820" w:right="679" w:hanging="182"/>
        <w:spacing w:after="0" w:line="26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enhance our Premium Driver Assist solution — </w:t>
      </w:r>
      <w:r>
        <w:rPr>
          <w:rFonts w:ascii="Times New Roman" w:cs="Times New Roman" w:eastAsia="Times New Roman" w:hAnsi="Times New Roman"/>
          <w:sz w:val="18"/>
          <w:szCs w:val="18"/>
          <w:color w:val="auto"/>
        </w:rPr>
        <w:t>Our Mobileye SuperVision™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a comprehensive “eyes-on/hands-free” ADAS solution. We believe that the high value-add, our continuous efforts to add capabilities, as well as the competitive price point of Mobileye SuperVision™ will allow it to gain strong market traction in the coming years.</w:t>
      </w:r>
    </w:p>
    <w:p>
      <w:pPr>
        <w:spacing w:after="0" w:line="68" w:lineRule="exact"/>
        <w:rPr>
          <w:rFonts w:ascii="Times New Roman" w:cs="Times New Roman" w:eastAsia="Times New Roman" w:hAnsi="Times New Roman"/>
          <w:sz w:val="18"/>
          <w:szCs w:val="18"/>
          <w:color w:val="auto"/>
        </w:rPr>
      </w:pPr>
    </w:p>
    <w:p>
      <w:pPr>
        <w:ind w:left="1820" w:right="459" w:hanging="182"/>
        <w:spacing w:after="0" w:line="25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 our surround computer vision Mobileye SuperVision™ solution, and our True Redundancy™ architecture, we believe that we will be 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74" w:lineRule="exact"/>
        <w:rPr>
          <w:rFonts w:ascii="Times New Roman" w:cs="Times New Roman" w:eastAsia="Times New Roman" w:hAnsi="Times New Roman"/>
          <w:sz w:val="18"/>
          <w:szCs w:val="18"/>
          <w:color w:val="auto"/>
        </w:rPr>
      </w:pPr>
    </w:p>
    <w:p>
      <w:pPr>
        <w:ind w:left="1820" w:right="639" w:hanging="182"/>
        <w:spacing w:after="0" w:line="230"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19"/>
        <w:spacing w:after="0" w:line="250" w:lineRule="auto"/>
        <w:rPr>
          <w:sz w:val="20"/>
          <w:szCs w:val="20"/>
          <w:color w:val="auto"/>
        </w:rPr>
      </w:pPr>
      <w:r>
        <w:rPr>
          <w:rFonts w:ascii="Times New Roman" w:cs="Times New Roman" w:eastAsia="Times New Roman" w:hAnsi="Times New Roman"/>
          <w:sz w:val="18"/>
          <w:szCs w:val="18"/>
          <w:color w:val="auto"/>
        </w:rPr>
        <w:t>our platform to offer our customers the ability to seamlessly address the capabilities and features that they demand by customizing their offerings on top of our platform. We are partnering with leading technology suppliers to expand our products by offering features and services alongside our core technology platform.</w:t>
      </w:r>
    </w:p>
    <w:p>
      <w:pPr>
        <w:spacing w:after="0" w:line="65" w:lineRule="exact"/>
        <w:rPr>
          <w:sz w:val="20"/>
          <w:szCs w:val="20"/>
          <w:color w:val="auto"/>
        </w:rPr>
      </w:pPr>
    </w:p>
    <w:p>
      <w:pPr>
        <w:ind w:left="1820" w:right="41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 AI capabilities. Together with Intel, we also are currently in the early stages of development of frequency-modulated continuous wave (“FMCW”) lidar, which has the potential to replace alternative third-party lidar to further enhance the performance of our sensor suite.</w:t>
      </w:r>
    </w:p>
    <w:p>
      <w:pPr>
        <w:spacing w:after="0" w:line="49" w:lineRule="exact"/>
        <w:rPr>
          <w:rFonts w:ascii="Times New Roman" w:cs="Times New Roman" w:eastAsia="Times New Roman" w:hAnsi="Times New Roman"/>
          <w:sz w:val="18"/>
          <w:szCs w:val="18"/>
          <w:color w:val="auto"/>
        </w:rPr>
      </w:pPr>
    </w:p>
    <w:p>
      <w:pPr>
        <w:ind w:left="1820" w:right="439" w:hanging="182"/>
        <w:spacing w:after="0" w:line="244"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82" w:lineRule="exact"/>
        <w:rPr>
          <w:rFonts w:ascii="Times New Roman" w:cs="Times New Roman" w:eastAsia="Times New Roman" w:hAnsi="Times New Roman"/>
          <w:sz w:val="18"/>
          <w:szCs w:val="18"/>
          <w:color w:val="auto"/>
        </w:rPr>
      </w:pPr>
    </w:p>
    <w:p>
      <w:pPr>
        <w:ind w:left="1820" w:right="499" w:hanging="182"/>
        <w:spacing w:after="0" w:line="25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18"/>
          <w:szCs w:val="18"/>
          <w:color w:val="auto"/>
        </w:rPr>
        <w:t> — 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 2022, encompassed over 200 petabytes of data and 8.6 billion miles of AV mapped roads from, based on our estimates, approximately 1.5 million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74" w:lineRule="exact"/>
        <w:rPr>
          <w:rFonts w:ascii="Times New Roman" w:cs="Times New Roman" w:eastAsia="Times New Roman" w:hAnsi="Times New Roman"/>
          <w:sz w:val="18"/>
          <w:szCs w:val="18"/>
          <w:color w:val="auto"/>
        </w:rPr>
      </w:pPr>
    </w:p>
    <w:p>
      <w:pPr>
        <w:ind w:left="1820" w:right="55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w:t>
      </w:r>
      <w:r>
        <w:rPr>
          <w:rFonts w:ascii="Times New Roman" w:cs="Times New Roman" w:eastAsia="Times New Roman" w:hAnsi="Times New Roman"/>
          <w:sz w:val="18"/>
          <w:szCs w:val="18"/>
          <w:color w:val="auto"/>
        </w:rPr>
        <w:t> — We believe that Mobileye Chauffeur™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57"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w:t>
      </w:r>
      <w:r>
        <w:rPr>
          <w:rFonts w:ascii="Times New Roman" w:cs="Times New Roman" w:eastAsia="Times New Roman" w:hAnsi="Times New Roman"/>
          <w:sz w:val="18"/>
          <w:szCs w:val="18"/>
          <w:color w:val="auto"/>
        </w:rPr>
        <w:t> — 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Relationship with Intel</w:t>
      </w:r>
    </w:p>
    <w:p>
      <w:pPr>
        <w:spacing w:after="0" w:line="162"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this offering,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36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45" w:lineRule="auto"/>
        <w:rPr>
          <w:sz w:val="20"/>
          <w:szCs w:val="20"/>
          <w:color w:val="auto"/>
        </w:rPr>
      </w:pPr>
      <w:r>
        <w:rPr>
          <w:rFonts w:ascii="Times New Roman" w:cs="Times New Roman" w:eastAsia="Times New Roman" w:hAnsi="Times New Roman"/>
          <w:sz w:val="18"/>
          <w:szCs w:val="18"/>
          <w:color w:val="auto"/>
        </w:rPr>
        <w:t>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“Risk Factors — Risks Related to our Relationship with Intel and our Dual Class Structure”.</w:t>
      </w:r>
    </w:p>
    <w:p>
      <w:pPr>
        <w:spacing w:after="0" w:line="325" w:lineRule="exact"/>
        <w:rPr>
          <w:sz w:val="20"/>
          <w:szCs w:val="20"/>
          <w:color w:val="auto"/>
        </w:rPr>
      </w:pPr>
    </w:p>
    <w:p>
      <w:pPr>
        <w:ind w:left="1280" w:right="459" w:firstLine="360"/>
        <w:spacing w:after="0" w:line="242" w:lineRule="auto"/>
        <w:rPr>
          <w:sz w:val="20"/>
          <w:szCs w:val="20"/>
          <w:color w:val="auto"/>
        </w:rPr>
      </w:pPr>
      <w:r>
        <w:rPr>
          <w:rFonts w:ascii="Times New Roman" w:cs="Times New Roman" w:eastAsia="Times New Roman" w:hAnsi="Times New Roman"/>
          <w:sz w:val="18"/>
          <w:szCs w:val="18"/>
          <w:color w:val="auto"/>
        </w:rPr>
        <w:t>Prior to the completion of this offering, we will enter into certain agreements (collectively, the “Intercompany Agreements”) with Intel and certain of its subsidiaries that will provide a framework for our ongoing relationship with Intel, including the Master Transaction Agreement, which will become effective as of the completion of this offering and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 We and Intel expect to continue as strategic partners following the completion of this offering, collaborating on projects to pursue the growth of computing and advanced technology in the automotive sector. See “Certain Relationships and Related Party Transactions — Intercompany Agreements.”</w:t>
      </w:r>
    </w:p>
    <w:p>
      <w:pPr>
        <w:spacing w:after="0" w:line="332"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Several of our officers, directors and director nominees also serve as officers, directors and/or other positions at Intel. Mr. Gelsinger, the Chair of our Board of Directors, is the Chief Executive Officer and a director of Intel. Ms. Pambianchi, our director nominee, is an Executive Vice President and the Chief People Officer of Intel. Mr. Huntsman, our director nominee, is the co-chair of the Government Affairs Advisory Committee of Intel. Mr. Yeary, our director nominee, is a director of Intel.</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+972- 2-541- 7333. Our website address is www.mobileye.com. The information contained in, or that can be accessed through, our website is not incorporated by reference in, and is not part of, this prospectus.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62" w:lineRule="exact"/>
        <w:rPr>
          <w:sz w:val="20"/>
          <w:szCs w:val="20"/>
          <w:color w:val="auto"/>
        </w:rPr>
      </w:pPr>
    </w:p>
    <w:p>
      <w:pPr>
        <w:ind w:left="1280" w:right="459" w:firstLine="360"/>
        <w:spacing w:after="0" w:line="228" w:lineRule="auto"/>
        <w:rPr>
          <w:sz w:val="20"/>
          <w:szCs w:val="20"/>
          <w:color w:val="auto"/>
        </w:rPr>
      </w:pPr>
      <w:r>
        <w:rPr>
          <w:rFonts w:ascii="Times New Roman" w:cs="Times New Roman" w:eastAsia="Times New Roman" w:hAnsi="Times New Roman"/>
          <w:sz w:val="18"/>
          <w:szCs w:val="18"/>
          <w:color w:val="auto"/>
        </w:rPr>
        <w:t>The Mobileye name, our logo, and other trademarks mentioned in this prospectus, including, among others,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 Ultra™, EyeQ Kit™, Road Experience Management™, REM™, True Redundancy™, Mobileye Chauffeur™, Mobileye Drive™, Mobileye SuperVision™, and Moovit, are the property of Mobileye. Trade names, trademarks, and service marks of other companies appearing in this prospectus are the property of their respective holders.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80" w:right="579" w:firstLine="360"/>
        <w:spacing w:after="0" w:line="247"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are consummating the following transactions:</w:t>
      </w:r>
    </w:p>
    <w:p>
      <w:pPr>
        <w:spacing w:after="0" w:line="72" w:lineRule="exact"/>
        <w:rPr>
          <w:sz w:val="20"/>
          <w:szCs w:val="20"/>
          <w:color w:val="auto"/>
        </w:rPr>
      </w:pPr>
    </w:p>
    <w:p>
      <w:pPr>
        <w:ind w:left="1820" w:right="81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40" w:lineRule="exact"/>
        <w:rPr>
          <w:rFonts w:ascii="Times New Roman" w:cs="Times New Roman" w:eastAsia="Times New Roman" w:hAnsi="Times New Roman"/>
          <w:sz w:val="18"/>
          <w:szCs w:val="18"/>
          <w:color w:val="auto"/>
        </w:rPr>
      </w:pPr>
    </w:p>
    <w:p>
      <w:pPr>
        <w:ind w:left="1820" w:right="67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5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dividend in an aggregate amount of $336 million to Intel (the “Dividend”), net of $14 million of cash paid to tax authorities to settle related tax obligations, which we completed on May 12, 2022;</w:t>
      </w:r>
    </w:p>
    <w:p>
      <w:pPr>
        <w:spacing w:after="0" w:line="81" w:lineRule="exact"/>
        <w:rPr>
          <w:rFonts w:ascii="Times New Roman" w:cs="Times New Roman" w:eastAsia="Times New Roman" w:hAnsi="Times New Roman"/>
          <w:sz w:val="18"/>
          <w:szCs w:val="18"/>
          <w:color w:val="auto"/>
        </w:rPr>
      </w:pPr>
    </w:p>
    <w:p>
      <w:pPr>
        <w:ind w:left="1820" w:right="6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a promissory note agreeing to pay Intel an aggregate of $3.5 billion (the “Dividend Note”), which we completed on April 21, 2022;</w:t>
      </w:r>
    </w:p>
    <w:p>
      <w:pPr>
        <w:spacing w:after="0" w:line="53"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 and</w:t>
      </w:r>
    </w:p>
    <w:p>
      <w:pPr>
        <w:spacing w:after="0" w:line="67"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02" w:lineRule="exact"/>
        <w:rPr>
          <w:sz w:val="20"/>
          <w:szCs w:val="20"/>
          <w:color w:val="auto"/>
        </w:rPr>
      </w:pPr>
    </w:p>
    <w:p>
      <w:pPr>
        <w:ind w:left="1280" w:right="719" w:firstLine="360"/>
        <w:spacing w:after="0" w:line="261" w:lineRule="auto"/>
        <w:rPr>
          <w:sz w:val="20"/>
          <w:szCs w:val="20"/>
          <w:color w:val="auto"/>
        </w:rPr>
      </w:pPr>
      <w:r>
        <w:rPr>
          <w:rFonts w:ascii="Times New Roman" w:cs="Times New Roman" w:eastAsia="Times New Roman" w:hAnsi="Times New Roman"/>
          <w:sz w:val="18"/>
          <w:szCs w:val="18"/>
          <w:color w:val="auto"/>
        </w:rPr>
        <w:t>We refer to the foregoing transactions we are consummating prior to the completion of this offering collectively as the “Reorganization.” For further information and descriptions of the transactions in the Reorganization, see “Certain Relationships and Related Party Transactions” and “Unaudited Pro Forma Condensed Combined Financial Information.”</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organizational chart depicts our ownership structure after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40" w:right="539" w:hanging="362"/>
        <w:spacing w:after="0" w:line="282"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Operations” refers to Cyclops Holdings Corporation, Mobileye B.V. and their consolidated subsidiaries, which are the entities primarily conducting our operations, not including Moovit.</w:t>
      </w:r>
    </w:p>
    <w:p>
      <w:pPr>
        <w:spacing w:after="0" w:line="13" w:lineRule="exact"/>
        <w:rPr>
          <w:sz w:val="20"/>
          <w:szCs w:val="20"/>
          <w:color w:val="auto"/>
        </w:rPr>
      </w:pPr>
    </w:p>
    <w:p>
      <w:pPr>
        <w:ind w:left="1280"/>
        <w:spacing w:after="0"/>
        <w:tabs>
          <w:tab w:leader="none" w:pos="1620" w:val="left"/>
        </w:tabs>
        <w:rPr>
          <w:sz w:val="20"/>
          <w:szCs w:val="20"/>
          <w:color w:val="auto"/>
        </w:rPr>
      </w:pPr>
      <w:r>
        <w:rPr>
          <w:rFonts w:ascii="Times New Roman" w:cs="Times New Roman" w:eastAsia="Times New Roman" w:hAnsi="Times New Roman"/>
          <w:sz w:val="18"/>
          <w:szCs w:val="18"/>
          <w:color w:val="auto"/>
        </w:rPr>
        <w:t>**</w:t>
        <w:tab/>
        <w:t>Percentages reflect ownership of Class A and Class B common stock and exclude shares of Class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44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40" w:right="659"/>
        <w:spacing w:after="0" w:line="258" w:lineRule="auto"/>
        <w:rPr>
          <w:sz w:val="20"/>
          <w:szCs w:val="20"/>
          <w:color w:val="auto"/>
        </w:rPr>
      </w:pPr>
      <w:r>
        <w:rPr>
          <w:rFonts w:ascii="Times New Roman" w:cs="Times New Roman" w:eastAsia="Times New Roman" w:hAnsi="Times New Roman"/>
          <w:sz w:val="18"/>
          <w:szCs w:val="18"/>
          <w:color w:val="auto"/>
        </w:rPr>
        <w:t>common stock issuable upon exercise of stock options and shares of Class A common stock issuable upon vesting of restricted stock units, in each case to be issued under our equity incentive plan upon completion of this offering.</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Immediately following this offering and the application of the net proceeds from this offering:</w:t>
      </w:r>
    </w:p>
    <w:p>
      <w:pPr>
        <w:spacing w:after="0" w:line="117" w:lineRule="exact"/>
        <w:rPr>
          <w:sz w:val="20"/>
          <w:szCs w:val="20"/>
          <w:color w:val="auto"/>
        </w:rPr>
      </w:pPr>
    </w:p>
    <w:p>
      <w:pPr>
        <w:ind w:left="1820" w:right="459" w:hanging="182"/>
        <w:spacing w:after="0" w:line="25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 and</w:t>
      </w:r>
    </w:p>
    <w:p>
      <w:pPr>
        <w:spacing w:after="0" w:line="79" w:lineRule="exact"/>
        <w:rPr>
          <w:rFonts w:ascii="Times New Roman" w:cs="Times New Roman" w:eastAsia="Times New Roman" w:hAnsi="Times New Roman"/>
          <w:sz w:val="18"/>
          <w:szCs w:val="18"/>
          <w:color w:val="auto"/>
        </w:rPr>
      </w:pPr>
    </w:p>
    <w:p>
      <w:pPr>
        <w:ind w:left="1820" w:right="399" w:hanging="182"/>
        <w:spacing w:after="0" w:line="258"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voting power will be held as follows: approximately        % (or approximately        % if the underwriters exercise their option to purchase additional shares of our Class A common stock in full) by investors in this offering; and approximately        % (or approximately        % if the underwriters exercise their option to purchase additional shares of our Class A common stock in full) beneficially by Intel.</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48"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61" w:lineRule="exact"/>
        <w:rPr>
          <w:sz w:val="20"/>
          <w:szCs w:val="20"/>
          <w:color w:val="auto"/>
        </w:rPr>
      </w:pPr>
    </w:p>
    <w:p>
      <w:pPr>
        <w:jc w:val="both"/>
        <w:ind w:left="1820" w:right="69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w:t>
      </w:r>
    </w:p>
    <w:p>
      <w:pPr>
        <w:spacing w:after="0" w:line="82" w:lineRule="exact"/>
        <w:rPr>
          <w:rFonts w:ascii="Times New Roman" w:cs="Times New Roman" w:eastAsia="Times New Roman" w:hAnsi="Times New Roman"/>
          <w:sz w:val="18"/>
          <w:szCs w:val="18"/>
          <w:color w:val="auto"/>
        </w:rPr>
      </w:pPr>
    </w:p>
    <w:p>
      <w:pPr>
        <w:jc w:val="both"/>
        <w:ind w:left="1820" w:right="539"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229" w:lineRule="exact"/>
        <w:rPr>
          <w:rFonts w:ascii="Times New Roman" w:cs="Times New Roman" w:eastAsia="Times New Roman" w:hAnsi="Times New Roman"/>
          <w:sz w:val="18"/>
          <w:szCs w:val="18"/>
          <w:color w:val="auto"/>
        </w:rPr>
      </w:pPr>
    </w:p>
    <w:p>
      <w:pPr>
        <w:jc w:val="both"/>
        <w:ind w:left="1820" w:right="59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67" w:lineRule="exact"/>
        <w:rPr>
          <w:rFonts w:ascii="Times New Roman" w:cs="Times New Roman" w:eastAsia="Times New Roman" w:hAnsi="Times New Roman"/>
          <w:sz w:val="18"/>
          <w:szCs w:val="18"/>
          <w:color w:val="auto"/>
        </w:rPr>
      </w:pPr>
    </w:p>
    <w:p>
      <w:pPr>
        <w:ind w:left="1820" w:right="115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the materials and other components that we use in our solutions would adversely affect our business, results of operations, and financial condition.</w:t>
      </w:r>
    </w:p>
    <w:p>
      <w:pPr>
        <w:spacing w:after="0" w:line="40" w:lineRule="exact"/>
        <w:rPr>
          <w:rFonts w:ascii="Times New Roman" w:cs="Times New Roman" w:eastAsia="Times New Roman" w:hAnsi="Times New Roman"/>
          <w:sz w:val="18"/>
          <w:szCs w:val="18"/>
          <w:color w:val="auto"/>
        </w:rPr>
      </w:pPr>
    </w:p>
    <w:p>
      <w:pPr>
        <w:jc w:val="both"/>
        <w:ind w:left="1820" w:right="41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71" w:lineRule="exact"/>
        <w:rPr>
          <w:rFonts w:ascii="Times New Roman" w:cs="Times New Roman" w:eastAsia="Times New Roman" w:hAnsi="Times New Roman"/>
          <w:sz w:val="18"/>
          <w:szCs w:val="18"/>
          <w:color w:val="auto"/>
        </w:rPr>
      </w:pPr>
    </w:p>
    <w:p>
      <w:pPr>
        <w:jc w:val="both"/>
        <w:ind w:left="1820" w:right="51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71"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779" w:hanging="182"/>
        <w:spacing w:after="0" w:line="258"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5"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Professor Amnon Shashua, our President and Chief Executive Officer.</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and motivate key employees, then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integration risks and costs associated with companies, assets, employees, products, and technologies that we have or that we may acquire, including with our acquisition of Moovit.</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technology systems and networks and cybersecurity incidents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of our in-vehicle systems and related data could impact the safety of our end users and reduce confidence in us and our solutions.</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automotive industry or the global economy more generally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OEMs are unable to maintain and increase consumer acceptance of ADAS and autonomous driving technology,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new and rapidly evolving, and market opportunity estimates and market growth forecasts included in this prospectus are subject to significant uncertainty.</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67"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11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460" w:right="12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54" w:lineRule="exact"/>
        <w:rPr>
          <w:sz w:val="20"/>
          <w:szCs w:val="20"/>
          <w:color w:val="auto"/>
        </w:rPr>
      </w:pPr>
    </w:p>
    <w:p>
      <w:pPr>
        <w:ind w:left="1460" w:right="400" w:hanging="179"/>
        <w:spacing w:after="0" w:line="282"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117" w:lineRule="exact"/>
        <w:rPr>
          <w:sz w:val="20"/>
          <w:szCs w:val="20"/>
          <w:color w:val="auto"/>
        </w:rPr>
      </w:pPr>
    </w:p>
    <w:p>
      <w:pPr>
        <w:ind w:left="320" w:hanging="90"/>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59" w:hanging="10"/>
        <w:spacing w:after="0" w:line="266"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284" w:lineRule="exact"/>
        <w:rPr>
          <w:sz w:val="20"/>
          <w:szCs w:val="20"/>
          <w:color w:val="auto"/>
        </w:rPr>
      </w:pPr>
    </w:p>
    <w:p>
      <w:pPr>
        <w:ind w:left="240" w:right="499"/>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additional shares of our Class A common stock. The underwriters may exercise this option at any time within 30 days from the date of this prospectus. See “Underwriting.”</w:t>
      </w:r>
    </w:p>
    <w:p>
      <w:pPr>
        <w:spacing w:after="0" w:line="291" w:lineRule="exact"/>
        <w:rPr>
          <w:sz w:val="20"/>
          <w:szCs w:val="20"/>
          <w:color w:val="auto"/>
        </w:rPr>
      </w:pPr>
    </w:p>
    <w:p>
      <w:pPr>
        <w:ind w:left="320" w:hanging="90"/>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99" w:hanging="10"/>
        <w:spacing w:after="0" w:line="266"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to receive net proceeds of approximately</w:t>
      </w:r>
    </w:p>
    <w:p>
      <w:pPr>
        <w:spacing w:after="0" w:line="27" w:lineRule="exact"/>
        <w:rPr>
          <w:sz w:val="20"/>
          <w:szCs w:val="20"/>
          <w:color w:val="auto"/>
        </w:rPr>
      </w:pPr>
    </w:p>
    <w:p>
      <w:pPr>
        <w:ind w:left="240" w:right="399"/>
        <w:spacing w:after="0" w:line="251" w:lineRule="auto"/>
        <w:rPr>
          <w:sz w:val="20"/>
          <w:szCs w:val="20"/>
          <w:color w:val="auto"/>
        </w:rPr>
      </w:pPr>
      <w:r>
        <w:rPr>
          <w:rFonts w:ascii="Times New Roman" w:cs="Times New Roman" w:eastAsia="Times New Roman" w:hAnsi="Times New Roman"/>
          <w:sz w:val="18"/>
          <w:szCs w:val="18"/>
          <w:color w:val="auto"/>
        </w:rPr>
        <w:t>$            million (or approximately $            million if the underwriters exercise their option to purchase additional shares of our Class A common stock in full) from the sale of our Class A common stock in this offering assuming an initial public offering price of $                  per share (the midpoint of the price range set forth on the cover of this prospectus) and after deducting estimated offering expenses and underwriting discounts and commissions payable by us.</w:t>
      </w:r>
    </w:p>
    <w:p>
      <w:pPr>
        <w:spacing w:after="0" w:line="126" w:lineRule="exact"/>
        <w:rPr>
          <w:sz w:val="20"/>
          <w:szCs w:val="20"/>
          <w:color w:val="auto"/>
        </w:rPr>
      </w:pPr>
    </w:p>
    <w:p>
      <w:pPr>
        <w:ind w:left="240" w:right="419"/>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indebtedness under the Dividend Note and the remainder for working capital and general corporate purposes. 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3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117" w:lineRule="exact"/>
        <w:rPr>
          <w:sz w:val="20"/>
          <w:szCs w:val="20"/>
          <w:color w:val="auto"/>
        </w:rPr>
      </w:pPr>
    </w:p>
    <w:p>
      <w:pPr>
        <w:jc w:val="both"/>
        <w:ind w:left="240" w:right="459"/>
        <w:spacing w:after="0" w:line="266" w:lineRule="auto"/>
        <w:rPr>
          <w:sz w:val="20"/>
          <w:szCs w:val="20"/>
          <w:color w:val="auto"/>
        </w:rPr>
      </w:pPr>
      <w:r>
        <w:rPr>
          <w:rFonts w:ascii="Times New Roman" w:cs="Times New Roman" w:eastAsia="Times New Roman" w:hAnsi="Times New Roman"/>
          <w:sz w:val="18"/>
          <w:szCs w:val="18"/>
          <w:color w:val="auto"/>
        </w:rPr>
        <w:t>Each share of our Class A common stock will be entitled to one vote. Each share of our Class B common stock will be entitled to ten votes.</w:t>
      </w:r>
    </w:p>
    <w:p>
      <w:pPr>
        <w:spacing w:after="0" w:line="95" w:lineRule="exact"/>
        <w:rPr>
          <w:sz w:val="20"/>
          <w:szCs w:val="20"/>
          <w:color w:val="auto"/>
        </w:rPr>
      </w:pPr>
    </w:p>
    <w:p>
      <w:pPr>
        <w:ind w:left="240" w:right="439"/>
        <w:spacing w:after="0" w:line="259"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will generally vote together as a single class on all matters submitted to a vote of our stockholders unless otherwise required by Delaware law or our amended and</w:t>
      </w:r>
    </w:p>
    <w:p>
      <w:pPr>
        <w:spacing w:after="0" w:line="200" w:lineRule="exact"/>
        <w:rPr>
          <w:sz w:val="20"/>
          <w:szCs w:val="20"/>
          <w:color w:val="auto"/>
        </w:rPr>
      </w:pPr>
    </w:p>
    <w:p>
      <w:pPr>
        <w:sectPr>
          <w:pgSz w:w="11900" w:h="16838" w:orient="portrait"/>
          <w:cols w:equalWidth="0" w:num="2">
            <w:col w:w="4360" w:space="360"/>
            <w:col w:w="5159"/>
          </w:cols>
          <w:pgMar w:left="580" w:top="97"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restated certificate of incorporation. See “Description of</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Capital Stock.”</w:t>
      </w:r>
    </w:p>
    <w:p>
      <w:pPr>
        <w:spacing w:after="0" w:line="85"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Concentration of ownership</w:t>
      </w:r>
      <w:r>
        <w:rPr>
          <w:sz w:val="20"/>
          <w:szCs w:val="20"/>
          <w:color w:val="auto"/>
        </w:rPr>
        <w:tab/>
      </w:r>
      <w:r>
        <w:rPr>
          <w:rFonts w:ascii="Times New Roman" w:cs="Times New Roman" w:eastAsia="Times New Roman" w:hAnsi="Times New Roman"/>
          <w:sz w:val="18"/>
          <w:szCs w:val="18"/>
          <w:color w:val="auto"/>
        </w:rPr>
        <w:t>Intel, which beneficially owns 100% of the outstanding</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 our common stock prior to this offering,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beneficially own approximately        % of the voting power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(or approximately        % if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 our Class A common stock in full) after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completion of this offering and, as a result, will have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ability to control the outcome of matters submitted to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stockholders for approval, including the election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transactions. See “Description of Capital Stock.”</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will be a “controlled company” within the meaning of</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corporate governance standards of Nasdaq. See</w:t>
      </w:r>
    </w:p>
    <w:p>
      <w:pPr>
        <w:ind w:left="4960"/>
        <w:spacing w:after="0"/>
        <w:rPr>
          <w:sz w:val="20"/>
          <w:szCs w:val="20"/>
          <w:color w:val="auto"/>
        </w:rPr>
      </w:pPr>
      <w:r>
        <w:rPr>
          <w:rFonts w:ascii="Times New Roman" w:cs="Times New Roman" w:eastAsia="Times New Roman" w:hAnsi="Times New Roman"/>
          <w:sz w:val="18"/>
          <w:szCs w:val="18"/>
          <w:color w:val="auto"/>
        </w:rPr>
        <w:t>“Management — Controlled Company Exemption.”</w:t>
      </w:r>
    </w:p>
    <w:p>
      <w:pPr>
        <w:spacing w:after="0" w:line="97"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In connection with the Reorganization, on April 21, 2022,</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distributed to Intel the Dividend Note agreeing to pay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Intel an aggregate of $3.5 billion. We intend to use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portion of the net proceeds that we receive from this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to repay indebtedness under the Dividend Note.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See “Use of Proceeds.” In connection with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Reorganization, on May 12, 2022, we declared and paid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Dividend in an aggregate amount of $336 million to Intel,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net of $14 million of cash paid to tax authorities to settle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related tax obligations.</w:t>
      </w:r>
    </w:p>
    <w:p>
      <w:pPr>
        <w:spacing w:after="0" w:line="1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Following the completion of this offering, we intend to</w:t>
      </w:r>
    </w:p>
    <w:p>
      <w:pPr>
        <w:spacing w:after="0" w:line="25"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retain any future earnings and do not anticipate declaring or</w:t>
      </w:r>
    </w:p>
    <w:p>
      <w:pPr>
        <w:ind w:left="4960"/>
        <w:spacing w:after="0"/>
        <w:rPr>
          <w:sz w:val="20"/>
          <w:szCs w:val="20"/>
          <w:color w:val="auto"/>
        </w:rPr>
      </w:pPr>
      <w:r>
        <w:rPr>
          <w:rFonts w:ascii="Times New Roman" w:cs="Times New Roman" w:eastAsia="Times New Roman" w:hAnsi="Times New Roman"/>
          <w:sz w:val="18"/>
          <w:szCs w:val="18"/>
          <w:color w:val="auto"/>
        </w:rPr>
        <w:t>paying any cash dividends in the foreseeable future.</w:t>
      </w:r>
    </w:p>
    <w:p>
      <w:pPr>
        <w:spacing w:after="0" w:line="1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declaration and payment of future dividends to holders</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will be at the sole discretion of our</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board of directors and will depend on many factors,</w:t>
      </w:r>
    </w:p>
    <w:p>
      <w:pPr>
        <w:ind w:left="4960"/>
        <w:spacing w:after="0" w:line="234" w:lineRule="auto"/>
        <w:rPr>
          <w:sz w:val="20"/>
          <w:szCs w:val="20"/>
          <w:color w:val="auto"/>
        </w:rPr>
      </w:pPr>
      <w:r>
        <w:rPr>
          <w:rFonts w:ascii="Times New Roman" w:cs="Times New Roman" w:eastAsia="Times New Roman" w:hAnsi="Times New Roman"/>
          <w:sz w:val="18"/>
          <w:szCs w:val="18"/>
          <w:color w:val="auto"/>
        </w:rPr>
        <w:t>including economic conditions, our financial condition and</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operating results, our available cash and current and</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anticipated cash needs, capital requirements, legal, tax, and</w:t>
      </w:r>
    </w:p>
    <w:p>
      <w:pPr>
        <w:ind w:left="4960"/>
        <w:spacing w:after="0" w:line="234" w:lineRule="auto"/>
        <w:rPr>
          <w:sz w:val="20"/>
          <w:szCs w:val="20"/>
          <w:color w:val="auto"/>
        </w:rPr>
      </w:pPr>
      <w:r>
        <w:rPr>
          <w:rFonts w:ascii="Times New Roman" w:cs="Times New Roman" w:eastAsia="Times New Roman" w:hAnsi="Times New Roman"/>
          <w:sz w:val="18"/>
          <w:szCs w:val="18"/>
          <w:color w:val="auto"/>
        </w:rPr>
        <w:t>regulatory restrictions, including restrictive covenants</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contained in certain of our subsidiaries’ credit facilities,</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such other factors as our board of directors may deem</w:t>
      </w:r>
    </w:p>
    <w:p>
      <w:pPr>
        <w:ind w:left="4960"/>
        <w:spacing w:after="0"/>
        <w:rPr>
          <w:sz w:val="20"/>
          <w:szCs w:val="20"/>
          <w:color w:val="auto"/>
        </w:rPr>
      </w:pPr>
      <w:r>
        <w:rPr>
          <w:rFonts w:ascii="Times New Roman" w:cs="Times New Roman" w:eastAsia="Times New Roman" w:hAnsi="Times New Roman"/>
          <w:sz w:val="18"/>
          <w:szCs w:val="18"/>
          <w:color w:val="auto"/>
        </w:rPr>
        <w:t>relevant. See “Dividend Policy.”</w:t>
      </w:r>
    </w:p>
    <w:p>
      <w:pPr>
        <w:spacing w:after="0" w:line="84"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Intercompany Agreements</w:t>
      </w:r>
      <w:r>
        <w:rPr>
          <w:sz w:val="20"/>
          <w:szCs w:val="20"/>
          <w:color w:val="auto"/>
        </w:rPr>
        <w:tab/>
      </w:r>
      <w:r>
        <w:rPr>
          <w:rFonts w:ascii="Times New Roman" w:cs="Times New Roman" w:eastAsia="Times New Roman" w:hAnsi="Times New Roman"/>
          <w:sz w:val="18"/>
          <w:szCs w:val="18"/>
          <w:color w:val="auto"/>
        </w:rPr>
        <w:t>Prior to the completion of this offering, we will enter into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Intercompany Agreements with Intel and certain of its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subsidiaries, whereby Intel and such subsidiaries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continue to provide certain administrative and operational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services and will supply and license certain technologies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us, and we will supply Intel with certain technologies.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“Certain Relationships and Related Party Transactions —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Intercompany Agreements.”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have applied to list our Class A common stock on</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Nasdaq under the symbol “MBLY”.</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for a discussion of factors you should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carefully consider before deciding to invest in our Class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w:t>
      </w:r>
    </w:p>
    <w:p>
      <w:pPr>
        <w:spacing w:after="0" w:line="117" w:lineRule="exact"/>
        <w:rPr>
          <w:sz w:val="20"/>
          <w:szCs w:val="20"/>
          <w:color w:val="auto"/>
        </w:rPr>
      </w:pPr>
    </w:p>
    <w:p>
      <w:pPr>
        <w:ind w:left="1820" w:right="57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shares of our Class A common stock and                     shares of our Class B common stock outstanding on            , 2022;</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exercise of stock options to be issued under our equity incentive plan upon the completion of this offering at an exercise price equal to the fair market value on the date of grant;</w:t>
      </w:r>
    </w:p>
    <w:p>
      <w:pPr>
        <w:spacing w:after="0" w:line="67"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vesting of restricted stock units to be issued under our equity incentive plan upon the completion of this offering, none of which will be vested at such time; and</w:t>
      </w:r>
    </w:p>
    <w:p>
      <w:pPr>
        <w:spacing w:after="0" w:line="67"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reserved for future issuance under our equity incentive plan.</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w:t>
      </w:r>
    </w:p>
    <w:p>
      <w:pPr>
        <w:spacing w:after="0" w:line="117" w:lineRule="exact"/>
        <w:rPr>
          <w:sz w:val="20"/>
          <w:szCs w:val="20"/>
          <w:color w:val="auto"/>
        </w:rPr>
      </w:pPr>
    </w:p>
    <w:p>
      <w:pPr>
        <w:ind w:left="1820" w:hanging="182"/>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Reorganization;</w:t>
      </w:r>
    </w:p>
    <w:p>
      <w:pPr>
        <w:spacing w:after="0" w:line="117"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initial public offering price of $            per share of our Class A common stock, which is the midpoint of the estimated initial public offering price range set forth on the cover page of this prospectus;</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filing and effectiveness of our amended and restated certificate of incorporation and the adoption of our amended and restated bylaws, each of which will occur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820" w:right="1079" w:hanging="182"/>
        <w:spacing w:after="0" w:line="282"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our Class A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900" w:right="120"/>
        <w:spacing w:after="0" w:line="286" w:lineRule="auto"/>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COMBINED FINANCIAL INFORMATION</w:t>
      </w:r>
    </w:p>
    <w:p>
      <w:pPr>
        <w:spacing w:after="0" w:line="91"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Set forth below are summary historical and unaudited pro forma condensed combined financial information. The summary historical combined financial information includes costs of our business, which include the allocation of certain expenses from Intel. We believe these allocations were made on a reasonable basis. The summary historical combined balance sheet information as of December 25, 2021 and December 26, 2020, and the summary historical combined statements of operations information for</w:t>
      </w:r>
    </w:p>
    <w:p>
      <w:pPr>
        <w:spacing w:after="0" w:line="3"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the years ended December 25, 2021, December 26, 2020, and December 28, 2019 have been derived from the historical combined financial statements of Mobileye Group (as such term is described in our combined financial statements and the accompanying notes included elsewhere in this prospectus) and included elsewhere in this prospectus. The summary condensed combined statements of operations for the six months ended July 2, 2022 and June 26, 2021 and the condensed combined balance sheet data as of July 2, 2022, have been derived from our unaudited condensed combined financial statements included elsewhere in this prospectus. The unaudited condensed combined financial statements were prepared on the same basis as the audited combined financial statements and have included all adjustments, consisting only of normal recurring adjustments that, in our opinion, are necessary to state fairly the financial information set forth in those statements. The summary unaudited pro forma condensed combined financial information has been derived from the information contained in the section titled “Unaudited Pro Forma Condensed Combined Financial Information.”</w:t>
      </w:r>
    </w:p>
    <w:p>
      <w:pPr>
        <w:spacing w:after="0" w:line="341" w:lineRule="exact"/>
        <w:rPr>
          <w:sz w:val="20"/>
          <w:szCs w:val="20"/>
          <w:color w:val="auto"/>
        </w:rPr>
      </w:pPr>
    </w:p>
    <w:p>
      <w:pPr>
        <w:ind w:left="1280" w:right="619" w:firstLine="360"/>
        <w:spacing w:after="0" w:line="256" w:lineRule="auto"/>
        <w:rPr>
          <w:sz w:val="20"/>
          <w:szCs w:val="20"/>
          <w:color w:val="auto"/>
        </w:rPr>
      </w:pPr>
      <w:r>
        <w:rPr>
          <w:rFonts w:ascii="Times New Roman" w:cs="Times New Roman" w:eastAsia="Times New Roman" w:hAnsi="Times New Roman"/>
          <w:sz w:val="18"/>
          <w:szCs w:val="18"/>
          <w:color w:val="auto"/>
        </w:rPr>
        <w:t>The summary historical and unaudited pro forma condensed combined financial information may not be indicative of our future performance as a stand-alone public company. You should read the summary financial information presented below in conjunction with the information included under the headings “Unaudited Pro Forma Condensed Combined Financial Information” and “Management’s Discussion and Analysis of Financial Condition and Results of Operations” and our historical combined financial statements and the accompanying notes included elsewhere in this prospectus.</w:t>
      </w:r>
    </w:p>
    <w:p>
      <w:pPr>
        <w:sectPr>
          <w:pgSz w:w="11900" w:h="16838" w:orient="portrait"/>
          <w:cols w:equalWidth="0" w:num="1">
            <w:col w:w="9879"/>
          </w:cols>
          <w:pgMar w:left="580" w:top="97" w:right="1440" w:bottom="1440" w:gutter="0" w:footer="0" w:header="0"/>
        </w:sectPr>
      </w:pPr>
    </w:p>
    <w:p>
      <w:pPr>
        <w:spacing w:after="0" w:line="316"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4"/>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Adjusted</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3"/>
                <w:szCs w:val="13"/>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9" w:lineRule="exact"/>
        <w:rPr>
          <w:sz w:val="20"/>
          <w:szCs w:val="20"/>
          <w:color w:val="auto"/>
        </w:rPr>
      </w:pPr>
    </w:p>
    <w:p>
      <w:pPr>
        <w:sectPr>
          <w:pgSz w:w="11900" w:h="16838" w:orient="portrait"/>
          <w:cols w:equalWidth="0" w:num="2">
            <w:col w:w="5420" w:space="20"/>
            <w:col w:w="44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​$ 967</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​376</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​(196)</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2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xml:space="preserve">​ ​ ​$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N/A</w:t>
            </w:r>
          </w:p>
        </w:tc>
        <w:tc>
          <w:tcPr>
            <w:tcW w:w="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rPr>
              <w:t>​ ​N/A</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​N/A</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91"/>
              </w:rPr>
              <w:t>Adjusted</w:t>
            </w:r>
            <w:r>
              <w:rPr>
                <w:rFonts w:ascii="Times New Roman" w:cs="Times New Roman" w:eastAsia="Times New Roman" w:hAnsi="Times New Roman"/>
                <w:sz w:val="17"/>
                <w:szCs w:val="17"/>
                <w:b w:val="1"/>
                <w:bCs w:val="1"/>
                <w:color w:val="auto"/>
                <w:w w:val="91"/>
                <w:vertAlign w:val="superscript"/>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320" w:type="dxa"/>
            <w:vAlign w:val="bottom"/>
            <w:gridSpan w:val="7"/>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3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Borders>
              <w:top w:val="single" w:sz="8" w:color="auto"/>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7"/>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2022 ​</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June 26, 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​$ 854</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right w:val="single" w:sz="8" w:color="CCEEFF"/>
            </w:tcBorders>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​$ 704</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ind w:left="3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3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220" w:type="dxa"/>
            <w:vAlign w:val="bottom"/>
            <w:gridSpan w:val="2"/>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5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​405</w:t>
            </w:r>
          </w:p>
        </w:tc>
        <w:tc>
          <w:tcPr>
            <w:tcW w:w="20" w:type="dxa"/>
            <w:vAlign w:val="bottom"/>
          </w:tcPr>
          <w:p>
            <w:pPr>
              <w:spacing w:after="0"/>
              <w:rPr>
                <w:sz w:val="17"/>
                <w:szCs w:val="17"/>
                <w:color w:val="auto"/>
              </w:rPr>
            </w:pPr>
          </w:p>
        </w:tc>
        <w:tc>
          <w:tcPr>
            <w:tcW w:w="2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 ​348</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 (36)</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ind w:left="3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3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220" w:type="dxa"/>
            <w:vAlign w:val="bottom"/>
            <w:gridSpan w:val="2"/>
          </w:tcPr>
          <w:p>
            <w:pPr>
              <w:jc w:val="right"/>
              <w:ind w:right="8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5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 (67)</w:t>
            </w:r>
          </w:p>
        </w:tc>
        <w:tc>
          <w:tcPr>
            <w:tcW w:w="20" w:type="dxa"/>
            <w:vAlign w:val="bottom"/>
          </w:tcPr>
          <w:p>
            <w:pPr>
              <w:spacing w:after="0"/>
              <w:rPr>
                <w:sz w:val="17"/>
                <w:szCs w:val="17"/>
                <w:color w:val="auto"/>
              </w:rPr>
            </w:pPr>
          </w:p>
        </w:tc>
        <w:tc>
          <w:tcPr>
            <w:tcW w:w="2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​N/A</w:t>
            </w:r>
          </w:p>
        </w:tc>
        <w:tc>
          <w:tcPr>
            <w:tcW w:w="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​N/A</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Adjusted</w:t>
            </w:r>
            <w:r>
              <w:rPr>
                <w:rFonts w:ascii="Times New Roman" w:cs="Times New Roman" w:eastAsia="Times New Roman" w:hAnsi="Times New Roman"/>
                <w:sz w:val="17"/>
                <w:szCs w:val="17"/>
                <w:b w:val="1"/>
                <w:bCs w:val="1"/>
                <w:color w:val="auto"/>
                <w:vertAlign w:val="superscript"/>
              </w:rPr>
              <w:t>(1)(2)</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3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60" w:type="dxa"/>
            <w:vAlign w:val="bottom"/>
          </w:tcPr>
          <w:p>
            <w:pPr>
              <w:spacing w:after="0"/>
              <w:rPr>
                <w:sz w:val="11"/>
                <w:szCs w:val="11"/>
                <w:color w:val="auto"/>
              </w:rPr>
            </w:pPr>
          </w:p>
        </w:tc>
      </w:tr>
      <w:tr>
        <w:trPr>
          <w:trHeight w:val="187"/>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3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ind w:left="8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5"/>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774​​</w:t>
            </w:r>
          </w:p>
        </w:tc>
        <w:tc>
          <w:tcPr>
            <w:tcW w:w="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5"/>
              <w:spacing w:after="0" w:line="169" w:lineRule="exact"/>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99"/>
              </w:rPr>
              <w:t>85</w:t>
            </w: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​16,162​​</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 ​16,655</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​16,462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3,509​​</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60" w:type="dxa"/>
            <w:vAlign w:val="bottom"/>
            <w:gridSpan w:val="6"/>
          </w:tcPr>
          <w:p>
            <w:pPr>
              <w:ind w:left="880"/>
              <w:spacing w:after="0"/>
              <w:rPr>
                <w:sz w:val="20"/>
                <w:szCs w:val="20"/>
                <w:color w:val="auto"/>
              </w:rPr>
            </w:pPr>
            <w:r>
              <w:rPr>
                <w:rFonts w:ascii="Times New Roman" w:cs="Times New Roman" w:eastAsia="Times New Roman" w:hAnsi="Times New Roman"/>
                <w:sz w:val="18"/>
                <w:szCs w:val="18"/>
                <w:color w:val="auto"/>
              </w:rPr>
              <w:t xml:space="preserve">​ ​ ​$             </w:t>
            </w:r>
          </w:p>
        </w:tc>
        <w:tc>
          <w:tcPr>
            <w:tcW w:w="1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​​$11,199​​</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​$15,889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40" w:right="639" w:hanging="362"/>
        <w:spacing w:after="0" w:line="266"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section titled “Unaudited Pro Forma Condensed Combined Financial Information” for pro forma adjustments reflected and related methodologies applied in preparing the unaudited condensed combined pro forma statement of operations and balance sheet.</w:t>
      </w:r>
    </w:p>
    <w:p>
      <w:pPr>
        <w:spacing w:after="0" w:line="40" w:lineRule="exact"/>
        <w:rPr>
          <w:rFonts w:ascii="Times New Roman" w:cs="Times New Roman" w:eastAsia="Times New Roman" w:hAnsi="Times New Roman"/>
          <w:sz w:val="18"/>
          <w:szCs w:val="18"/>
          <w:color w:val="auto"/>
        </w:rPr>
      </w:pPr>
    </w:p>
    <w:p>
      <w:pPr>
        <w:jc w:val="both"/>
        <w:ind w:left="1640" w:right="979" w:hanging="362"/>
        <w:spacing w:after="0" w:line="261"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$1.00 increase (decrease) in the assumed initial public offering price per share would increase (decrease) our cash and cash equivalents, total assets and total equity by approximately $           </w:t>
      </w:r>
    </w:p>
    <w:p>
      <w:pPr>
        <w:ind w:left="164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approximately $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our cash and cash equivalents, total assets and total equity by approximately $            million, assuming that the assumed initial public offering price remains the same, and after deducting the underwriting discounts and commissions and commissions and estimated offering expenses payable by us.</w:t>
      </w:r>
    </w:p>
    <w:p>
      <w:pPr>
        <w:spacing w:after="0" w:line="44" w:lineRule="exact"/>
        <w:rPr>
          <w:rFonts w:ascii="Times New Roman" w:cs="Times New Roman" w:eastAsia="Times New Roman" w:hAnsi="Times New Roman"/>
          <w:sz w:val="18"/>
          <w:szCs w:val="18"/>
          <w:color w:val="auto"/>
        </w:rPr>
      </w:pPr>
    </w:p>
    <w:p>
      <w:pPr>
        <w:ind w:left="1640" w:right="539" w:hanging="362"/>
        <w:spacing w:after="0" w:line="266"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goodwill and intangible assets, net, in the amounts of $            billion, on a pro forma as adjusted basis as of July 2, 2022, and $13.8 billion, $14.0 billion, and $14.5 billion as of July 2, 2022, December 25, 2021, and December 26, 2020, respectively.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29"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ind w:left="1260" w:right="439"/>
        <w:spacing w:after="0" w:line="239" w:lineRule="auto"/>
        <w:rPr>
          <w:sz w:val="20"/>
          <w:szCs w:val="20"/>
          <w:color w:val="auto"/>
        </w:rPr>
      </w:pPr>
      <w:r>
        <w:rPr>
          <w:rFonts w:ascii="Times New Roman" w:cs="Times New Roman" w:eastAsia="Times New Roman" w:hAnsi="Times New Roman"/>
          <w:sz w:val="18"/>
          <w:szCs w:val="18"/>
          <w:color w:val="auto"/>
        </w:rPr>
        <w:t>SoCs and our software- defined radar, and source lidar cost effectively, which could include the development of our FMCW lidar, all of which are important components of our planned approach to address the AMaaS and consumer AV markets. This prospectus contains descriptions of our current expectations regarding</w:t>
      </w:r>
    </w:p>
    <w:p>
      <w:pPr>
        <w:spacing w:after="0" w:line="1" w:lineRule="exact"/>
        <w:rPr>
          <w:sz w:val="20"/>
          <w:szCs w:val="20"/>
          <w:color w:val="auto"/>
        </w:rPr>
      </w:pPr>
    </w:p>
    <w:p>
      <w:pPr>
        <w:ind w:left="1260" w:right="559"/>
        <w:spacing w:after="0"/>
        <w:rPr>
          <w:sz w:val="20"/>
          <w:szCs w:val="20"/>
          <w:color w:val="auto"/>
        </w:rPr>
      </w:pPr>
      <w:r>
        <w:rPr>
          <w:rFonts w:ascii="Times New Roman" w:cs="Times New Roman" w:eastAsia="Times New Roman" w:hAnsi="Times New Roman"/>
          <w:sz w:val="18"/>
          <w:szCs w:val="18"/>
          <w:color w:val="auto"/>
        </w:rPr>
        <w:t>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283" w:lineRule="exact"/>
        <w:rPr>
          <w:sz w:val="20"/>
          <w:szCs w:val="20"/>
          <w:color w:val="auto"/>
        </w:rPr>
      </w:pPr>
    </w:p>
    <w:p>
      <w:pPr>
        <w:ind w:left="1800" w:right="9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accurate, and safety- and comfort-enhancing functions that differentiate our solutions from those of our competitors;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improve the reliability of, and reduce and ultimately remove the requirement for human intervention with, our autonomous driving technology;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effectively on new designs and development with our customers, suppliers and partners;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and product announcements by our competitors;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customer requirements, market conditions, and regulatory and rating standards quickly and cost-effectively.</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w:t>
      </w:r>
    </w:p>
    <w:p>
      <w:pPr>
        <w:spacing w:after="0" w:line="173" w:lineRule="exact"/>
        <w:rPr>
          <w:sz w:val="20"/>
          <w:szCs w:val="20"/>
          <w:color w:val="auto"/>
        </w:rPr>
      </w:pPr>
    </w:p>
    <w:p>
      <w:pPr>
        <w:jc w:val="both"/>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479" w:firstLine="360"/>
        <w:spacing w:after="0" w:line="227" w:lineRule="auto"/>
        <w:rPr>
          <w:sz w:val="20"/>
          <w:szCs w:val="20"/>
          <w:color w:val="auto"/>
        </w:rPr>
      </w:pPr>
      <w:r>
        <w:rPr>
          <w:rFonts w:ascii="Times New Roman" w:cs="Times New Roman" w:eastAsia="Times New Roman" w:hAnsi="Times New Roman"/>
          <w:sz w:val="18"/>
          <w:szCs w:val="18"/>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sensor fusion architecture,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technology and our RSS model, and the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Chauffeur</w:t>
      </w:r>
      <w:r>
        <w:rPr>
          <w:rFonts w:ascii="Times New Roman" w:cs="Times New Roman" w:eastAsia="Times New Roman" w:hAnsi="Times New Roman"/>
          <w:sz w:val="26"/>
          <w:szCs w:val="26"/>
          <w:color w:val="auto"/>
          <w:vertAlign w:val="superscript"/>
        </w:rPr>
        <w:t>™</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w:t>
      </w:r>
    </w:p>
    <w:p>
      <w:pPr>
        <w:spacing w:after="0" w:line="4"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several years, if at all, and such contributions at times may not meet our expectations or even cover the costs of such investments, which would adversely affect our business, results of operations, and financial condition.</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2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325"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“Business — Our Competition.”</w:t>
      </w:r>
    </w:p>
    <w:p>
      <w:pPr>
        <w:spacing w:after="0" w:line="186" w:lineRule="exact"/>
        <w:rPr>
          <w:sz w:val="20"/>
          <w:szCs w:val="20"/>
          <w:color w:val="auto"/>
        </w:rPr>
      </w:pPr>
    </w:p>
    <w:p>
      <w:pPr>
        <w:ind w:left="1260" w:right="49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are continuing to experience constraints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as the result of the global semiconductor shortage, and future shortages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or other critical parts would adversely affect our business, results of operations, and financial condition.</w:t>
      </w:r>
    </w:p>
    <w:p>
      <w:pPr>
        <w:spacing w:after="0" w:line="131"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a shortage of semiconductors. During 2021 and through the first half of 2022, STMicroelectronics N.V.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and, due to continuing supply chain constraints, we are operating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to fulfill customer orders and are unable to offset future supply constraints through the use of inventory on hand, In addition, without a solution to the shortages, we may continue to have insufficient inventory in subsequent fiscal years.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our ADAS and autonomous driving solutions,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meet our production needs would impair our ability to meet our customers’ requirements in a timely manner, and would adversely affect our business, results of operations, and financial condition. The limited supply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has already led to rescheduling deliveries to our customers on certain occasions and may continue to cause delays in our ability to fulfill our customers’ orders as scheduled. Moreover, global semiconductor shortages are continuing to constrain production and cause production delays by automakers, which we expect to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which could require substantial amounts of capital. Furthermore, accumulating such inventories may expose us to risks regarding the obsolescence of such chips.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w:t>
      </w:r>
    </w:p>
    <w:p>
      <w:pPr>
        <w:spacing w:after="0" w:line="83" w:lineRule="exact"/>
        <w:rPr>
          <w:sz w:val="20"/>
          <w:szCs w:val="20"/>
          <w:color w:val="auto"/>
        </w:rPr>
      </w:pPr>
    </w:p>
    <w:p>
      <w:pPr>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We currently purchase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Because of the complex proprietary nature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cease operations altogether. Moreover, STMicroelectronics depends on Taiwan Semiconductor Manufacturing Company Limited (“TSMC”) as its subcontractor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as a result, we are also vulnerable to the risk that TSMC may be unable to meet demand or cease operations altogether. In addition, we may be affected by supply constraints and increased costs involving STMicroelectronics and TSMC resulting from the global semiconductor shortage.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639"/>
        <w:spacing w:after="0" w:line="230" w:lineRule="auto"/>
        <w:rPr>
          <w:sz w:val="20"/>
          <w:szCs w:val="20"/>
          <w:color w:val="auto"/>
        </w:rPr>
      </w:pPr>
      <w:r>
        <w:rPr>
          <w:rFonts w:ascii="Times New Roman" w:cs="Times New Roman" w:eastAsia="Times New Roman" w:hAnsi="Times New Roman"/>
          <w:sz w:val="18"/>
          <w:szCs w:val="18"/>
          <w:color w:val="auto"/>
        </w:rPr>
        <w:t>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9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TSMC is located in Taiwan, and our ability to receive sufficient supplies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could be adversely affected by events such as natural disasters in Taiwan, including earthquakes, drought and typhoons, the escalations of tensions between the People’s Republic of China and Taiwan, including resulting from the People’s Republic of China’s recent step up of military exercises around Taiwan, political unrest, trade restrictions, or war. These same factors may also adversely affect the global supply of microchips and cause additional constraints on global automotive production.</w:t>
      </w:r>
    </w:p>
    <w:p>
      <w:pPr>
        <w:spacing w:after="0" w:line="189" w:lineRule="exact"/>
        <w:rPr>
          <w:sz w:val="20"/>
          <w:szCs w:val="20"/>
          <w:color w:val="auto"/>
        </w:rPr>
      </w:pPr>
    </w:p>
    <w:p>
      <w:pPr>
        <w:ind w:left="1260" w:right="7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6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w:t>
      </w:r>
    </w:p>
    <w:p>
      <w:pPr>
        <w:spacing w:after="0" w:line="16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2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91"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with other suppliers, does not provide us with long-term pricing or quantity guarantees. As a result of the global semiconductor shortage and inflationary pressures, we have experienced, continue to experience, and expect to experience in 2023 increases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are seeking to adjust the prices charged to our customers to offset these cost increases, but anticipate that, despite such price increases, our gross margin will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3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9" w:lineRule="exact"/>
        <w:rPr>
          <w:sz w:val="20"/>
          <w:szCs w:val="20"/>
          <w:color w:val="auto"/>
        </w:rPr>
      </w:pPr>
    </w:p>
    <w:p>
      <w:pPr>
        <w:jc w:val="both"/>
        <w:ind w:left="1260" w:right="4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5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software and hardware,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are complex and could have, or could be alleged to have, defects in design or manufacturing, security vulnerabilities or other errors, suffer failures, or may not function in accordance with their specifications or as expected. Some errors or defects in our solutions may initially be undetected and only be discovered after they have been tested, commercialized, and deployed by customers. Alleged or actual defects in any of our solutions would result in adverse publicity, warranty claims, litigation against us, legal expenses and damages, our customers never being able to commercialize technology incorporating our solutions, negative publicity,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35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our specifications, we retain liability for failure in production caused by defective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pacing w:after="0" w:line="117" w:lineRule="exact"/>
        <w:rPr>
          <w:sz w:val="20"/>
          <w:szCs w:val="20"/>
          <w:color w:val="auto"/>
        </w:rPr>
      </w:pPr>
    </w:p>
    <w:p>
      <w:pPr>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themselves, could result in additional claims being made against us.</w:t>
      </w:r>
    </w:p>
    <w:p>
      <w:pPr>
        <w:spacing w:after="0" w:line="3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91"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200" w:lineRule="exact"/>
        <w:rPr>
          <w:sz w:val="20"/>
          <w:szCs w:val="20"/>
          <w:color w:val="auto"/>
        </w:rPr>
      </w:pPr>
    </w:p>
    <w:p>
      <w:pPr>
        <w:spacing w:after="0" w:line="204" w:lineRule="exact"/>
        <w:rPr>
          <w:sz w:val="20"/>
          <w:szCs w:val="20"/>
          <w:color w:val="auto"/>
        </w:rPr>
      </w:pPr>
    </w:p>
    <w:p>
      <w:pPr>
        <w:ind w:left="12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9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 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33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For example, several automakers have decreased their initial 2022 vehicle production projections, and we have adjusted our forecasts accordingly. In addition, long development cycles or vehicle model cancellations or postponements would adversely affect our business, results of operations, and financial condition.</w:t>
      </w:r>
    </w:p>
    <w:p>
      <w:pPr>
        <w:spacing w:after="0" w:line="392" w:lineRule="exact"/>
        <w:rPr>
          <w:sz w:val="20"/>
          <w:szCs w:val="20"/>
          <w:color w:val="auto"/>
        </w:rPr>
      </w:pPr>
    </w:p>
    <w:p>
      <w:pPr>
        <w:ind w:left="1260" w:right="7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2"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We supply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directly or through our arrangements with automotive system integrators, known as Tier 1 automotive suppliers, which are direct suppliers to OEMs. In 2021, our three largest Tier 1 customers, who were ZF, Valeo, and Aptiv, accounted for 35%, 19%, and 17%, respectively, of our revenue. For the six months ended July 2, 2022, our three largest Tier 1 customers, who were ZF, Valeo, and Aptiv, accounted for 43%, 15%, and 15%, respectively, of our revenue. Moreover, in 2021, 14%, 12%, 12%, and 12% of our revenue was derived from the incorporation of our solutions into the vehicle models of four OEMs and a total of 78% of our revenue was derived from the incorporation of our solutions into the vehicle models of eight OEMs (including those four) through our Tier 1 customers. In the six months ended July 2, 2022, 13%, 12%, 11%, and 10% of our revenue was derived from the incorporation of our solutions into the vehicle models of four OEMs and a total of 76%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2022.</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 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AMaaS solutions will depend on their effective deployment and operation by third parties.</w:t>
      </w:r>
    </w:p>
    <w:p>
      <w:pPr>
        <w:spacing w:after="0" w:line="162" w:lineRule="exact"/>
        <w:rPr>
          <w:sz w:val="20"/>
          <w:szCs w:val="20"/>
          <w:color w:val="auto"/>
        </w:rPr>
      </w:pPr>
    </w:p>
    <w:p>
      <w:pPr>
        <w:ind w:left="1260" w:right="439" w:firstLine="360"/>
        <w:spacing w:after="0" w:line="230" w:lineRule="auto"/>
        <w:rPr>
          <w:sz w:val="20"/>
          <w:szCs w:val="20"/>
          <w:color w:val="auto"/>
        </w:rPr>
      </w:pPr>
      <w:r>
        <w:rPr>
          <w:rFonts w:ascii="Times New Roman" w:cs="Times New Roman" w:eastAsia="Times New Roman" w:hAnsi="Times New Roman"/>
          <w:sz w:val="18"/>
          <w:szCs w:val="18"/>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business-to-business and business-to-consumer channels for the purpose of deploying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part of our business-to-business go-to-market strategy, we expect to sell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a range of shuttle network operators and vehicle OEMs that intend to operate consumer-facing AMaaS, transportation on demand, and delivery services. Our current list of publicly announced business-to-business partners is Beep, Benteler, Lohr, Marubeni, RATP Group, Schaeffler, Udelv, and Willer. Additionally, as part of our business-to-customer go-to-market strategy, we expect to deploy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AMaaS offerings by integrating them with our self-driving vehicles in partnership with fleet operators, such as SIXT. Such third parties may also terminate our partnerships with them. For example, in February 2021, we publicly announced a business-to-business partnership with Transdev to deploy autonomous shuttles, and, in</w:t>
      </w:r>
    </w:p>
    <w:p>
      <w:pPr>
        <w:spacing w:after="0" w:line="6"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June 2022, Transdev notified us that it has decided to end our joint efforts relating to the development of autonomous vehicles as a result of a change in its internal development strategy. Any failures by third parties to effectively deploy and operate our AMaaS solutions, or the termination of our relationships with any such third parties, would adversely affect our business, results of operations, and financial condition.</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Developing RoadBook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depends on continued cooperation by OEMs.</w:t>
      </w:r>
    </w:p>
    <w:p>
      <w:pPr>
        <w:spacing w:after="0" w:line="118"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The success of our Cloud-Enhanced Driver Assist system requires significant amounts of fresh mapping data from series production vehicles around the world in order to develop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Cloud-Enhanced Driver Assist system will not perform as expected, which would adversely affect our business, results of operations, and financial condition.</w:t>
      </w:r>
    </w:p>
    <w:p>
      <w:pPr>
        <w:spacing w:after="0" w:line="20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Professor Amnon Shashua, our President and Chief Executive Officer.</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91"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 -based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33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19"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As part of the Reorganization, we have also recruited certain employees relating to the Mobileye business from Intel. The failure to successfully transition and assimilate key employees would adversely affect our results of operations.</w:t>
      </w:r>
    </w:p>
    <w:p>
      <w:pPr>
        <w:spacing w:after="0" w:line="172"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9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this offering, and we may be unable to successfully integrate Moovit’s MaaS platform into our business and may fail to achieve the financial and strategic objectives of the acquisition of Moovit. We have also recently integrated a number of Intel employees to support and accelerate the development of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results of operations, and financial condition. Furthermore, we may have to incur debt or issue equity securities to pay for any future acquisitions or investments, the issuance of which could be dilutive to our existing stockholder.</w:t>
      </w:r>
    </w:p>
    <w:p>
      <w:pPr>
        <w:spacing w:after="0" w:line="165"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terms acceptable to us, or at all.</w:t>
      </w:r>
    </w:p>
    <w:p>
      <w:pPr>
        <w:spacing w:after="0" w:line="14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 majority of our operating expenses are for research and development activities. Our capital requirements will depend on many factors, including, but not limited to:</w:t>
      </w:r>
    </w:p>
    <w:p>
      <w:pPr>
        <w:spacing w:after="0" w:line="40"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 and solution enhancements, and the overall level of sales of our solutions;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effects of the COVID-19 pandemic, inflation, rising interest rates, and international conflicts and their impact on the automotive industry in particular.</w:t>
      </w:r>
    </w:p>
    <w:p>
      <w:pPr>
        <w:spacing w:after="0" w:line="9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389"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fluctuations in currency exchange rates, including those in connection with recent inflationary trends in the United States.</w:t>
      </w:r>
    </w:p>
    <w:p>
      <w:pPr>
        <w:spacing w:after="0" w:line="7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information may not be representative of our results as an independent public company.</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prospectus may not necessarily reflect our results of operations, financial position, and cash flows in the future or what they would have been had 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We have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pro forma financial information that gives effect to the Reorganization, this offering, and the use of net proceeds from this offering, as further described under “Unaudited Pro Forma Condensed Combined Financial Information.” The pro forma financial information included in this prospectus is also not representative of our results as an independent public company. See “Management’s Discussion and Analysis of Financial Condition and Results of Operations,” “Unaudited Pro Forma Condensed Combined Financial Information” and our historical combined financial statements and the accompanying notes included elsewhere in this prospectus.</w:t>
      </w:r>
    </w:p>
    <w:p>
      <w:pPr>
        <w:spacing w:after="0" w:line="191"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2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 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2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62" w:lineRule="exact"/>
        <w:rPr>
          <w:sz w:val="20"/>
          <w:szCs w:val="20"/>
          <w:color w:val="auto"/>
        </w:rPr>
      </w:pPr>
    </w:p>
    <w:p>
      <w:pPr>
        <w:ind w:left="1260" w:right="719" w:firstLine="360"/>
        <w:spacing w:after="0" w:line="251" w:lineRule="auto"/>
        <w:rPr>
          <w:sz w:val="20"/>
          <w:szCs w:val="20"/>
          <w:color w:val="auto"/>
        </w:rPr>
      </w:pPr>
      <w:r>
        <w:rPr>
          <w:rFonts w:ascii="Times New Roman" w:cs="Times New Roman" w:eastAsia="Times New Roman" w:hAnsi="Times New Roman"/>
          <w:sz w:val="18"/>
          <w:szCs w:val="18"/>
          <w:color w:val="auto"/>
        </w:rPr>
        <w:t>We are a holding company. Accordingly, our ability to conduct our operations, service the Dividend Note after the consummation of this offering and any debt that we may incur in the future, and pay dividends, if any, is dependent upon the earnings from the business conducted by our subsidiaries. The distribution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Privacy, Data, and Cybersecurity</w:t>
      </w:r>
    </w:p>
    <w:p>
      <w:pPr>
        <w:spacing w:after="0" w:line="225"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7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2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394"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5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data on the cloud with Amazon Web Services, and we depend on 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345" w:lineRule="exact"/>
        <w:rPr>
          <w:sz w:val="20"/>
          <w:szCs w:val="20"/>
          <w:color w:val="auto"/>
        </w:rPr>
      </w:pPr>
    </w:p>
    <w:p>
      <w:pPr>
        <w:ind w:left="1260" w:right="43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7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theft, loss, or misuse of personal information collected, used, stored, or transferred by us to run our business could result in significantly increased business and security costs or costs related to defending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A major breach of our network security and systems may result in fines, penalties, and damages, harm our reputation, and adversely affect our business, results of operations, and financial condition.</w:t>
      </w:r>
    </w:p>
    <w:p>
      <w:pPr>
        <w:spacing w:after="0" w:line="32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defend or enforce our intellectual property rights, and our efforts to do so may be costly.</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 -party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33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issued patents and trademarks and any pending or future patent and trademark applications that may result in issuances or registrations may not provide sufficiently broad protection or may not prove to be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9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9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3" w:lineRule="exact"/>
        <w:rPr>
          <w:sz w:val="20"/>
          <w:szCs w:val="20"/>
          <w:color w:val="auto"/>
        </w:rPr>
      </w:pPr>
    </w:p>
    <w:p>
      <w:pPr>
        <w:ind w:left="1260" w:right="599"/>
        <w:spacing w:after="0" w:line="243" w:lineRule="auto"/>
        <w:rPr>
          <w:sz w:val="20"/>
          <w:szCs w:val="20"/>
          <w:color w:val="auto"/>
        </w:rPr>
      </w:pPr>
      <w:r>
        <w:rPr>
          <w:rFonts w:ascii="Times New Roman" w:cs="Times New Roman" w:eastAsia="Times New Roman" w:hAnsi="Times New Roman"/>
          <w:sz w:val="18"/>
          <w:szCs w:val="18"/>
          <w:color w:val="auto"/>
        </w:rPr>
        <w:t>recent years, there has been significant litigation globally involving patents and other intellectual property rights.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32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9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90"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33"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84"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0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3" w:lineRule="auto"/>
        <w:rPr>
          <w:sz w:val="20"/>
          <w:szCs w:val="20"/>
          <w:color w:val="auto"/>
        </w:rPr>
      </w:pPr>
      <w:r>
        <w:rPr>
          <w:rFonts w:ascii="Times New Roman" w:cs="Times New Roman" w:eastAsia="Times New Roman" w:hAnsi="Times New Roman"/>
          <w:sz w:val="18"/>
          <w:szCs w:val="18"/>
          <w:color w:val="auto"/>
        </w:rPr>
        <w:t>“service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181"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7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 -how,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 -use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 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325"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96"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9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32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19"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current uncertain economic environment and inflationary conditions may adversely affect global vehicle production and demand for our solutions.</w:t>
      </w:r>
    </w:p>
    <w:p>
      <w:pPr>
        <w:spacing w:after="0" w:line="9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3% growth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We believe that the expected continued constraint on global automotive production resulting from supply chain shortages and the effect of economic uncertainty will limit our ability to increase our revenue.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179"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9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93"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new and rapidly evolving, and the estimates and forecasts of TAM and SAM included in this prospectus are subject to significant uncertainty.</w:t>
      </w:r>
    </w:p>
    <w:p>
      <w:pPr>
        <w:spacing w:after="0" w:line="9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323"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serviceable addressable market (“SAM”) of our current and anticipated future solutions, that are 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 internally generated data prove to be inaccurate or we make errors in our assumptions based on that data, the TAM and SAM for our solutions may be smaller than we have estimated, our future growth opportunities and sales growth may be smaller than we estimate, and our future business, results of operations and financial condition may be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Compliance Risks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7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3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Although we have policies, controls, and procedures designed to help ensure compliance with</w:t>
      </w:r>
    </w:p>
    <w:p>
      <w:pPr>
        <w:spacing w:after="0" w:line="16"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200" w:lineRule="exact"/>
        <w:rPr>
          <w:sz w:val="20"/>
          <w:szCs w:val="20"/>
          <w:color w:val="auto"/>
        </w:rPr>
      </w:pPr>
    </w:p>
    <w:p>
      <w:pPr>
        <w:spacing w:after="0" w:line="204"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0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likelihood of varying complex or conflicting regulations or may limit global adoption, impede our strategy, or negatively impact our long-term expectations for our investments in these areas.</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trade policies, sanctions, and export controls.</w:t>
      </w:r>
    </w:p>
    <w:p>
      <w:pPr>
        <w:spacing w:after="0" w:line="162" w:lineRule="exact"/>
        <w:rPr>
          <w:sz w:val="20"/>
          <w:szCs w:val="20"/>
          <w:color w:val="auto"/>
        </w:rPr>
      </w:pPr>
    </w:p>
    <w:p>
      <w:pPr>
        <w:ind w:left="1260" w:right="779" w:firstLine="360"/>
        <w:spacing w:after="0" w:line="244" w:lineRule="auto"/>
        <w:rPr>
          <w:sz w:val="20"/>
          <w:szCs w:val="20"/>
          <w:color w:val="auto"/>
        </w:rPr>
      </w:pPr>
      <w:r>
        <w:rPr>
          <w:rFonts w:ascii="Times New Roman" w:cs="Times New Roman" w:eastAsia="Times New Roman" w:hAnsi="Times New Roman"/>
          <w:sz w:val="18"/>
          <w:szCs w:val="18"/>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While we believe that current U.S. sanctions do not materially impede our ability to conduct our current business, new sanctions imposed by the United States, the European Union or other countries may restrict certain of our operations and negatively affect our revenue and profitability in the future.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33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particular, in response to Russia’s recent invasion of Ukraine, the United States, the European Union, and several other countries are imposing far-reaching sanctions and export control restrictions on Russian entities and individuals. See “— The current conflict between Ukraine and Russia has exacerbated market instability and disrupted the global economy.”</w:t>
      </w:r>
    </w:p>
    <w:p>
      <w:pPr>
        <w:spacing w:after="0" w:line="110" w:lineRule="exact"/>
        <w:rPr>
          <w:sz w:val="20"/>
          <w:szCs w:val="20"/>
          <w:color w:val="auto"/>
        </w:rPr>
      </w:pPr>
    </w:p>
    <w:p>
      <w:pPr>
        <w:ind w:left="1260" w:right="479" w:firstLine="360"/>
        <w:spacing w:after="0" w:line="228" w:lineRule="auto"/>
        <w:rPr>
          <w:sz w:val="20"/>
          <w:szCs w:val="20"/>
          <w:color w:val="auto"/>
        </w:rPr>
      </w:pPr>
      <w:r>
        <w:rPr>
          <w:rFonts w:ascii="Times New Roman" w:cs="Times New Roman" w:eastAsia="Times New Roman" w:hAnsi="Times New Roman"/>
          <w:sz w:val="18"/>
          <w:szCs w:val="18"/>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Future restrictions could adversely affect our financial performance, result in reputational harm to us due to our relationship with such companies or lead such companies to develop or adopt technologies that compete with our solutions. For example, Geely Holding Group Co., Ltd, an automotive company headquartered in China, recently commenced production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with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scheduled for inclusion with an OTA update in 2022, and we achieved an AV design win for inclusion of our consumer Level 4 platform built on the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 Zeekr. Moreover, in 2021 and in the six months ended July 2, 2022, we derived approximately 19% and 27%, respectively, of our revenue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79"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conflict between Ukraine and Russia has exacerbated market instability and disrupted the global economy.</w:t>
      </w:r>
    </w:p>
    <w:p>
      <w:pPr>
        <w:spacing w:after="0" w:line="9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are imposing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Although we are incorporated under the laws of the State of Delaware, our headquarters and research and development center are located in the State of Israel, and as of July 2, 2022,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130"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97"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9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200" w:lineRule="exact"/>
        <w:rPr>
          <w:sz w:val="20"/>
          <w:szCs w:val="20"/>
          <w:color w:val="auto"/>
        </w:rPr>
      </w:pPr>
    </w:p>
    <w:p>
      <w:pPr>
        <w:spacing w:after="0" w:line="205" w:lineRule="exact"/>
        <w:rPr>
          <w:sz w:val="20"/>
          <w:szCs w:val="20"/>
          <w:color w:val="auto"/>
        </w:rPr>
      </w:pPr>
    </w:p>
    <w:p>
      <w:pPr>
        <w:ind w:left="1260" w:right="8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6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Intel and our Dual Class Structure</w:t>
      </w:r>
    </w:p>
    <w:p>
      <w:pPr>
        <w:spacing w:after="0" w:line="225"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Class B common stock will have ten votes per share, and our Class A common stock, which is the stock we are offering in this offering, will have one vote per share. Because of the 10-to-1 voting ratio between our Class B common stock and our Class A common stock, immediately following the offering, Intel, which will be the beneficial holder of               shares of Class B common stock, will beneficially own approximately        % of the voting power of our outstanding capital stock, assuming no exercise by the underwriters of their option to purchase additional shares of our Class A common stock (or        % assuming full exercise by the underwriters of their option to purchase additional shares of our Class A common stock). Because Intel will beneficially hold significantly more than a majority of the combined voting power of our capital stock upon the completion of this offering, it will be able to control all matters submitted to our stockholders for approval.</w:t>
      </w:r>
    </w:p>
    <w:p>
      <w:pPr>
        <w:spacing w:after="0" w:line="32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8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expect to be a “controlled company” within the meaning of the corporate governance standards of Nasdaq. As a result, we will qualify for, and intend to rely on, exemptions from certain corporate governance standards. You will not have the same protections afforded to stockholders of companies that are subject to all corporate governance requirements of Nasdaq.</w:t>
      </w:r>
    </w:p>
    <w:p>
      <w:pPr>
        <w:spacing w:after="0" w:line="10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under listing requirements of Nasdaq. After the completion of this offering, Intel will continue to beneficially hold a majority of the voting power of our outstanding common stock. As a result, we are a “controlled company” under the Nasdaq rules. As a controlled company, we are exempt from certain Nasdaq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91"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and, because of certain provisions in our amended and restated certificate of incorporation relating to related person transactions and corporate opportunities, agreements we will enter into with Intel in connection with this offering, and Intel’s controlling beneficial ownership interest in our company, we may not be able to resolve such conflicts on terms favorable to us.</w:t>
      </w:r>
    </w:p>
    <w:p>
      <w:pPr>
        <w:spacing w:after="0" w:line="107"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Intel and us in a number of areas relating to our ongoing relationship. Potential conflicts of interest that we have identified include the following:</w:t>
      </w:r>
    </w:p>
    <w:p>
      <w:pPr>
        <w:spacing w:after="0" w:line="38" w:lineRule="exact"/>
        <w:rPr>
          <w:sz w:val="20"/>
          <w:szCs w:val="20"/>
          <w:color w:val="auto"/>
        </w:rPr>
      </w:pPr>
    </w:p>
    <w:p>
      <w:pPr>
        <w:ind w:left="1800" w:right="439" w:hanging="180"/>
        <w:spacing w:after="0" w:line="258"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directors may have conflicts of interest</w:t>
      </w:r>
      <w:r>
        <w:rPr>
          <w:rFonts w:ascii="Times New Roman" w:cs="Times New Roman" w:eastAsia="Times New Roman" w:hAnsi="Times New Roman"/>
          <w:sz w:val="18"/>
          <w:szCs w:val="18"/>
          <w:color w:val="auto"/>
        </w:rPr>
        <w:t>. Each of Patrick Gelsinger, Christine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75"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of our common stock</w:t>
      </w:r>
      <w:r>
        <w:rPr>
          <w:rFonts w:ascii="Times New Roman" w:cs="Times New Roman" w:eastAsia="Times New Roman" w:hAnsi="Times New Roman"/>
          <w:sz w:val="18"/>
          <w:szCs w:val="18"/>
          <w:color w:val="auto"/>
        </w:rPr>
        <w:t>. Intel may decide to sell all or a portion of our shares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 See “Description of Capital Stock — Common Stock — Conversion.”</w:t>
      </w:r>
    </w:p>
    <w:p>
      <w:pPr>
        <w:spacing w:after="0" w:line="302"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Intel’s competitors</w:t>
      </w:r>
      <w:r>
        <w:rPr>
          <w:rFonts w:ascii="Times New Roman" w:cs="Times New Roman" w:eastAsia="Times New Roman" w:hAnsi="Times New Roman"/>
          <w:sz w:val="18"/>
          <w:szCs w:val="18"/>
          <w:color w:val="auto"/>
        </w:rPr>
        <w:t>. We may from time to time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Intel find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and which would complement our businesses. We may be prevented from taking advantage of new business opportunities that Intel has entered into. Furthermore, our amended and restated certificate of incorporation will provide that, until the later of (i)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 See “Description of Capital Stock — Provisions of Our Amended and Restated Certificate of Incorporation Relating to Related Person Transactions and Corporate Opportunities.” We may therefore not be entitled to, and Intel may be entitled to, pursue business opportunities which may otherwise be appropriate for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19" w:hanging="180"/>
        <w:spacing w:after="0" w:line="24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our products on favorable terms</w:t>
      </w:r>
      <w:r>
        <w:rPr>
          <w:rFonts w:ascii="Times New Roman" w:cs="Times New Roman" w:eastAsia="Times New Roman" w:hAnsi="Times New Roman"/>
          <w:sz w:val="18"/>
          <w:szCs w:val="18"/>
          <w:color w:val="auto"/>
        </w:rPr>
        <w:t>. Under the terms of the Master Transaction Agreement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enter into with Intel in connection with this offering, so long as Intel holds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 basis. We and Intel will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7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enter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07"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intend to enter into the Tax Sharing Agreement with Intel that will become effective upon completion of this offering. Pursuant to the Tax Sharing Agreement,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previously been included in the Consolidated Group for the most recent annual period and expect to be included in the Consolidated Group following this offering.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184" w:lineRule="exact"/>
        <w:rPr>
          <w:sz w:val="20"/>
          <w:szCs w:val="20"/>
          <w:color w:val="auto"/>
        </w:rPr>
      </w:pPr>
    </w:p>
    <w:p>
      <w:pPr>
        <w:ind w:left="1260" w:right="5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current U.S. federal income tax law, in order to consummate a tax-free spin-off of our stock, Intel would need to have beneficial ownership of our stock representing at least 80% of the total voting power and 80% of each class of non-voting capital stock. As of the date of this prospectus, Intel does not intend or plan to undertake a spin-off of our stock to Intel stockholders.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that such actions will not result in the spin-off failing to qualify as a tax-free spin-off. See “Certain Relationships and Related Party Transactions — Intercompany Agreements — Master Transaction Agreement” and “Certain Relationships and Related Party Transactions — Intercompany Agreements — Tax Sharing Agreement.”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pursuant to this offering,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See “Description of Capital Stock — Common Stock —  Approval Rights of Holders of Class B Common Stock.” There can be no guarantee that Intel will consent to such actions, even if they are in our best interests.</w:t>
      </w:r>
    </w:p>
    <w:p>
      <w:pPr>
        <w:spacing w:after="0" w:line="185" w:lineRule="exact"/>
        <w:rPr>
          <w:sz w:val="20"/>
          <w:szCs w:val="20"/>
          <w:color w:val="auto"/>
        </w:rPr>
      </w:pPr>
    </w:p>
    <w:p>
      <w:pPr>
        <w:jc w:val="both"/>
        <w:ind w:left="1260" w:right="5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historically utilized and upon completion of this offering plan to continue to utilize various administrative services and licenses provided by Intel, and if we are unable to continue utilizing such services and/or licenses we may fail to replace them at prices or on terms as favorable as those Intel provides.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historically utilized various administrative, financial, and other services provided by Intel. In addition, Mobileye is party to an agreement with Intel under which Mobileye is licensed under patents of other Intel subsidiaries and patents of certain third parties with whom Intel has cross license agreements. Following the completion of this offering, Intel will provide us with services, including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Commercial Terms Agreement. See “Certain Relationships and Related Party Transactions.”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Class A Common Stock</w:t>
      </w:r>
    </w:p>
    <w:p>
      <w:pPr>
        <w:spacing w:after="0" w:line="22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9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Since Intel has completed its acquisition of us, prior to this offering, there has not been a public trading market for shares of our Class A common stock. It is possible that an active trading market for our Class A common stock will not develop or, if developed,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and you may not be able to sell your shares of our Class A common stock at or above the price you paid in this offering or at all.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fluctuate, and you could lose all or part of your investment.</w:t>
      </w:r>
    </w:p>
    <w:p>
      <w:pPr>
        <w:spacing w:after="0" w:line="173"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72" w:lineRule="exact"/>
        <w:rPr>
          <w:sz w:val="20"/>
          <w:szCs w:val="20"/>
          <w:color w:val="auto"/>
        </w:rPr>
      </w:pPr>
    </w:p>
    <w:p>
      <w:pPr>
        <w:ind w:left="1800" w:right="6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regulators and other safety organizations regarding ADAS, autonomous driving and related technology;</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publicized accidents involving ADAS and autonomous driving technology, whether developed by us or our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w:t>
      </w:r>
    </w:p>
    <w:p>
      <w:pPr>
        <w:spacing w:after="0" w:line="130"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management, employees, customers, and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research and development projects by us or our competitors;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others relating to autonomous driving technology and its adoption by OEMs;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systems and products by others;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intellectual property rights;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particularly Professor Shashua;</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and the global supply chain;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irregularities such as worsening inflationary trends, volatile interest rates and labor shortages;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the generation of sales from those products;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research and development and operating expenditures;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or proposed sale by Intel (or other actions taken by Intel) or other significant stockholders of our common stock or other securities in the future; and</w:t>
      </w:r>
    </w:p>
    <w:p>
      <w:pPr>
        <w:spacing w:after="0" w:line="67"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net proceeds from this offering, and we may not use them effectively.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approximately $              of indebtedness owed to Intel under the Dividend Note and use the remaining $            (or</w:t>
      </w:r>
    </w:p>
    <w:p>
      <w:pPr>
        <w:ind w:left="1260" w:right="459"/>
        <w:spacing w:after="0"/>
        <w:rPr>
          <w:sz w:val="20"/>
          <w:szCs w:val="20"/>
          <w:color w:val="auto"/>
        </w:rPr>
      </w:pPr>
      <w:r>
        <w:rPr>
          <w:rFonts w:ascii="Times New Roman" w:cs="Times New Roman" w:eastAsia="Times New Roman" w:hAnsi="Times New Roman"/>
          <w:sz w:val="18"/>
          <w:szCs w:val="18"/>
          <w:color w:val="auto"/>
        </w:rPr>
        <w:t>$            if the underwriters exercise their option to purchase additional shares of our Class A common stock in full) for working capital and general corporate purposes. Our management will have broad discretion in the application of net proceeds from this offering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will be subject to other reporting and corporate governance requirements, including certain requirements of        and certain provisions of the Sarbanes- 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8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0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Upon becoming a public company, we will be required to comply with the SEC’s rules implementing Sections 302 and 404 of the Sarbanes- Oxley Act, which will require management to certify financial and 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pro forma net tangible book value per share of our common stock immediately following this offering. Therefore, if you purchase shares of our Class A common stock in this offering, then, based on the midpoint of the price range set forth on the cover page of this prospectus, and the issuance by us of          shares of Class A common stock in this offering, you will experience immediate dilution of $            per share, the difference between the price per share you pay for our Class A common stock and the pro forma net tangible book value per share of our common stock as of December 25, 2021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if anything, in the event of our liquidation. See “Dilution.”</w:t>
      </w:r>
    </w:p>
    <w:p>
      <w:pPr>
        <w:spacing w:after="0" w:line="198"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9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391"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After this offering and the use of proceeds to us therefrom, we will have an aggregate of               </w:t>
      </w:r>
    </w:p>
    <w:p>
      <w:pPr>
        <w:spacing w:after="0" w:line="27" w:lineRule="exact"/>
        <w:rPr>
          <w:sz w:val="20"/>
          <w:szCs w:val="20"/>
          <w:color w:val="auto"/>
        </w:rPr>
      </w:pPr>
    </w:p>
    <w:p>
      <w:pPr>
        <w:ind w:left="1260" w:right="439"/>
        <w:spacing w:after="0" w:line="251" w:lineRule="auto"/>
        <w:tabs>
          <w:tab w:leader="none" w:pos="13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authorized but unissued shares of Class A common stock. Our amended and restated certificate of incorporation will authorize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will enter into with Intel in connection with this offering, we will grant Intel a continuing right to purchase from us such number of shares of Class A common stock or Class B common stock as is necessary for Intel to maintain an aggregate ownership of our common stock representing at least 80.1% of our common stock outstanding following the completion of this offering. See “Certain Relationships and Related Party Transactions — Transactions to be Entered into in Connection with this Offering — Intercompany Agreements — Master Transaction Agreement.” Any common stock that we issue, including under our equity incentive plan or in connection with the Master Transaction Agreement, would dilute the percentage ownership held by the investors who purchase Class A common stock in this offering.</w:t>
      </w:r>
    </w:p>
    <w:p>
      <w:pPr>
        <w:spacing w:after="0" w:line="327"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82" w:lineRule="exact"/>
        <w:rPr>
          <w:sz w:val="20"/>
          <w:szCs w:val="20"/>
          <w:color w:val="auto"/>
        </w:rPr>
      </w:pPr>
    </w:p>
    <w:p>
      <w:pPr>
        <w:jc w:val="both"/>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that will be in effect at the completion of this offering could make a merger, tender offer, or proxy contest difficult, thereby adversely affecting the market price of our common stock.</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will opt out of the anti- takeover provisions of Section 203 of the Delaware General Corporation Law (the “DGCL”) upon the completion of this offering.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79" w:lineRule="exact"/>
        <w:rPr>
          <w:sz w:val="20"/>
          <w:szCs w:val="20"/>
          <w:color w:val="auto"/>
        </w:rPr>
      </w:pPr>
    </w:p>
    <w:p>
      <w:pPr>
        <w:ind w:left="1800" w:right="639" w:hanging="180"/>
        <w:spacing w:after="0" w:line="26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278"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2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40"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or our Secretary upon written request by a majority of our Board of Directors are authorized to call a special meeting of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provide that certain litigation against us can only be brought in Delaware unless we otherwise consent;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75"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81"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upon completion of this offering, to the fullest extent permitted by law, will provide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11"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certificate of incorporation will provide that neither the exclusive forum provision nor our federal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may reduce our net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number of factors can increase our effective tax rates, which could reduce our net income, including:</w:t>
      </w:r>
    </w:p>
    <w:p>
      <w:pPr>
        <w:spacing w:after="0" w:line="117" w:lineRule="exact"/>
        <w:rPr>
          <w:sz w:val="20"/>
          <w:szCs w:val="20"/>
          <w:color w:val="auto"/>
        </w:rPr>
      </w:pPr>
    </w:p>
    <w:p>
      <w:pPr>
        <w:ind w:left="1800" w:right="8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and in associated deferred tax asset valuation allowance;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tax returns;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equity-based compensation or impairments of goodwill;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new, or renew existing, tax holidays and incentives;</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conditions can adversely affect our business, results of operations, and financial condition.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and our suppliers have manufacturing, assembly and testing,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For the</w:t>
      </w:r>
    </w:p>
    <w:p>
      <w:pPr>
        <w:spacing w:after="0" w:line="3"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six months ended July 2, 2022, 73% of our revenue was derived outside of the United States, with China, Germany, and the United Kingdom making up 27%, 13%, and 12%,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For example, the U.S. economy experienced negative growth during the first two quarters of 2022, and the rate of economic growth in Europe, China, and globally is expected to slow in 2022. This economic slowdown is expected to continue into 2023.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 be adversely affected by other global and regional factors that periodically occur, including:</w:t>
      </w:r>
    </w:p>
    <w:p>
      <w:pPr>
        <w:spacing w:after="0" w:line="117" w:lineRule="exact"/>
        <w:rPr>
          <w:sz w:val="20"/>
          <w:szCs w:val="20"/>
          <w:color w:val="auto"/>
        </w:rPr>
      </w:pPr>
    </w:p>
    <w:p>
      <w:pPr>
        <w:ind w:left="1800" w:right="11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security issues, such as armed conflict and civil or military unrest, political instability, human rights concerns and terrorist activity;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issues (including the COVID-19 pandemic) and other catastrophic events;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a particular country;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legal protection of our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current standards and practices;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uncertainty regarding social, political, immigration and tax and trade policies;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can adversely affect our business, results of operations, and financial condition.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323"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1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0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completion of the Reorganization;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responses to and effects of the COVID-19 pandemic;</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 and</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prospectus under “Risk Factors,” “Management’s Discussion and Analysis of Financial Condition and Results of Operations” and “Business.”</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These statements are inherently uncertain and investors are cautioned not to unduly rely upon these statements.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20"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2"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IHS Markit, </w:t>
      </w:r>
      <w:r>
        <w:rPr>
          <w:rFonts w:ascii="Times New Roman" w:cs="Times New Roman" w:eastAsia="Times New Roman" w:hAnsi="Times New Roman"/>
          <w:sz w:val="18"/>
          <w:szCs w:val="18"/>
          <w:i w:val="1"/>
          <w:iCs w:val="1"/>
          <w:color w:val="auto"/>
        </w:rPr>
        <w:t>Light Vehicle Production Forecast as of February 1, 2022</w:t>
      </w:r>
      <w:r>
        <w:rPr>
          <w:rFonts w:ascii="Times New Roman" w:cs="Times New Roman" w:eastAsia="Times New Roman" w:hAnsi="Times New Roman"/>
          <w:sz w:val="18"/>
          <w:szCs w:val="18"/>
          <w:color w:val="auto"/>
        </w:rPr>
        <w:t>, dated February 2022.</w:t>
      </w:r>
    </w:p>
    <w:p>
      <w:pPr>
        <w:spacing w:after="0" w:line="119"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National Highway Traffic Safety Administration, </w:t>
      </w:r>
      <w:r>
        <w:rPr>
          <w:rFonts w:ascii="Times New Roman" w:cs="Times New Roman" w:eastAsia="Times New Roman" w:hAnsi="Times New Roman"/>
          <w:sz w:val="18"/>
          <w:szCs w:val="18"/>
          <w:i w:val="1"/>
          <w:iCs w:val="1"/>
          <w:color w:val="auto"/>
        </w:rPr>
        <w:t>Automated Vehicles for Safety: The Road to Full Automation</w:t>
      </w:r>
      <w:r>
        <w:rPr>
          <w:rFonts w:ascii="Times New Roman" w:cs="Times New Roman" w:eastAsia="Times New Roman" w:hAnsi="Times New Roman"/>
          <w:sz w:val="18"/>
          <w:szCs w:val="18"/>
          <w:color w:val="auto"/>
        </w:rPr>
        <w:t>, dated 2022.</w:t>
      </w:r>
    </w:p>
    <w:p>
      <w:pPr>
        <w:spacing w:after="0" w:line="51"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Volpe National Transportation Systems Center, </w:t>
      </w:r>
      <w:r>
        <w:rPr>
          <w:rFonts w:ascii="Times New Roman" w:cs="Times New Roman" w:eastAsia="Times New Roman" w:hAnsi="Times New Roman"/>
          <w:sz w:val="18"/>
          <w:szCs w:val="18"/>
          <w:i w:val="1"/>
          <w:iCs w:val="1"/>
          <w:color w:val="auto"/>
        </w:rPr>
        <w:t>How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Much Time Do Americans Spend Behind the Wheel?</w:t>
      </w:r>
      <w:r>
        <w:rPr>
          <w:rFonts w:ascii="Times New Roman" w:cs="Times New Roman" w:eastAsia="Times New Roman" w:hAnsi="Times New Roman"/>
          <w:sz w:val="18"/>
          <w:szCs w:val="18"/>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            million (or approximately $            million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intend to use a portion of the net proceeds that we receive from this offering to repay approximately $              of indebtedness under the Dividend Note and use the remaining $            (or $            if the underwriters exercise their option to purchase additional shares of our Class A common stock in full) for working capital and general corporate purposes. 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 The Dividend Note is scheduled to mature on April 21, 2025 and will accrue interest at a rate equal to 1.26% per annum. The Dividend Note is being issued in connection with our Reorganization, as described under “Prospectus Summary — Reorganization.”</w:t>
      </w:r>
    </w:p>
    <w:p>
      <w:pPr>
        <w:spacing w:after="0" w:line="111"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per share would increase (decrease) the estimated net proceeds to us by approximately $            million (or approximately</w:t>
      </w: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the net proceeds to us from this offering by approximately $            million, assuming that the assumed initial public offering price remains the same, and after deducting the underwriting discounts and commissions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on April 21, 2022, we distributed to Intel the Dividend Note, pursuant to which we have agreed to pay Intel an aggregate of $3.5 billion. We intend to use a portion of the net proceeds that we receive from this offering to repay indebtedness under the Dividend Note. See “Use of Proceeds.” In connection with the Reorganization, on May 12, 2022, we declared and paid the Dividend in an aggregate amount of $336 million to Intel, net of $14 million of cash paid to tax authorities to settle related tax obligations.</w:t>
      </w:r>
    </w:p>
    <w:p>
      <w:pPr>
        <w:spacing w:after="0" w:line="12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we intend to retain any future earnings and do not anticipate declaring or paying any cash dividends in the foreseeable future. See “Risk Factors — Risks Related to this Offering and Our Class A Common Stock — We do not expect to pay dividends in the foreseeable future.”</w:t>
      </w:r>
    </w:p>
    <w:p>
      <w:pPr>
        <w:spacing w:after="0" w:line="9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11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2, 2022:</w:t>
      </w:r>
    </w:p>
    <w:p>
      <w:pPr>
        <w:spacing w:after="0" w:line="117"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right="1280"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transactions described in the section titled “Unaudited Pro Forma Condensed Combined Financial Information” other than this offering and the use of estimated net proceeds from this offering; and</w:t>
      </w:r>
    </w:p>
    <w:p>
      <w:pPr>
        <w:spacing w:after="0" w:line="67" w:lineRule="exact"/>
        <w:rPr>
          <w:rFonts w:ascii="Times New Roman" w:cs="Times New Roman" w:eastAsia="Times New Roman" w:hAnsi="Times New Roman"/>
          <w:sz w:val="18"/>
          <w:szCs w:val="18"/>
          <w:color w:val="auto"/>
        </w:rPr>
      </w:pPr>
    </w:p>
    <w:p>
      <w:pPr>
        <w:ind w:left="1800" w:right="1380"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transactions described in the section titled “Unaudited Pro Forma Condensed Combined Financial Information” including this offering and the use of the estimated net proceeds from this offering.</w:t>
      </w:r>
    </w:p>
    <w:p>
      <w:pPr>
        <w:spacing w:after="0" w:line="108" w:lineRule="exact"/>
        <w:rPr>
          <w:sz w:val="20"/>
          <w:szCs w:val="20"/>
          <w:color w:val="auto"/>
        </w:rPr>
      </w:pPr>
    </w:p>
    <w:p>
      <w:pPr>
        <w:ind w:left="1260" w:right="1260" w:firstLine="360"/>
        <w:spacing w:after="0" w:line="254" w:lineRule="auto"/>
        <w:rPr>
          <w:sz w:val="20"/>
          <w:szCs w:val="20"/>
          <w:color w:val="auto"/>
        </w:rPr>
      </w:pPr>
      <w:r>
        <w:rPr>
          <w:rFonts w:ascii="Times New Roman" w:cs="Times New Roman" w:eastAsia="Times New Roman" w:hAnsi="Times New Roman"/>
          <w:sz w:val="18"/>
          <w:szCs w:val="18"/>
          <w:color w:val="auto"/>
        </w:rPr>
        <w:t>The information below is not necessarily indicative of what our cash and cash equivalents and capitalization would have been had the pro forma adjustments described in the section titled “Unaudited Pro Forma Condensed Combined Financial Information” been completed as of July 2, 2022. In addition, it is not indicative of our future cash and cash equivalents and capitalization. The pro forma as adjusted information set forth in the following table is illustrative only and will be adjusted based on the actual initial public offering price and other terms of this offering determined at pricing. The table is derived from and should be read together with the sections of this prospectus entitled “Use of Proceeds,” “Management’s Discussion and Analysis of Financial Condition and Results of Operations,” “Unaudited Pro Forma Condensed Combined Financial Information,” and our unaudited condensed combined financial statements and accompanying notes included elsewhere in this prospectus.</w:t>
      </w:r>
    </w:p>
    <w:p>
      <w:pPr>
        <w:spacing w:after="0" w:line="34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As of July 2,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70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40" w:type="dxa"/>
            <w:vAlign w:val="bottom"/>
          </w:tcPr>
          <w:p>
            <w:pPr>
              <w:spacing w:after="0"/>
              <w:rPr>
                <w:sz w:val="14"/>
                <w:szCs w:val="14"/>
                <w:color w:val="auto"/>
              </w:rPr>
            </w:pP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 ​</w:t>
            </w:r>
          </w:p>
        </w:tc>
        <w:tc>
          <w:tcPr>
            <w:tcW w:w="2700" w:type="dxa"/>
            <w:vAlign w:val="bottom"/>
            <w:tcBorders>
              <w:bottom w:val="single" w:sz="8" w:color="auto"/>
            </w:tcBorders>
          </w:tcPr>
          <w:p>
            <w:pPr>
              <w:ind w:left="1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 Forma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74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w w:val="99"/>
              </w:rPr>
              <w:t xml:space="preserve">(in millions, except share and per share data) </w:t>
            </w:r>
            <w:r>
              <w:rPr>
                <w:rFonts w:ascii="Times New Roman" w:cs="Times New Roman" w:eastAsia="Times New Roman" w:hAnsi="Times New Roman"/>
                <w:sz w:val="28"/>
                <w:szCs w:val="28"/>
                <w:b w:val="1"/>
                <w:bCs w:val="1"/>
                <w:color w:val="auto"/>
                <w:w w:val="99"/>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-189230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-189230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986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98615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common stock, par value $0.01 per share; 0,             , and</w:t>
      </w:r>
    </w:p>
    <w:p>
      <w:pPr>
        <w:spacing w:after="0" w:line="27" w:lineRule="exact"/>
        <w:rPr>
          <w:sz w:val="20"/>
          <w:szCs w:val="20"/>
          <w:color w:val="auto"/>
        </w:rPr>
      </w:pPr>
    </w:p>
    <w:p>
      <w:pPr>
        <w:ind w:left="1440"/>
        <w:spacing w:after="0" w:line="250" w:lineRule="auto"/>
        <w:tabs>
          <w:tab w:leader="none" w:pos="15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authorized, actual, pro forma, and pro forma as adjusted, respectively; no shares of Class A common stock issued and outstanding, actual,           shares of Class A common stock issued and outstanding, pro forma, and</w:t>
      </w:r>
    </w:p>
    <w:p>
      <w:pPr>
        <w:spacing w:after="0" w:line="1" w:lineRule="exact"/>
        <w:rPr>
          <w:rFonts w:ascii="Times New Roman" w:cs="Times New Roman" w:eastAsia="Times New Roman" w:hAnsi="Times New Roman"/>
          <w:sz w:val="18"/>
          <w:szCs w:val="18"/>
          <w:color w:val="auto"/>
        </w:rPr>
      </w:pPr>
    </w:p>
    <w:p>
      <w:pPr>
        <w:ind w:left="1440" w:right="200"/>
        <w:spacing w:after="0" w:line="260" w:lineRule="auto"/>
        <w:tabs>
          <w:tab w:leader="none" w:pos="15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issued and outstanding, pro forma as adjusted</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par value $0.01 per share; 0,             , and</w:t>
      </w:r>
    </w:p>
    <w:p>
      <w:pPr>
        <w:spacing w:after="0" w:line="27" w:lineRule="exact"/>
        <w:rPr>
          <w:sz w:val="20"/>
          <w:szCs w:val="20"/>
          <w:color w:val="auto"/>
        </w:rPr>
      </w:pPr>
    </w:p>
    <w:p>
      <w:pPr>
        <w:ind w:left="1440"/>
        <w:spacing w:after="0" w:line="250" w:lineRule="auto"/>
        <w:tabs>
          <w:tab w:leader="none" w:pos="15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authorized, actual, pro forma, and pro forma as adjusted, respectively; no shares of Class B common stock issued and outstanding, actual,           shares of Class B common stock issued and outstanding, pro forma, and</w:t>
      </w:r>
    </w:p>
    <w:p>
      <w:pPr>
        <w:spacing w:after="0" w:line="1" w:lineRule="exact"/>
        <w:rPr>
          <w:rFonts w:ascii="Times New Roman" w:cs="Times New Roman" w:eastAsia="Times New Roman" w:hAnsi="Times New Roman"/>
          <w:sz w:val="18"/>
          <w:szCs w:val="18"/>
          <w:color w:val="auto"/>
        </w:rPr>
      </w:pPr>
    </w:p>
    <w:p>
      <w:pPr>
        <w:ind w:left="1440" w:right="200"/>
        <w:spacing w:after="0" w:line="260" w:lineRule="auto"/>
        <w:tabs>
          <w:tab w:leader="none" w:pos="15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4"/>
                <w:szCs w:val="14"/>
                <w:color w:val="auto"/>
              </w:rPr>
              <w:t>$   774</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16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 3,509</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540" w:val="left"/>
          <w:tab w:leader="none" w:pos="1600" w:val="left"/>
          <w:tab w:leader="none" w:pos="2760" w:val="left"/>
        </w:tabs>
        <w:rPr>
          <w:sz w:val="20"/>
          <w:szCs w:val="20"/>
          <w:color w:val="auto"/>
        </w:rPr>
      </w:pPr>
      <w:r>
        <w:rPr>
          <w:rFonts w:ascii="Times New Roman" w:cs="Times New Roman" w:eastAsia="Times New Roman" w:hAnsi="Times New Roman"/>
          <w:sz w:val="18"/>
          <w:szCs w:val="18"/>
          <w:color w:val="auto"/>
        </w:rPr>
        <w:t>​ ​ ​ ​</w:t>
        <w:tab/>
        <w:t>— ​​ ​ ​ ​</w:t>
      </w:r>
      <w:r>
        <w:rPr>
          <w:sz w:val="20"/>
          <w:szCs w:val="20"/>
          <w:color w:val="auto"/>
        </w:rPr>
        <w:tab/>
      </w:r>
      <w:r>
        <w:rPr>
          <w:rFonts w:ascii="Times New Roman" w:cs="Times New Roman" w:eastAsia="Times New Roman" w:hAnsi="Times New Roman"/>
          <w:sz w:val="18"/>
          <w:szCs w:val="18"/>
          <w:color w:val="auto"/>
        </w:rPr>
        <w:t>​ ​​ ​ ​ ​</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9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 ​ ​ ​</w:t>
            </w:r>
          </w:p>
        </w:tc>
        <w:tc>
          <w:tcPr>
            <w:tcW w:w="1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​11,223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520" w:space="120"/>
            <w:col w:w="408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50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3"/>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(24)</w:t>
            </w:r>
            <w:r>
              <w:rPr>
                <w:rFonts w:ascii="Times New Roman" w:cs="Times New Roman" w:eastAsia="Times New Roman" w:hAnsi="Times New Roman"/>
                <w:sz w:val="17"/>
                <w:szCs w:val="17"/>
                <w:color w:val="auto"/>
              </w:rPr>
              <w:t>​​ ​</w:t>
            </w:r>
          </w:p>
        </w:tc>
        <w:tc>
          <w:tcPr>
            <w:tcW w:w="54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60" w:type="dxa"/>
            <w:vAlign w:val="bottom"/>
            <w:gridSpan w:val="2"/>
            <w:shd w:val="clear" w:color="auto" w:fill="CCEEFF"/>
          </w:tcPr>
          <w:p>
            <w:pPr>
              <w:jc w:val="right"/>
              <w:ind w:right="680"/>
              <w:spacing w:after="0" w:line="272"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 ​ </w:t>
            </w:r>
            <w:r>
              <w:rPr>
                <w:rFonts w:ascii="Times New Roman" w:cs="Times New Roman" w:eastAsia="Times New Roman" w:hAnsi="Times New Roman"/>
                <w:sz w:val="31"/>
                <w:szCs w:val="31"/>
                <w:color w:val="auto"/>
                <w:vertAlign w:val="superscript"/>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500" w:type="dxa"/>
            <w:vAlign w:val="bottom"/>
          </w:tcPr>
          <w:p>
            <w:pPr>
              <w:spacing w:after="0"/>
              <w:rPr>
                <w:sz w:val="22"/>
                <w:szCs w:val="22"/>
                <w:color w:val="auto"/>
              </w:rPr>
            </w:pPr>
          </w:p>
        </w:tc>
        <w:tc>
          <w:tcPr>
            <w:tcW w:w="112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​11,199 </w:t>
            </w:r>
            <w:r>
              <w:rPr>
                <w:rFonts w:ascii="Times New Roman" w:cs="Times New Roman" w:eastAsia="Times New Roman" w:hAnsi="Times New Roman"/>
                <w:sz w:val="30"/>
                <w:szCs w:val="30"/>
                <w:color w:val="auto"/>
                <w:vertAlign w:val="subscript"/>
              </w:rPr>
              <w:t>​​ ​</w:t>
            </w:r>
          </w:p>
        </w:tc>
        <w:tc>
          <w:tcPr>
            <w:tcW w:w="54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w:t>
            </w:r>
          </w:p>
        </w:tc>
        <w:tc>
          <w:tcPr>
            <w:tcW w:w="1160" w:type="dxa"/>
            <w:vAlign w:val="bottom"/>
            <w:gridSpan w:val="2"/>
          </w:tcPr>
          <w:p>
            <w:pPr>
              <w:jc w:val="right"/>
              <w:ind w:right="680"/>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w:t>
            </w:r>
          </w:p>
        </w:tc>
        <w:tc>
          <w:tcPr>
            <w:tcW w:w="1300" w:type="dxa"/>
            <w:vAlign w:val="bottom"/>
            <w:gridSpan w:val="2"/>
          </w:tcPr>
          <w:p>
            <w:pPr>
              <w:jc w:val="right"/>
              <w:ind w:right="111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1500" w:type="dxa"/>
            <w:vAlign w:val="bottom"/>
            <w:shd w:val="clear" w:color="auto" w:fill="CCEEFF"/>
          </w:tcPr>
          <w:p>
            <w:pPr>
              <w:spacing w:after="0"/>
              <w:rPr>
                <w:sz w:val="24"/>
                <w:szCs w:val="24"/>
                <w:color w:val="auto"/>
              </w:rPr>
            </w:pPr>
          </w:p>
        </w:tc>
        <w:tc>
          <w:tcPr>
            <w:tcW w:w="1120" w:type="dxa"/>
            <w:vAlign w:val="bottom"/>
            <w:tcBorders>
              <w:right w:val="single" w:sz="8" w:color="CCEEFF"/>
            </w:tcBorders>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14,708 </w:t>
            </w:r>
            <w:r>
              <w:rPr>
                <w:rFonts w:ascii="Times New Roman" w:cs="Times New Roman" w:eastAsia="Times New Roman" w:hAnsi="Times New Roman"/>
                <w:sz w:val="28"/>
                <w:szCs w:val="28"/>
                <w:color w:val="auto"/>
                <w:vertAlign w:val="subscript"/>
              </w:rPr>
              <w:t>​​ ​</w:t>
            </w:r>
          </w:p>
        </w:tc>
        <w:tc>
          <w:tcPr>
            <w:tcW w:w="5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160" w:type="dxa"/>
            <w:vAlign w:val="bottom"/>
            <w:gridSpan w:val="2"/>
            <w:shd w:val="clear" w:color="auto" w:fill="CCEEFF"/>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40" w:type="dxa"/>
            <w:vAlign w:val="bottom"/>
            <w:shd w:val="clear" w:color="auto" w:fill="CCEEFF"/>
          </w:tcPr>
          <w:p>
            <w:pPr>
              <w:spacing w:after="0"/>
              <w:rPr>
                <w:sz w:val="24"/>
                <w:szCs w:val="24"/>
                <w:color w:val="auto"/>
              </w:rPr>
            </w:pP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-951230</wp:posOffset>
            </wp:positionV>
            <wp:extent cx="25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-951230</wp:posOffset>
            </wp:positionV>
            <wp:extent cx="4663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-1130935</wp:posOffset>
            </wp:positionV>
            <wp:extent cx="25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 will experience immediate and substantial dilution in the net tangible book value per share of our Class A common stock upon the completion of this offering. Dilution results from the fact that the per share offering price of the shares of our Class A common stock is substantially in excess of the pro forma net tangible book value per share after this offering.</w:t>
      </w:r>
    </w:p>
    <w:p>
      <w:pPr>
        <w:spacing w:after="0" w:line="331"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Our net tangible book value as of July 2, 2022 was $        million, or $            per share of Class A common stock. Net tangible book value represents total tangible assets less total liabilities. Tangible assets represent total assets excluding goodwill and other intangible assets. Net tangible book value per share represents net tangible book value divided by the aggregate number of shares of common stock outstanding immediately prior to this offering.</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After giving effect to the pro forma adjustments described in the section titled “Unaudited Pro Forma Condensed Combined Financial Information”, our pro forma net tangible book value as of July 2, 2022 would have been approximately $            million, or approximately $            per share of Class A common stock. After giving effect to these pro forma adjustments, including the sale of                     shares of our Class A common stock in this offering (assuming the underwriters do not exercise the option to purchase additional shares of our Class A common stock) at an assumed initial public offering price of $            per share of Class A common stock (the midpoint of the price range set forth on the cover page of this prospectus), and after deducting the underwriting discounts and commissions and estimated offering expenses payable by us, and the application of such net proceeds as described under “Use of Proceeds,” our pro forma as adjusted net tangible book value as of July 2, 2022 would have been approximately</w:t>
      </w:r>
    </w:p>
    <w:p>
      <w:pPr>
        <w:spacing w:after="0" w:line="8" w:lineRule="exact"/>
        <w:rPr>
          <w:sz w:val="20"/>
          <w:szCs w:val="20"/>
          <w:color w:val="auto"/>
        </w:rPr>
      </w:pPr>
    </w:p>
    <w:p>
      <w:pPr>
        <w:ind w:left="1260" w:right="999"/>
        <w:spacing w:after="0" w:line="264" w:lineRule="auto"/>
        <w:rPr>
          <w:sz w:val="20"/>
          <w:szCs w:val="20"/>
          <w:color w:val="auto"/>
        </w:rPr>
      </w:pPr>
      <w:r>
        <w:rPr>
          <w:rFonts w:ascii="Times New Roman" w:cs="Times New Roman" w:eastAsia="Times New Roman" w:hAnsi="Times New Roman"/>
          <w:sz w:val="18"/>
          <w:szCs w:val="18"/>
          <w:color w:val="auto"/>
        </w:rPr>
        <w:t>$            million, or approximately $            per share of Class A common stock. This represents an immediate increase in pro forma as adjusted net tangible book value of $            per share of Class A common stock to our existing stockholder and an immediate dilution (i.e., the difference between the offering price and the pro forma as adjusted net tangible book value after this offering) to investors participating in this offering of $            per share of Class A common stock.</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participating in this offering:</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Net tangible book value per share as of July 2, 2022</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pro forma</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adjustments referred to above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Pro forma net tangible book value per share before completion of this offering</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investors participating in this offering and the use of the net proceeds from this</w:t>
            </w:r>
          </w:p>
        </w:tc>
        <w:tc>
          <w:tcPr>
            <w:tcW w:w="3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48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Dilution in pro forma as adjusted net tangible book value per share to investors</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participating in this offering</w:t>
            </w:r>
            <w:r>
              <w:rPr>
                <w:rFonts w:ascii="Times New Roman" w:cs="Times New Roman" w:eastAsia="Times New Roman" w:hAnsi="Times New Roman"/>
                <w:sz w:val="23"/>
                <w:szCs w:val="23"/>
                <w:color w:val="auto"/>
                <w:vertAlign w:val="superscript"/>
              </w:rPr>
              <w:t>(1)</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line="278"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4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48088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24" w:lineRule="exact"/>
        <w:rPr>
          <w:sz w:val="20"/>
          <w:szCs w:val="20"/>
          <w:color w:val="auto"/>
        </w:rPr>
      </w:pPr>
    </w:p>
    <w:p>
      <w:pPr>
        <w:ind w:left="1620" w:right="51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is determined by subtracting pro forma as adjusted net tangible book value per share from the initial public offering price paid by an investor participating in this offering.</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July 2, 2022, the total number of shares of common stock owned by our existing stockholder and to be owned by the investors participating in this offering, the total consideration paid and the average price per share paid by our existing stockholder and to be paid by the investors participating in this offering at $            per share of Class A common stock, the midpoint of the price range set forth on the cover page of this prospectus, calculated before deducting discounts and commissions and estimated offering expenses: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Consideration</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80" w:type="dxa"/>
            <w:vAlign w:val="bottom"/>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per Shares of Class A</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6"/>
                <w:szCs w:val="26"/>
                <w:b w:val="1"/>
                <w:bCs w:val="1"/>
                <w:color w:val="auto"/>
                <w:vertAlign w:val="subscript"/>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66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Our existing stockholder</w:t>
            </w:r>
          </w:p>
        </w:tc>
        <w:tc>
          <w:tcPr>
            <w:tcW w:w="3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107"/>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080" w:type="dxa"/>
            <w:vAlign w:val="bottom"/>
            <w:shd w:val="clear" w:color="auto" w:fill="CCEEFF"/>
          </w:tcPr>
          <w:p>
            <w:pPr>
              <w:ind w:left="200"/>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-496570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-496570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27514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-496570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which is the midpoint of the price range set forth on the cover page of this prospectus, would increase (decrease) our pro forma as adjusted net tangible book value as of July 2, 2022 by approximately $            million, our pro forma as adjusted net tangible book value per share by $            per share and the dilution in pro forma as adjusted net tangible book value per share to new investors in this offering by $            per share, assuming the number of shares offered by us, as set forth on the cover page of this prospectus, remains the same, and after deducting the estimated underwriting discounts and commissions and offering expenses.</w:t>
      </w:r>
    </w:p>
    <w:p>
      <w:pPr>
        <w:spacing w:after="0" w:line="121"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A 1.0 million share increase (decrease) in the number of shares of Class A common stock offered by us would increase (decrease), as applicable, our pro forma as adjusted net tangible book value as of July 2, 2022 by approximately $      million, our pro forma as adjusted net tangible book value per share by</w:t>
      </w:r>
    </w:p>
    <w:p>
      <w:pPr>
        <w:spacing w:after="0" w:line="1"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      per share and the dilution in pro forma as adjusted net tangible book value per share to new investors in this offering by $      per share, assuming that the assumed initial public offering price of $      per share, which is the midpoint of the price range set forth on the cover page of this prospectus, remains the same, and after deducting the estimated underwriting discounts and commissions and offering expenses.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Class A common stock in full at the assumed initial public offering price of $            per share, which is the midpoint of the price range set forth on the cover page of this prospectus, assuming the number of shares offered by us (as set forth on the cover page of this prospectus) remains the same, and after deducting the estimated underwriting discounts and commissions and offering expenses, the pro forma as adjusted net tangible book value per share after this offering would be approximately $            per share, and the dilution per share to investors purchasing shares of common stock in this offering would be approximately $            per share.</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Immediately following the completion of this offering, 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consists of an unaudited pro forma condensed combined balance sheet as of July 2, 2022, and unaudited pro forma condensed combined statements of operations for the six months ended July 2, 2022, and the year ended December 25, 2021.</w:t>
      </w:r>
    </w:p>
    <w:p>
      <w:pPr>
        <w:spacing w:after="0" w:line="323"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2, 2022, presents Mobileye Group’s combined financial position after giving pro forma effect to certain transactions, as described below, this offering and the use of the net proceeds from this offering, as described below (collectively, the “Transactions”), as if the Transactions occurred on July 2, 2022. The unaudited pro forma condensed combined statements of operations for the six months ended July 2, 2022, and the year ended December 25, 2021 present Mobileye Group’s combined results of operations after giving pro forma effect to the Transactions as if the Transactions occurred on December 27, 2020, the first day of fiscal year 2021.</w:t>
      </w:r>
    </w:p>
    <w:p>
      <w:pPr>
        <w:spacing w:after="0" w:line="11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has been prepared in conformity with Article 11 of Regulation S-X and is based on currently available information and certain estimates and assumptions. The adjustments in the unaudited pro forma condensed combined financial information have been identified and presented to provide relevant information necessary for an illustrative understanding of Mobileye Global Inc. and its wholly owned subsidiaries upon consummation of the Transactions. Assumptions and estimates underlying the unaudited pro forma adjustments set forth in the unaudited pro forma condensed combined financial information are described in the accompanying notes.</w:t>
      </w:r>
    </w:p>
    <w:p>
      <w:pPr>
        <w:spacing w:after="0" w:line="12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informational purposes only and is not necessarily indicative of financial results that would have been attained had the Transactions occurred on the dates indicated above and does not project our results of operations or financial position for any future period or as of any future date. The unaudited pro forma condensed combined financial information also does not give effect to the potential impact of any operating synergies or cost savings that may result from the Transactions. Our future results of operations or financial position may vary significantly from the results reflected in the unaudited pro forma condensed combined statements of operations and should not be relied on as an indication of our results after the consummation of the Transactions. See “Risk Factors—Risks Related to Our Relationship with Intel and Our Dual Class Structure —Our historical financial information may not be representative of our results as an independent public company.” However, we believe that the assumptions provide a reasonable basis for presenting the effects of the Transactions as contemplated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Reorganization and This Offering</w:t>
      </w:r>
    </w:p>
    <w:p>
      <w:pPr>
        <w:spacing w:after="0" w:line="148"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Mobileye Global Inc., the issuer, was incorporated to serve as the holding company that owns Mobileye Group. The following transactions were completed as part of the Reorganization:</w:t>
      </w:r>
    </w:p>
    <w:p>
      <w:pPr>
        <w:spacing w:after="0" w:line="68" w:lineRule="exact"/>
        <w:rPr>
          <w:sz w:val="20"/>
          <w:szCs w:val="20"/>
          <w:color w:val="auto"/>
        </w:rPr>
      </w:pPr>
    </w:p>
    <w:p>
      <w:pPr>
        <w:ind w:left="1800" w:right="8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net of cash paid to tax authorities to settle related tax obligations, which we completed on May 12, 2022;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 which we completed on April 21, 2022.</w:t>
      </w:r>
    </w:p>
    <w:p>
      <w:pPr>
        <w:spacing w:after="0" w:line="15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the impact of certain transactions, which comprise the following:</w:t>
      </w:r>
    </w:p>
    <w:p>
      <w:pPr>
        <w:spacing w:after="0" w:line="54" w:lineRule="exact"/>
        <w:rPr>
          <w:sz w:val="20"/>
          <w:szCs w:val="20"/>
          <w:color w:val="auto"/>
        </w:rPr>
      </w:pPr>
    </w:p>
    <w:p>
      <w:pPr>
        <w:ind w:left="1800" w:right="6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be awarded to employees;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events we expect to occur in connection with the offering are summarized below:</w:t>
      </w:r>
    </w:p>
    <w:p>
      <w:pPr>
        <w:spacing w:after="0" w:line="117" w:lineRule="exact"/>
        <w:rPr>
          <w:sz w:val="20"/>
          <w:szCs w:val="20"/>
          <w:color w:val="auto"/>
        </w:rPr>
      </w:pPr>
    </w:p>
    <w:p>
      <w:pPr>
        <w:ind w:left="1800" w:right="539" w:hanging="180"/>
        <w:spacing w:after="0" w:line="25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shares of our Class A common stock in this offering (assuming the underwriters do not exercise the option to purchase additional shares of our Class A common stock) at an assumed initial public offering price of $          per share (the midpoint of the price range set forth on the cover of this prospectus), after deducting the underwriting discounts and commissions and estimated offering expenses payable by us; and</w:t>
      </w:r>
    </w:p>
    <w:p>
      <w:pPr>
        <w:spacing w:after="0" w:line="75" w:lineRule="exact"/>
        <w:rPr>
          <w:rFonts w:ascii="Times New Roman" w:cs="Times New Roman" w:eastAsia="Times New Roman" w:hAnsi="Times New Roman"/>
          <w:sz w:val="18"/>
          <w:szCs w:val="18"/>
          <w:color w:val="auto"/>
        </w:rPr>
      </w:pPr>
    </w:p>
    <w:p>
      <w:pPr>
        <w:ind w:left="1800" w:right="18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portion of the net proceeds that we receive from this offering to repay approximately $        of indebtedness under the Dividend Note.</w:t>
      </w:r>
    </w:p>
    <w:p>
      <w:pPr>
        <w:spacing w:after="0" w:line="94"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Furthermore,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the Master Transaction Agreement provides that Intel will ensure that we will have $            in cash, cash equivalents, or marketable securities.</w:t>
      </w:r>
    </w:p>
    <w:p>
      <w:pPr>
        <w:spacing w:after="0" w:line="10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historical combined financial information has been derived from the combined financial statements of Mobileye Group and accompanying notes to the combined financial statements included elsewhere in this prospectus. Mobileye Global Inc. was formed in January 2022 and has no, and will not have any, material assets or results of operations until the completion of the Reorganization. Therefore, its historical financial information is not included in the unaudited pro forma condensed combined financial information. Following this offering, Mobileye Global Inc. will be a holding company with no operations and no material assets of its own other than its ownership interest in Mobileye Group.</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sections of this prospectus titled “Basis of Presentation,” “Prospectus Summary—Reorganization,” “Use of Proceeds,” “Capitalization,” “Management’s Discussion and Analysis of Financial Condition and Results of Operations,” “Certain Relationships and Related Party Transactions,” and the historical combined financial statements and accompanying notes, included elsewhere in this prospectus. All pro forma adjustments and their underlying assumptions are described more fully in the notes to these unaudited</w:t>
      </w:r>
    </w:p>
    <w:p>
      <w:pPr>
        <w:spacing w:after="0" w:line="5"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pro forma condensed combined balance sheet and unaudited pro forma condensed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AS OF JULY 2, 2022</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Pro</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1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​​Reorganization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 ​ 2,043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2,043​​​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 2,789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2,789​​​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​10,895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right w:val="single" w:sz="8" w:color="CCEEFF"/>
            </w:tcBorders>
            <w:gridSpan w:val="5"/>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5"/>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r>
              <w:rPr>
                <w:rFonts w:ascii="Times New Roman" w:cs="Times New Roman" w:eastAsia="Times New Roman" w:hAnsi="Times New Roman"/>
                <w:sz w:val="27"/>
                <w:szCs w:val="27"/>
                <w:b w:val="1"/>
                <w:bCs w:val="1"/>
                <w:color w:val="auto"/>
                <w:vertAlign w:val="subscript"/>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top w:val="single" w:sz="8" w:color="CCEEFF"/>
              <w:bottom w:val="single" w:sz="8" w:color="CCEEFF"/>
            </w:tcBorders>
            <w:gridSpan w:val="2"/>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vMerge w:val="restart"/>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CCEEFF"/>
              <w:bottom w:val="single" w:sz="8" w:color="CCEEFF"/>
            </w:tcBorders>
            <w:vMerge w:val="restart"/>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CCEEFF"/>
              <w:bottom w:val="single" w:sz="8" w:color="CCEEFF"/>
            </w:tcBorders>
            <w:vMerge w:val="restart"/>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gridSpan w:val="2"/>
            <w:vMerge w:val="restart"/>
          </w:tcPr>
          <w:p>
            <w:pPr>
              <w:ind w:left="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29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4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8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8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3,509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4,730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4,730</w:t>
            </w: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 4,963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4,963​​​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 ​​</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net investment</w:t>
            </w:r>
          </w:p>
        </w:tc>
        <w:tc>
          <w:tcPr>
            <w:tcW w:w="86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​11,223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 ​11,223​​​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w:t>
            </w: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​11,199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​11,199​​​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16,162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16,162​​​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47402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47745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-2510790</wp:posOffset>
            </wp:positionV>
            <wp:extent cx="4774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-3874135</wp:posOffset>
            </wp:positionV>
            <wp:extent cx="47745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-4482465</wp:posOffset>
            </wp:positionV>
            <wp:extent cx="4774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-5965825</wp:posOffset>
            </wp:positionV>
            <wp:extent cx="4629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-5965825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-5965825</wp:posOffset>
            </wp:positionV>
            <wp:extent cx="3086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-5965825</wp:posOffset>
            </wp:positionV>
            <wp:extent cx="24428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SIX MONTHS ENDED JULY 2, 2022 (IN MILLIONS EXCEPT SHARE AND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6"/>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12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2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54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854</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w:t>
            </w:r>
          </w:p>
        </w:tc>
        <w:tc>
          <w:tcPr>
            <w:tcW w:w="640" w:type="dxa"/>
            <w:vAlign w:val="bottom"/>
            <w:gridSpan w:val="4"/>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​405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​405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6"/>
                <w:szCs w:val="16"/>
                <w:color w:val="auto"/>
              </w:rPr>
            </w:pPr>
          </w:p>
        </w:tc>
        <w:tc>
          <w:tcPr>
            <w:tcW w:w="180" w:type="dxa"/>
            <w:vAlign w:val="bottom"/>
          </w:tcPr>
          <w:p>
            <w:pPr>
              <w:jc w:val="right"/>
              <w:ind w:right="5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6"/>
                <w:szCs w:val="16"/>
                <w:color w:val="auto"/>
              </w:rPr>
            </w:pPr>
          </w:p>
        </w:tc>
        <w:tc>
          <w:tcPr>
            <w:tcW w:w="16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2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​359</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​359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 ​​</w:t>
            </w:r>
          </w:p>
        </w:tc>
        <w:tc>
          <w:tcPr>
            <w:tcW w:w="6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w:t>
            </w:r>
          </w:p>
        </w:tc>
        <w:tc>
          <w:tcPr>
            <w:tcW w:w="640" w:type="dxa"/>
            <w:vAlign w:val="bottom"/>
            <w:tcBorders>
              <w:right w:val="single" w:sz="8" w:color="CCEEFF"/>
            </w:tcBorders>
            <w:gridSpan w:val="4"/>
            <w:shd w:val="clear" w:color="auto" w:fill="CCEEFF"/>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​441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vMerge w:val="continue"/>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with related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party, net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1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vMerge w:val="continue"/>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20" w:type="dxa"/>
            <w:vAlign w:val="bottom"/>
            <w:gridSpan w:val="3"/>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0</w:t>
            </w:r>
          </w:p>
        </w:tc>
        <w:tc>
          <w:tcPr>
            <w:tcW w:w="360" w:type="dxa"/>
            <w:vAlign w:val="bottom"/>
          </w:tcPr>
          <w:p>
            <w:pPr>
              <w:spacing w:after="0"/>
              <w:rPr>
                <w:sz w:val="24"/>
                <w:szCs w:val="24"/>
                <w:color w:val="auto"/>
              </w:rPr>
            </w:pPr>
          </w:p>
        </w:tc>
        <w:tc>
          <w:tcPr>
            <w:tcW w:w="4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640" w:type="dxa"/>
            <w:vAlign w:val="bottom"/>
            <w:gridSpan w:val="4"/>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300" w:type="dxa"/>
            <w:vAlign w:val="bottom"/>
            <w:gridSpan w:val="2"/>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perscript"/>
              </w:rPr>
              <w:t>$</w:t>
            </w:r>
          </w:p>
        </w:tc>
        <w:tc>
          <w:tcPr>
            <w:tcW w:w="4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4"/>
            <w:shd w:val="clear" w:color="auto" w:fill="CCEEFF"/>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(67)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vMerge w:val="continue"/>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7"/>
                <w:szCs w:val="17"/>
                <w:color w:val="auto"/>
              </w:rPr>
            </w:pPr>
          </w:p>
        </w:tc>
        <w:tc>
          <w:tcPr>
            <w:tcW w:w="18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7"/>
                <w:szCs w:val="17"/>
                <w:color w:val="auto"/>
              </w:rPr>
            </w:pPr>
          </w:p>
        </w:tc>
        <w:tc>
          <w:tcPr>
            <w:tcW w:w="16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4"/>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12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4"/>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 ​N/A</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-1362075</wp:posOffset>
            </wp:positionV>
            <wp:extent cx="52120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-3925570</wp:posOffset>
            </wp:positionV>
            <wp:extent cx="274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-3925570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-3925570</wp:posOffset>
            </wp:positionV>
            <wp:extent cx="274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25717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25, 2021 (IN MILLIONS EXCEPT SHARE AND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As Reported</w:t>
            </w:r>
          </w:p>
        </w:tc>
        <w:tc>
          <w:tcPr>
            <w:tcW w:w="12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0"/>
              </w:rPr>
              <w:t>Mobileye</w:t>
            </w:r>
          </w:p>
        </w:tc>
        <w:tc>
          <w:tcPr>
            <w:tcW w:w="1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2"/>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2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6"/>
                <w:szCs w:val="16"/>
                <w:color w:val="auto"/>
              </w:rPr>
            </w:pPr>
          </w:p>
        </w:tc>
        <w:tc>
          <w:tcPr>
            <w:tcW w:w="14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16"/>
                <w:szCs w:val="16"/>
                <w:color w:val="auto"/>
              </w:rPr>
            </w:pPr>
          </w:p>
        </w:tc>
        <w:tc>
          <w:tcPr>
            <w:tcW w:w="22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ind w:left="320"/>
              <w:spacing w:after="0" w:line="190"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 ​ ​</w:t>
            </w:r>
          </w:p>
        </w:tc>
        <w:tc>
          <w:tcPr>
            <w:tcW w:w="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 ​​ ​ ​</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(E)</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3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(expenses) with 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net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54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32"/>
                <w:szCs w:val="32"/>
                <w:color w:val="auto"/>
                <w:vertAlign w:val="subscript"/>
              </w:rPr>
              <w:t>​​​</w:t>
            </w:r>
          </w:p>
        </w:tc>
        <w:tc>
          <w:tcPr>
            <w:tcW w:w="80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vMerge w:val="continue"/>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6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32"/>
                <w:szCs w:val="32"/>
                <w:color w:val="auto"/>
                <w:vertAlign w:val="subscript"/>
              </w:rPr>
              <w:t>​​​</w:t>
            </w:r>
          </w:p>
        </w:tc>
        <w:tc>
          <w:tcPr>
            <w:tcW w:w="3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0</w:t>
            </w:r>
          </w:p>
        </w:tc>
        <w:tc>
          <w:tcPr>
            <w:tcW w:w="380" w:type="dxa"/>
            <w:vAlign w:val="bottom"/>
          </w:tcPr>
          <w:p>
            <w:pPr>
              <w:spacing w:after="0"/>
              <w:rPr>
                <w:sz w:val="24"/>
                <w:szCs w:val="24"/>
                <w:color w:val="auto"/>
              </w:rPr>
            </w:pPr>
          </w:p>
        </w:tc>
        <w:tc>
          <w:tcPr>
            <w:tcW w:w="700" w:type="dxa"/>
            <w:vAlign w:val="bottom"/>
            <w:gridSpan w:val="5"/>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54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32"/>
                <w:szCs w:val="32"/>
                <w:color w:val="auto"/>
                <w:vertAlign w:val="subscript"/>
              </w:rPr>
              <w:t>​​​</w:t>
            </w:r>
          </w:p>
        </w:tc>
        <w:tc>
          <w:tcPr>
            <w:tcW w:w="80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0</w:t>
            </w:r>
          </w:p>
        </w:tc>
        <w:tc>
          <w:tcPr>
            <w:tcW w:w="500" w:type="dxa"/>
            <w:vAlign w:val="bottom"/>
            <w:gridSpan w:val="3"/>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(G)</w:t>
            </w:r>
            <w:r>
              <w:rPr>
                <w:rFonts w:ascii="Times New Roman" w:cs="Times New Roman" w:eastAsia="Times New Roman" w:hAnsi="Times New Roman"/>
                <w:sz w:val="17"/>
                <w:szCs w:val="17"/>
                <w:color w:val="auto"/>
              </w:rPr>
              <w:t xml:space="preserve">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b w:val="1"/>
                <w:bCs w:val="1"/>
                <w:color w:val="auto"/>
                <w:vertAlign w:val="superscript"/>
              </w:rPr>
              <w:t>$</w:t>
            </w:r>
          </w:p>
        </w:tc>
        <w:tc>
          <w:tcPr>
            <w:tcW w:w="60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(75) </w:t>
            </w:r>
            <w:r>
              <w:rPr>
                <w:rFonts w:ascii="Times New Roman" w:cs="Times New Roman" w:eastAsia="Times New Roman" w:hAnsi="Times New Roman"/>
                <w:sz w:val="30"/>
                <w:szCs w:val="30"/>
                <w:color w:val="auto"/>
                <w:vertAlign w:val="subscript"/>
              </w:rPr>
              <w:t>​​​</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4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30"/>
                <w:szCs w:val="30"/>
                <w:color w:val="auto"/>
                <w:vertAlign w:val="subscript"/>
              </w:rPr>
              <w:t>​​​</w:t>
            </w:r>
          </w:p>
        </w:tc>
        <w:tc>
          <w:tcPr>
            <w:tcW w:w="800" w:type="dxa"/>
            <w:vAlign w:val="bottom"/>
            <w:gridSpan w:val="3"/>
            <w:shd w:val="clear" w:color="auto" w:fill="CCEEFF"/>
          </w:tcPr>
          <w:p>
            <w:pPr>
              <w:ind w:left="3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7"/>
                <w:szCs w:val="17"/>
                <w:color w:val="auto"/>
              </w:rPr>
            </w:pPr>
          </w:p>
        </w:tc>
        <w:tc>
          <w:tcPr>
            <w:tcW w:w="1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17"/>
                <w:szCs w:val="17"/>
                <w:color w:val="auto"/>
              </w:rPr>
            </w:pP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shd w:val="clear" w:color="auto" w:fill="CCEEFF"/>
          </w:tcPr>
          <w:p>
            <w:pPr>
              <w:spacing w:after="0"/>
              <w:rPr>
                <w:sz w:val="23"/>
                <w:szCs w:val="23"/>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shd w:val="clear" w:color="auto" w:fill="CCEEFF"/>
          </w:tcPr>
          <w:p>
            <w:pPr>
              <w:spacing w:after="0"/>
              <w:rPr>
                <w:sz w:val="21"/>
                <w:szCs w:val="21"/>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​​(H) ​​ ​ ​</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 ​ ​</w:t>
            </w:r>
          </w:p>
        </w:tc>
        <w:tc>
          <w:tcPr>
            <w:tcW w:w="320" w:type="dxa"/>
            <w:vAlign w:val="bottom"/>
            <w:shd w:val="clear" w:color="auto" w:fill="CCEEFF"/>
          </w:tcPr>
          <w:p>
            <w:pPr>
              <w:spacing w:after="0"/>
              <w:rPr>
                <w:sz w:val="23"/>
                <w:szCs w:val="23"/>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-1362075</wp:posOffset>
            </wp:positionV>
            <wp:extent cx="47231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231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7231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47231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47231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-3925570</wp:posOffset>
            </wp:positionV>
            <wp:extent cx="3003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-3925570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-3925570</wp:posOffset>
            </wp:positionV>
            <wp:extent cx="274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2537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158"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2, 2022 gives pro forma effect to the Transactions as if they occurred on July 2, 2022. The unaudited pro forma condensed combined statement of operations for the six months ended July 2, 2022 and the year ended December 25, 2021 gives pro forma effect to the Transactions as if they occurred on December 27, 2020, the first day of fiscal year 2021.</w:t>
      </w:r>
    </w:p>
    <w:p>
      <w:pPr>
        <w:spacing w:after="0" w:line="3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Mobileye has largely continued to operate as a standalone business and has not been fully integrated into Intel. Management believes the pro forma adjustments to reflect the operations and financial position of Mobileye as an autonomous entity under Regulation S-X are not expected to be material. We estimate that the total costs of doing business to operate as an autonomous entity under the Intercompany Agreements will reasonably approximate the total costs that have been attributed and allocated to our historical combined financial statements. Accordingly, we have not presented autonomous entity pro forma adjustments.</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The unaudited pro forma condensed combined financial information does not reflect any cost savings or operating synergies that may result from the Transactions.</w:t>
      </w:r>
    </w:p>
    <w:p>
      <w:pPr>
        <w:spacing w:after="0" w:line="96" w:lineRule="exact"/>
        <w:rPr>
          <w:sz w:val="20"/>
          <w:szCs w:val="20"/>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Reflected in the Unaudited Pro Forma Condensed Combined Financial Information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balance sheet:</w:t>
      </w:r>
    </w:p>
    <w:p>
      <w:pPr>
        <w:spacing w:after="0" w:line="95" w:lineRule="exact"/>
        <w:rPr>
          <w:sz w:val="20"/>
          <w:szCs w:val="20"/>
          <w:color w:val="auto"/>
        </w:rPr>
      </w:pPr>
    </w:p>
    <w:p>
      <w:pPr>
        <w:ind w:left="1620" w:right="479" w:firstLine="360"/>
        <w:spacing w:after="0" w:line="247" w:lineRule="auto"/>
        <w:tabs>
          <w:tab w:leader="none" w:pos="23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parent net investment and establishment of 100 shares of our common stock issued and outstanding, with a par value of $0.01 per share, and additional paid-in capital in connection with the legal entity reorganization and contribution of the Mobileye Group business from Intel to Mobileye Global Inc. The 100 shares of our common stock issued and outstanding will then be reclassified into             shares of Class B common stock immediately prior to the completion of this offering, with a par value of $0.01 per share.</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46" w:lineRule="auto"/>
        <w:tabs>
          <w:tab w:leader="none" w:pos="23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receipt of net proceeds from this offering of approximately $            (or approximately $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13" w:lineRule="exact"/>
        <w:rPr>
          <w:rFonts w:ascii="Times New Roman" w:cs="Times New Roman" w:eastAsia="Times New Roman" w:hAnsi="Times New Roman"/>
          <w:sz w:val="18"/>
          <w:szCs w:val="18"/>
          <w:color w:val="auto"/>
        </w:rPr>
      </w:pPr>
    </w:p>
    <w:p>
      <w:pPr>
        <w:ind w:left="1620" w:right="539" w:firstLine="360"/>
        <w:spacing w:after="0" w:line="282" w:lineRule="auto"/>
        <w:tabs>
          <w:tab w:leader="none" w:pos="23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and the settlement of the Dividend Note of approximately $        using a portion of the net proceeds raised from this offering.</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3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11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statement of operations for the six months ended July 2, 2022 and the year ended December 25, 2021.</w:t>
      </w:r>
    </w:p>
    <w:p>
      <w:pPr>
        <w:spacing w:after="0" w:line="102" w:lineRule="exact"/>
        <w:rPr>
          <w:sz w:val="20"/>
          <w:szCs w:val="20"/>
          <w:color w:val="auto"/>
        </w:rPr>
      </w:pPr>
    </w:p>
    <w:p>
      <w:pPr>
        <w:jc w:val="both"/>
        <w:ind w:left="1620" w:right="459" w:firstLine="360"/>
        <w:spacing w:after="0" w:line="247" w:lineRule="auto"/>
        <w:tabs>
          <w:tab w:leader="none" w:pos="23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stock-based compensation of approximately $            related to restricted stock units that will be awarded to employees upon completion of this offering. The estimated grant date fair value of these stock awards will be recognized ratably over the service periods ranging from             </w:t>
      </w:r>
    </w:p>
    <w:p>
      <w:pPr>
        <w:spacing w:after="0" w:line="1" w:lineRule="exact"/>
        <w:rPr>
          <w:rFonts w:ascii="Times New Roman" w:cs="Times New Roman" w:eastAsia="Times New Roman" w:hAnsi="Times New Roman"/>
          <w:sz w:val="18"/>
          <w:szCs w:val="18"/>
          <w:color w:val="auto"/>
        </w:rPr>
      </w:pPr>
    </w:p>
    <w:p>
      <w:pPr>
        <w:ind w:left="162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years. The grant date fair values of the restricted stock awards were determined based on the fair value of our underlying common stock as of the date of the grant using preliminary valuation</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82" w:lineRule="auto"/>
        <w:rPr>
          <w:sz w:val="20"/>
          <w:szCs w:val="20"/>
          <w:color w:val="auto"/>
        </w:rPr>
      </w:pPr>
      <w:r>
        <w:rPr>
          <w:rFonts w:ascii="Times New Roman" w:cs="Times New Roman" w:eastAsia="Times New Roman" w:hAnsi="Times New Roman"/>
          <w:sz w:val="18"/>
          <w:szCs w:val="18"/>
          <w:color w:val="auto"/>
        </w:rPr>
        <w:t>techniques with the most reliable information available. Actual results may differ from these estimates and such differences may be material.</w:t>
      </w:r>
    </w:p>
    <w:p>
      <w:pPr>
        <w:spacing w:after="0" w:line="94" w:lineRule="exact"/>
        <w:rPr>
          <w:sz w:val="20"/>
          <w:szCs w:val="20"/>
          <w:color w:val="auto"/>
        </w:rPr>
      </w:pPr>
    </w:p>
    <w:p>
      <w:pPr>
        <w:ind w:left="1620" w:right="1299" w:firstLine="360"/>
        <w:spacing w:after="0" w:line="282" w:lineRule="auto"/>
        <w:tabs>
          <w:tab w:leader="none" w:pos="2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expense in connection with the paydown of the $3.5 billion Dividend Note, using a portion of the net proceeds from this offering.</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63" w:lineRule="auto"/>
        <w:tabs>
          <w:tab w:leader="none" w:pos="2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as based on the statutory rate in effect for the historical periods presented, as such amounts are not material given the effects of impacts to our valuation allowance.</w:t>
      </w:r>
    </w:p>
    <w:p>
      <w:pPr>
        <w:spacing w:after="0" w:line="318"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net loss per share attributable to common stockholders is presented in conformity with the two-class method. Participation rights in undistributed earnings are equal between Class A and Class B common stock. Pro forma weighted-average shares outstanding is based on the number of shares of our common stock expected to be outstanding following this offering. The calculation includes               shares of our Class B common stock assumed issued to Intel as part of the Reorganization and                   shares of our Class A common stock assumed to be sold in this offering (assuming no exercise by the underwriters of their option to purchase additional shares of our Class A common stock). Diluted weighted-average pro forma shares is the same as basic weighted-average pro forma shares because potentially dilutive options to purchase additional common shares was not assumed to have been exercised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The additional week in fiscal year 2022 is added to the first quarter, making such quarter consist of 14 weeks.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July 2, 2022. We currently ship a variety of ADAS solutions to 13 of the 15 largest automakers in the world in addition to many smaller OEMs, and we are recognized for our top-rated safety solutions globally. For example, 66% of Euro New Car Assessment Programs (“NCAP”) 5-star rated vehicle models for 2018-2021 are equipped with our solutions.</w:t>
      </w:r>
    </w:p>
    <w:p>
      <w:pPr>
        <w:spacing w:after="0" w:line="34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Zeeker,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 cases where human input would be required. We are working to deploy Mobileye Drive™ through various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business-to-business and business-to-consumer channels through the formation of collaborations with potential partners around the world.</w:t>
      </w:r>
    </w:p>
    <w:p>
      <w:pPr>
        <w:spacing w:after="0" w:line="81"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 For the six months ended July 2, 2022, and June 26, 2021, our revenue was $854 million and $704 million, respectively, representing period-over-period growth of 21%. We recorded net losses of</w:t>
      </w:r>
    </w:p>
    <w:p>
      <w:pPr>
        <w:spacing w:after="0" w:line="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$75 million, $196 million, and $328 million in 2021, 2020, and 2019, respectively. We recorded a net loss of $67 million and net income of $4 million in the six months ended July 2, 2022, and March 27, 2021, respectively. Our Adjusted Net Income for 2021, 2020 and 2019 was $474 million, $289 million, and</w:t>
      </w:r>
    </w:p>
    <w:p>
      <w:pPr>
        <w:ind w:left="1260" w:right="779"/>
        <w:spacing w:after="0" w:line="243" w:lineRule="auto"/>
        <w:rPr>
          <w:sz w:val="20"/>
          <w:szCs w:val="20"/>
          <w:color w:val="auto"/>
        </w:rPr>
      </w:pPr>
      <w:r>
        <w:rPr>
          <w:rFonts w:ascii="Times New Roman" w:cs="Times New Roman" w:eastAsia="Times New Roman" w:hAnsi="Times New Roman"/>
          <w:sz w:val="18"/>
          <w:szCs w:val="18"/>
          <w:color w:val="auto"/>
        </w:rPr>
        <w:t>$51 million, respectively. Our Adjusted Net Income for the six months ended July 2, 2022, and June 26, 2021, was $276 million and $270 million, respectively.</w:t>
      </w:r>
    </w:p>
    <w:p>
      <w:pPr>
        <w:spacing w:after="0" w:line="11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53-week fiscal year while 2021, 2020, and 2019 are 52-week fiscal years. However, the inclusion of the additional week did not have a material impact on our revenue and cost of revenue as the timing of deliveries to customers is not consistent from week-to-week. Further, most of our expenses (such as payroll) are incurred on a monthly basis and, as such, the accrual for the additional week did not materially impact our results of operations.</w:t>
      </w:r>
    </w:p>
    <w:p>
      <w:pPr>
        <w:spacing w:after="0" w:line="11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are consummating the following transactions:</w:t>
      </w:r>
    </w:p>
    <w:p>
      <w:pPr>
        <w:spacing w:after="0" w:line="74" w:lineRule="exact"/>
        <w:rPr>
          <w:sz w:val="20"/>
          <w:szCs w:val="20"/>
          <w:color w:val="auto"/>
        </w:rPr>
      </w:pPr>
    </w:p>
    <w:p>
      <w:pPr>
        <w:ind w:left="1800" w:right="8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from Intel of 100% of the issued and outstanding equity interests of the Moovit entities, which we completed on May 31, 2022;</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certain employees and acquisition of certain assets, in each case, relating to the Mobileye business from Intel, which we have substantially completed as of July 2, 2022;</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net of cash paid to tax authorities to settle related tax obligations, which we completed on May 12, 2022;</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 which we completed on April 21, 2022;</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54"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For further information and descriptions of the transactions in the Reorganization, see “Certain Relationships and Related Party Transactions” and “Unaudited Pro Forma Condensed Combined Financial Information.”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Since our founding in 1999, we have focused on creating mission-critical and vision solutions for the automotive market. We had our first series production win with three OEMs in 2007. Since launching our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60" w:right="739"/>
        <w:spacing w:after="0" w:line="210" w:lineRule="auto"/>
        <w:rPr>
          <w:sz w:val="20"/>
          <w:szCs w:val="20"/>
          <w:color w:val="auto"/>
        </w:rPr>
      </w:pPr>
      <w:r>
        <w:rPr>
          <w:rFonts w:ascii="Times New Roman" w:cs="Times New Roman" w:eastAsia="Times New Roman" w:hAnsi="Times New Roman"/>
          <w:sz w:val="18"/>
          <w:szCs w:val="18"/>
          <w:color w:val="auto"/>
        </w:rPr>
        <w:t>first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in 2007, we have reached a massive installed base, and we shipped our 100 millionth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in 2021. We have developed five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which represent our prior and current generation of SoCs, and are in the process of developing two future generations of our SoCs.</w:t>
      </w:r>
    </w:p>
    <w:p>
      <w:pPr>
        <w:spacing w:after="0" w:line="1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131445</wp:posOffset>
            </wp:positionV>
            <wp:extent cx="4954905" cy="24174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5490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China, Israel, Detroit, Miami, Munich, Paris, Stuttgart and Tokyo.</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48"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 the future, propelled by our next generation AV- 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w:t>
      </w:r>
    </w:p>
    <w:p>
      <w:pPr>
        <w:ind w:left="1260" w:right="539"/>
        <w:spacing w:after="0" w:line="243" w:lineRule="auto"/>
        <w:rPr>
          <w:sz w:val="20"/>
          <w:szCs w:val="20"/>
          <w:color w:val="auto"/>
        </w:rPr>
      </w:pPr>
      <w:r>
        <w:rPr>
          <w:rFonts w:ascii="Times New Roman" w:cs="Times New Roman" w:eastAsia="Times New Roman" w:hAnsi="Times New Roman"/>
          <w:sz w:val="18"/>
          <w:szCs w:val="18"/>
          <w:color w:val="auto"/>
        </w:rPr>
        <w:t>to Tier 1 automotive suppliers. We typically sell our products with volume-based pricing and recognize the revenue and costs associated with our products upon shipment.</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12" w:lineRule="exact"/>
        <w:rPr>
          <w:sz w:val="20"/>
          <w:szCs w:val="20"/>
          <w:color w:val="auto"/>
        </w:rPr>
      </w:pPr>
    </w:p>
    <w:p>
      <w:pPr>
        <w:jc w:val="both"/>
        <w:ind w:left="1260" w:right="659" w:firstLine="360"/>
        <w:spacing w:after="0" w:line="220"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our family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with STMicroelectronics. We have also established a relationship with Quanta</w:t>
      </w:r>
    </w:p>
    <w:p>
      <w:pPr>
        <w:spacing w:after="0" w:line="1" w:lineRule="exact"/>
        <w:rPr>
          <w:sz w:val="20"/>
          <w:szCs w:val="20"/>
          <w:color w:val="auto"/>
        </w:rPr>
      </w:pPr>
    </w:p>
    <w:p>
      <w:pPr>
        <w:ind w:left="1260" w:right="1059"/>
        <w:spacing w:after="0" w:line="238" w:lineRule="auto"/>
        <w:rPr>
          <w:sz w:val="20"/>
          <w:szCs w:val="20"/>
          <w:color w:val="auto"/>
        </w:rPr>
      </w:pPr>
      <w:r>
        <w:rPr>
          <w:rFonts w:ascii="Times New Roman" w:cs="Times New Roman" w:eastAsia="Times New Roman" w:hAnsi="Times New Roman"/>
          <w:sz w:val="18"/>
          <w:szCs w:val="18"/>
          <w:color w:val="auto"/>
        </w:rPr>
        <w:t>Computer to develop and assemble our ECUs, including the design for our Mobileye SuperVision™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manufactured by STMicroelectronics.</w:t>
      </w:r>
    </w:p>
    <w:p>
      <w:pPr>
        <w:spacing w:after="0" w:line="45"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which we may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34" w:lineRule="auto"/>
        <w:rPr>
          <w:sz w:val="20"/>
          <w:szCs w:val="20"/>
          <w:color w:val="auto"/>
        </w:rPr>
      </w:pPr>
      <w:r>
        <w:rPr>
          <w:rFonts w:ascii="Times New Roman" w:cs="Times New Roman" w:eastAsia="Times New Roman" w:hAnsi="Times New Roman"/>
          <w:sz w:val="18"/>
          <w:szCs w:val="18"/>
          <w:color w:val="auto"/>
        </w:rPr>
        <w:t>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9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Morever,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$854 million in the first six months of 2022 was up 21% year-over-year, outperforming the increase of global automotive production, which was relatively flat year-over-year.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12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As of July 2, 2022, our solutions had been installed in approximately 800 vehicle models (including local country, year, and other vehicle model variations), and our SoCs had been deployed in over 117 million vehicles. We are actively working with more than 50 OEMs worldwide on the implementation of our ADAS solutions, and we announced over 40 new design wins in 2021.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of 2022 design wins and 50 million vehicles based on our 2021 design wins.</w:t>
      </w:r>
    </w:p>
    <w:p>
      <w:pPr>
        <w:spacing w:after="0" w:line="345"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and design highly advanced and cost-efficient ADAS and AV solutions will position us to extend our technology leadership and encourage greater adoption of our solutions by enabling greater levels of</w:t>
      </w: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419"/>
        <w:spacing w:after="0" w:line="232" w:lineRule="auto"/>
        <w:rPr>
          <w:sz w:val="20"/>
          <w:szCs w:val="20"/>
          <w:color w:val="auto"/>
        </w:rPr>
      </w:pPr>
      <w:r>
        <w:rPr>
          <w:rFonts w:ascii="Times New Roman" w:cs="Times New Roman" w:eastAsia="Times New Roman" w:hAnsi="Times New Roman"/>
          <w:sz w:val="18"/>
          <w:szCs w:val="18"/>
          <w:color w:val="auto"/>
        </w:rPr>
        <w:t>autonomy. We also believe that our roadmap for future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further enables scalable ECU architectures, supporting a variety of ADAS solution architectures, and our recently announced EyeQ Ultra™ AV-on-Chip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 -cost scale solution with low power-consumption,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2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66%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32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15"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and gross margin, as our prices vary significantly across our solutions. The price of our solutions</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31" w:lineRule="auto"/>
        <w:rPr>
          <w:sz w:val="20"/>
          <w:szCs w:val="20"/>
          <w:color w:val="auto"/>
        </w:rPr>
      </w:pPr>
      <w:r>
        <w:rPr>
          <w:rFonts w:ascii="Times New Roman" w:cs="Times New Roman" w:eastAsia="Times New Roman" w:hAnsi="Times New Roman"/>
          <w:sz w:val="18"/>
          <w:szCs w:val="18"/>
          <w:color w:val="auto"/>
        </w:rPr>
        <w:t>depends on the bundle of applications that are included in the specific product. Our solutions have different margin profiles. As we develop and sell full systems that include hardware beyond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we expect that our gross margin will decrease on a percentage basis because of the greater hardware content. However, as a result of a higher expected selling price for such systems, we expect our gross profit per unit will increase on a dollar basis.</w:t>
      </w:r>
    </w:p>
    <w:p>
      <w:pPr>
        <w:spacing w:after="0" w:line="11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117"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and through the first half of 2022,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and, due to continuing supply chain constraints, we are operating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to fulfill customer orders and are unable to offset future supply constraints through the use of inventory on hand. The limited supply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has already led to rescheduling deliveries to our customers on certain occasions and may continue to cause delays in our ability to fulfill our customers’ orders as scheduled. Our results of operations in the six months ended July 2nd, 2022 have not been impacted by the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29"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public company, we will be implementing additional procedures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for the 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following this offering will reflect the impact of these expenses. We also expect the costs of our insurance, including directors’ and officers’ insurance and insurance coverage for AV activity, to increase as a result of higher premiums.</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1260" w:right="519" w:firstLine="360"/>
        <w:spacing w:after="0" w:line="238"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00"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94%, 93%, and 91% of our revenue for each of the years 2021, 2020 and 2019, respectively. Sales of our aftermarket products represented the majority of the remainder of our revenue for 2021, 2020 and 2019.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and from the sale of our aftermarket products is recognized at the time of product shipment from our facilities, as determined by the agreed-upon shipping terms.</w:t>
      </w:r>
    </w:p>
    <w:p>
      <w:pPr>
        <w:spacing w:after="0" w:line="98" w:lineRule="exact"/>
        <w:rPr>
          <w:sz w:val="20"/>
          <w:szCs w:val="20"/>
          <w:color w:val="auto"/>
        </w:rPr>
      </w:pPr>
    </w:p>
    <w:p>
      <w:pPr>
        <w:ind w:left="1260" w:right="499" w:firstLine="360"/>
        <w:spacing w:after="0" w:line="236" w:lineRule="auto"/>
        <w:rPr>
          <w:sz w:val="20"/>
          <w:szCs w:val="20"/>
          <w:color w:val="auto"/>
        </w:rPr>
      </w:pPr>
      <w:r>
        <w:rPr>
          <w:rFonts w:ascii="Times New Roman" w:cs="Times New Roman" w:eastAsia="Times New Roman" w:hAnsi="Times New Roman"/>
          <w:sz w:val="18"/>
          <w:szCs w:val="18"/>
          <w:color w:val="auto"/>
        </w:rPr>
        <w:t>For the six months ended July 2, 2022 and June 26, 2021,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92% and 95% of our revenue, respectively.</w:t>
      </w:r>
    </w:p>
    <w:p>
      <w:pPr>
        <w:spacing w:after="0" w:line="11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sales to any single Tier 1 automotive supplier typically cover more than one OEM and more than one production program from any OEM.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7" w:lineRule="exact"/>
        <w:rPr>
          <w:sz w:val="20"/>
          <w:szCs w:val="20"/>
          <w:color w:val="auto"/>
        </w:rPr>
      </w:pPr>
    </w:p>
    <w:p>
      <w:pPr>
        <w:ind w:left="1260" w:right="519" w:firstLine="360"/>
        <w:spacing w:after="0" w:line="226"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personnel-related expenses, including share-based compensation for employees on our operations teams, logistics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facilities, equipment and supplies for research and development activities including share-based compensation,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material, parts and other prototype development, cloud computing services, consulting, and other professional services, including data labeling, quality assurance within the development programs, and allocated overhead costs.</w:t>
      </w:r>
    </w:p>
    <w:p>
      <w:pPr>
        <w:spacing w:after="0" w:line="10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12" w:lineRule="exact"/>
        <w:rPr>
          <w:sz w:val="20"/>
          <w:szCs w:val="20"/>
          <w:color w:val="auto"/>
        </w:rPr>
      </w:pPr>
    </w:p>
    <w:p>
      <w:pPr>
        <w:ind w:left="1260" w:right="559" w:firstLine="360"/>
        <w:spacing w:after="0" w:line="229"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enhancements, and the</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productization of our AV solutions and active sensor suite.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6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0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 -Oxley Act and other SEC rules and regulations as well as increased premiums for directors’ and officers’ insurance and the increased use of share-based compensation for general and administrative personnel.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acquisition of Mobileye in 2017, we entered into a loan agreement with Intel. The loan amount of $15.3 billion bore interest at a rate based on the short term quarterly Applicable Federal Rate published by the Internal Revenue Service. In 2019, the outstanding principal balance of $15.3 billion was converted to equity as a contribution by Intel and the amount of $679 million accumulated interest on the loan was converted to equity in 2020.</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On April 21, 2022, we and Intel entered into a loan agreement whereby we distributed to Intel the Dividend Note in an aggregate principal amount of $ 3.5 billion. The Dividend Note is scheduled to mature on April 21, 2025 and accrues interest at a rate equal to 1.26% per annum, such interest to accrue quarterly. In the six months ended July 2, 2022, accrued interest expense was $9 million.</w:t>
      </w:r>
    </w:p>
    <w:p>
      <w:pPr>
        <w:spacing w:after="0" w:line="11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Our interest income consisted of interest earned on a loan to Intel in the amount of $901 million as of July 2, 2022 and $1.3 billion as of each of December 25, 2021 and December 26, 2020.</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1" w:lineRule="auto"/>
        <w:rPr>
          <w:sz w:val="20"/>
          <w:szCs w:val="20"/>
          <w:color w:val="auto"/>
        </w:rPr>
      </w:pPr>
      <w:r>
        <w:rPr>
          <w:rFonts w:ascii="Times New Roman" w:cs="Times New Roman" w:eastAsia="Times New Roman" w:hAnsi="Times New Roman"/>
          <w:sz w:val="18"/>
          <w:szCs w:val="18"/>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05"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present tax loss carry-forward amounts that have not been utilized by Intel only to the extent such tax attributes can be claimed on a separate income tax return as opposed to a consolidated income tax return filing with Intel. The use of the separate return method may result in differences between our income tax provision compared to Intel’s income tax provision.</w:t>
      </w:r>
    </w:p>
    <w:p>
      <w:pPr>
        <w:spacing w:after="0" w:line="35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United States as a branch entity. In the six months ended July 2, 2022, Moovit’s Israeli operations became taxable in the United States as a branch entity. As a result, these operations are taxed both in the United States and Israel. For U.S. tax purposes, there are favorable future tax deductions that we could not benefit from due to a valuation allowance position. If warranted in the future by our actual and projected profitability, the valuation allowances may be released, resulting in a benefit at that time. The valuation allowance also resulted in a residual tax expense associated with a deferred tax liability recorded for goodwill in the year ended December 25, 2021 and the six months ended July 2, 2022.</w:t>
      </w:r>
    </w:p>
    <w:p>
      <w:pPr>
        <w:spacing w:after="0" w:line="12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22"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0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 of</w:t>
            </w: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2"/>
              </w:rPr>
              <w:t>% of</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960" w:type="dxa"/>
            <w:vAlign w:val="bottom"/>
            <w:gridSpan w:val="3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Amount</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​$854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​$704 ​​​</w:t>
            </w:r>
          </w:p>
        </w:tc>
        <w:tc>
          <w:tcPr>
            <w:tcW w:w="1200" w:type="dxa"/>
            <w:vAlign w:val="bottom"/>
            <w:gridSpan w:val="7"/>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​100%​​​​$1,386​​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​$ 967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​$ 879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gridSpan w:val="4"/>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​449 </w:t>
            </w:r>
            <w:r>
              <w:rPr>
                <w:rFonts w:ascii="Times New Roman" w:cs="Times New Roman" w:eastAsia="Times New Roman" w:hAnsi="Times New Roman"/>
                <w:sz w:val="31"/>
                <w:szCs w:val="31"/>
                <w:color w:val="auto"/>
                <w:vertAlign w:val="subscript"/>
              </w:rPr>
              <w:t>​</w:t>
            </w:r>
          </w:p>
        </w:tc>
        <w:tc>
          <w:tcPr>
            <w:tcW w:w="1260" w:type="dxa"/>
            <w:vAlign w:val="bottom"/>
            <w:gridSpan w:val="9"/>
          </w:tcPr>
          <w:p>
            <w:pPr>
              <w:jc w:val="right"/>
              <w:ind w:right="1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53%</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​356</w:t>
            </w:r>
            <w:r>
              <w:rPr>
                <w:rFonts w:ascii="Times New Roman" w:cs="Times New Roman" w:eastAsia="Times New Roman" w:hAnsi="Times New Roman"/>
                <w:sz w:val="17"/>
                <w:szCs w:val="17"/>
                <w:color w:val="auto"/>
              </w:rPr>
              <w:t xml:space="preserve"> ​​​</w:t>
            </w:r>
          </w:p>
        </w:tc>
        <w:tc>
          <w:tcPr>
            <w:tcW w:w="720" w:type="dxa"/>
            <w:vAlign w:val="bottom"/>
            <w:gridSpan w:val="5"/>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23"/>
              <w:spacing w:after="0" w:line="269" w:lineRule="exact"/>
              <w:rPr>
                <w:sz w:val="20"/>
                <w:szCs w:val="20"/>
                <w:color w:val="auto"/>
              </w:rPr>
            </w:pPr>
            <w:r>
              <w:rPr>
                <w:rFonts w:ascii="Times New Roman" w:cs="Times New Roman" w:eastAsia="Times New Roman" w:hAnsi="Times New Roman"/>
                <w:sz w:val="17"/>
                <w:szCs w:val="17"/>
                <w:color w:val="auto"/>
              </w:rPr>
              <w:t>731</w:t>
            </w:r>
            <w:r>
              <w:rPr>
                <w:rFonts w:ascii="Times New Roman" w:cs="Times New Roman" w:eastAsia="Times New Roman" w:hAnsi="Times New Roman"/>
                <w:sz w:val="31"/>
                <w:szCs w:val="31"/>
                <w:color w:val="auto"/>
                <w:vertAlign w:val="subscript"/>
              </w:rPr>
              <w:t>​​</w:t>
            </w:r>
          </w:p>
        </w:tc>
        <w:tc>
          <w:tcPr>
            <w:tcW w:w="1220" w:type="dxa"/>
            <w:vAlign w:val="bottom"/>
            <w:gridSpan w:val="7"/>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53%</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​591</w:t>
            </w:r>
            <w:r>
              <w:rPr>
                <w:rFonts w:ascii="Times New Roman" w:cs="Times New Roman" w:eastAsia="Times New Roman" w:hAnsi="Times New Roman"/>
                <w:sz w:val="17"/>
                <w:szCs w:val="17"/>
                <w:color w:val="auto"/>
              </w:rPr>
              <w:t xml:space="preserve"> ​​​</w:t>
            </w:r>
          </w:p>
        </w:tc>
        <w:tc>
          <w:tcPr>
            <w:tcW w:w="1220" w:type="dxa"/>
            <w:vAlign w:val="bottom"/>
            <w:gridSpan w:val="7"/>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 61%</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​456</w:t>
            </w:r>
            <w:r>
              <w:rPr>
                <w:rFonts w:ascii="Times New Roman" w:cs="Times New Roman" w:eastAsia="Times New Roman" w:hAnsi="Times New Roman"/>
                <w:sz w:val="17"/>
                <w:szCs w:val="17"/>
                <w:color w:val="auto"/>
              </w:rPr>
              <w:t xml:space="preserve"> ​​​</w:t>
            </w:r>
          </w:p>
        </w:tc>
        <w:tc>
          <w:tcPr>
            <w:tcW w:w="4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52%</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​405</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47%​​​ ​ ​348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655​​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47%​​​ ​ ​376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39%​​​ ​ ​423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spacing w:after="0"/>
              <w:rPr>
                <w:sz w:val="22"/>
                <w:szCs w:val="22"/>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80" w:type="dxa"/>
            <w:vAlign w:val="bottom"/>
          </w:tcPr>
          <w:p>
            <w:pPr>
              <w:spacing w:after="0"/>
              <w:rPr>
                <w:sz w:val="22"/>
                <w:szCs w:val="22"/>
                <w:color w:val="auto"/>
              </w:rPr>
            </w:pP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​359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 ​ ​258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544​​</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39%​​​ ​ ​440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 ​ ​384 ​​​</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xml:space="preserve">​ </w:t>
            </w:r>
            <w:r>
              <w:rPr>
                <w:rFonts w:ascii="Times New Roman" w:cs="Times New Roman" w:eastAsia="Times New Roman" w:hAnsi="Times New Roman"/>
                <w:sz w:val="18"/>
                <w:szCs w:val="18"/>
                <w:color w:val="auto"/>
                <w:w w:val="95"/>
              </w:rPr>
              <w:t>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64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7%​​​ ​ ​ 65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8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10%​​​ ​ ​ 116 ​​​</w:t>
            </w:r>
          </w:p>
        </w:tc>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12%​​​ ​ ​100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General and administrative</w:t>
            </w:r>
          </w:p>
        </w:tc>
        <w:tc>
          <w:tcPr>
            <w:tcW w:w="50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 ​</w:t>
            </w:r>
            <w:r>
              <w:rPr>
                <w:rFonts w:ascii="Times New Roman" w:cs="Times New Roman" w:eastAsia="Times New Roman" w:hAnsi="Times New Roman"/>
                <w:sz w:val="17"/>
                <w:szCs w:val="17"/>
                <w:color w:val="auto"/>
                <w:shd w:val="clear" w:color="auto" w:fill="CCEEFF"/>
              </w:rPr>
              <w:t xml:space="preserve"> ​ 18</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0" w:type="dxa"/>
            <w:vAlign w:val="bottom"/>
            <w:tcBorders>
              <w:right w:val="single" w:sz="8" w:color="CCEEFF"/>
            </w:tcBorders>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1120" w:type="dxa"/>
            <w:vAlign w:val="bottom"/>
            <w:tcBorders>
              <w:right w:val="single" w:sz="8" w:color="CCEEFF"/>
            </w:tcBorders>
            <w:gridSpan w:val="8"/>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 18</w:t>
            </w:r>
            <w:r>
              <w:rPr>
                <w:rFonts w:ascii="Times New Roman" w:cs="Times New Roman" w:eastAsia="Times New Roman" w:hAnsi="Times New Roman"/>
                <w:sz w:val="17"/>
                <w:szCs w:val="17"/>
                <w:color w:val="auto"/>
                <w:shd w:val="clear" w:color="auto" w:fill="CCEEFF"/>
              </w:rPr>
              <w:t xml:space="preserve"> ​​​</w:t>
            </w:r>
          </w:p>
        </w:tc>
        <w:tc>
          <w:tcPr>
            <w:tcW w:w="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w:t>
            </w:r>
            <w:r>
              <w:rPr>
                <w:rFonts w:ascii="Times New Roman" w:cs="Times New Roman" w:eastAsia="Times New Roman" w:hAnsi="Times New Roman"/>
                <w:sz w:val="17"/>
                <w:szCs w:val="17"/>
                <w:color w:val="auto"/>
                <w:shd w:val="clear" w:color="auto" w:fill="CCEEFF"/>
              </w:rPr>
              <w:t xml:space="preserve">​​​​ </w:t>
            </w:r>
            <w:r>
              <w:rPr>
                <w:rFonts w:ascii="Times New Roman" w:cs="Times New Roman" w:eastAsia="Times New Roman" w:hAnsi="Times New Roman"/>
                <w:sz w:val="31"/>
                <w:szCs w:val="31"/>
                <w:color w:val="auto"/>
                <w:vertAlign w:val="superscript"/>
                <w:shd w:val="clear" w:color="auto" w:fill="CCEEFF"/>
              </w:rPr>
              <w:t>​</w:t>
            </w:r>
          </w:p>
        </w:tc>
        <w:tc>
          <w:tcPr>
            <w:tcW w:w="480" w:type="dxa"/>
            <w:vAlign w:val="bottom"/>
            <w:gridSpan w:val="2"/>
            <w:shd w:val="clear" w:color="auto" w:fill="CCEEFF"/>
          </w:tcPr>
          <w:p>
            <w:pPr>
              <w:jc w:val="right"/>
              <w:ind w:right="23"/>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34</w:t>
            </w:r>
            <w:r>
              <w:rPr>
                <w:rFonts w:ascii="Times New Roman" w:cs="Times New Roman" w:eastAsia="Times New Roman" w:hAnsi="Times New Roman"/>
                <w:sz w:val="17"/>
                <w:szCs w:val="17"/>
                <w:color w:val="auto"/>
                <w:shd w:val="clear" w:color="auto" w:fill="CCEEFF"/>
              </w:rPr>
              <w:t>​​</w:t>
            </w:r>
          </w:p>
        </w:tc>
        <w:tc>
          <w:tcPr>
            <w:tcW w:w="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w:t>
            </w:r>
          </w:p>
        </w:tc>
        <w:tc>
          <w:tcPr>
            <w:tcW w:w="500" w:type="dxa"/>
            <w:vAlign w:val="bottom"/>
            <w:tcBorders>
              <w:right w:val="single" w:sz="8" w:color="CCEEFF"/>
            </w:tcBorders>
            <w:gridSpan w:val="2"/>
            <w:shd w:val="clear" w:color="auto" w:fill="CCEEFF"/>
          </w:tcPr>
          <w:p>
            <w:pPr>
              <w:jc w:val="right"/>
              <w:ind w:right="17"/>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33</w:t>
            </w:r>
            <w:r>
              <w:rPr>
                <w:rFonts w:ascii="Times New Roman" w:cs="Times New Roman" w:eastAsia="Times New Roman" w:hAnsi="Times New Roman"/>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7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3%</w:t>
            </w:r>
            <w:r>
              <w:rPr>
                <w:rFonts w:ascii="Times New Roman" w:cs="Times New Roman" w:eastAsia="Times New Roman" w:hAnsi="Times New Roman"/>
                <w:sz w:val="17"/>
                <w:szCs w:val="17"/>
                <w:color w:val="auto"/>
                <w:shd w:val="clear" w:color="auto" w:fill="CCEEFF"/>
              </w:rPr>
              <w:t xml:space="preserve">​​​ ​ </w:t>
            </w:r>
            <w:r>
              <w:rPr>
                <w:rFonts w:ascii="Times New Roman" w:cs="Times New Roman" w:eastAsia="Times New Roman" w:hAnsi="Times New Roman"/>
                <w:sz w:val="31"/>
                <w:szCs w:val="31"/>
                <w:color w:val="auto"/>
                <w:vertAlign w:val="superscript"/>
                <w:shd w:val="clear" w:color="auto" w:fill="CCEEFF"/>
              </w:rPr>
              <w:t>​</w:t>
            </w:r>
          </w:p>
        </w:tc>
        <w:tc>
          <w:tcPr>
            <w:tcW w:w="460" w:type="dxa"/>
            <w:vAlign w:val="bottom"/>
            <w:tcBorders>
              <w:right w:val="single" w:sz="8" w:color="CCEEFF"/>
            </w:tcBorders>
            <w:gridSpan w:val="2"/>
            <w:shd w:val="clear" w:color="auto" w:fill="CCEEFF"/>
          </w:tcPr>
          <w:p>
            <w:pPr>
              <w:jc w:val="right"/>
              <w:ind w:right="55"/>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25</w:t>
            </w:r>
            <w:r>
              <w:rPr>
                <w:rFonts w:ascii="Times New Roman" w:cs="Times New Roman" w:eastAsia="Times New Roman" w:hAnsi="Times New Roman"/>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shd w:val="clear" w:color="auto" w:fill="CCEEFF"/>
              </w:rPr>
              <w:t>​</w:t>
            </w:r>
            <w:r>
              <w:rPr>
                <w:rFonts w:ascii="Times New Roman" w:cs="Times New Roman" w:eastAsia="Times New Roman" w:hAnsi="Times New Roman"/>
                <w:sz w:val="31"/>
                <w:szCs w:val="31"/>
                <w:color w:val="auto"/>
                <w:vertAlign w:val="superscript"/>
                <w:shd w:val="clear" w:color="auto" w:fill="CCEEFF"/>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​441 </w:t>
            </w:r>
            <w:r>
              <w:rPr>
                <w:rFonts w:ascii="Times New Roman" w:cs="Times New Roman" w:eastAsia="Times New Roman" w:hAnsi="Times New Roman"/>
                <w:sz w:val="30"/>
                <w:szCs w:val="30"/>
                <w:color w:val="auto"/>
                <w:vertAlign w:val="subscript"/>
              </w:rPr>
              <w:t>​</w:t>
            </w:r>
          </w:p>
        </w:tc>
        <w:tc>
          <w:tcPr>
            <w:tcW w:w="1260" w:type="dxa"/>
            <w:vAlign w:val="bottom"/>
            <w:gridSpan w:val="9"/>
          </w:tcPr>
          <w:p>
            <w:pPr>
              <w:jc w:val="right"/>
              <w:ind w:right="1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52%</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​341</w:t>
            </w:r>
            <w:r>
              <w:rPr>
                <w:rFonts w:ascii="Times New Roman" w:cs="Times New Roman" w:eastAsia="Times New Roman" w:hAnsi="Times New Roman"/>
                <w:sz w:val="16"/>
                <w:szCs w:val="16"/>
                <w:color w:val="auto"/>
              </w:rPr>
              <w:t xml:space="preserve"> ​​​</w:t>
            </w:r>
          </w:p>
        </w:tc>
        <w:tc>
          <w:tcPr>
            <w:tcW w:w="720" w:type="dxa"/>
            <w:vAlign w:val="bottom"/>
            <w:gridSpan w:val="5"/>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48%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ind w:right="23"/>
              <w:spacing w:after="0" w:line="264" w:lineRule="exact"/>
              <w:rPr>
                <w:sz w:val="20"/>
                <w:szCs w:val="20"/>
                <w:color w:val="auto"/>
              </w:rPr>
            </w:pPr>
            <w:r>
              <w:rPr>
                <w:rFonts w:ascii="Times New Roman" w:cs="Times New Roman" w:eastAsia="Times New Roman" w:hAnsi="Times New Roman"/>
                <w:sz w:val="16"/>
                <w:szCs w:val="16"/>
                <w:color w:val="auto"/>
              </w:rPr>
              <w:t>712</w:t>
            </w:r>
            <w:r>
              <w:rPr>
                <w:rFonts w:ascii="Times New Roman" w:cs="Times New Roman" w:eastAsia="Times New Roman" w:hAnsi="Times New Roman"/>
                <w:sz w:val="30"/>
                <w:szCs w:val="30"/>
                <w:color w:val="auto"/>
                <w:vertAlign w:val="subscript"/>
              </w:rPr>
              <w:t>​​</w:t>
            </w:r>
          </w:p>
        </w:tc>
        <w:tc>
          <w:tcPr>
            <w:tcW w:w="1220" w:type="dxa"/>
            <w:vAlign w:val="bottom"/>
            <w:gridSpan w:val="7"/>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51%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​589</w:t>
            </w:r>
            <w:r>
              <w:rPr>
                <w:rFonts w:ascii="Times New Roman" w:cs="Times New Roman" w:eastAsia="Times New Roman" w:hAnsi="Times New Roman"/>
                <w:sz w:val="16"/>
                <w:szCs w:val="16"/>
                <w:color w:val="auto"/>
              </w:rPr>
              <w:t xml:space="preserve"> ​​​</w:t>
            </w:r>
          </w:p>
        </w:tc>
        <w:tc>
          <w:tcPr>
            <w:tcW w:w="1220" w:type="dxa"/>
            <w:vAlign w:val="bottom"/>
            <w:gridSpan w:val="7"/>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 61%</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​509</w:t>
            </w:r>
            <w:r>
              <w:rPr>
                <w:rFonts w:ascii="Times New Roman" w:cs="Times New Roman" w:eastAsia="Times New Roman" w:hAnsi="Times New Roman"/>
                <w:sz w:val="16"/>
                <w:szCs w:val="16"/>
                <w:color w:val="auto"/>
              </w:rPr>
              <w:t xml:space="preserve"> ​​​</w:t>
            </w:r>
          </w:p>
        </w:tc>
        <w:tc>
          <w:tcPr>
            <w:tcW w:w="4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58%</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gridSpan w:val="3"/>
            <w:shd w:val="clear" w:color="auto" w:fill="CCEEFF"/>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right w:val="single" w:sz="8" w:color="CCEEFF"/>
            </w:tcBorders>
            <w:gridSpan w:val="3"/>
            <w:shd w:val="clear" w:color="auto" w:fill="CCEEFF"/>
          </w:tcPr>
          <w:p>
            <w:pPr>
              <w:jc w:val="right"/>
              <w:ind w:right="97"/>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620" w:type="dxa"/>
            <w:vAlign w:val="bottom"/>
            <w:tcBorders>
              <w:right w:val="single" w:sz="8" w:color="CCEEFF"/>
            </w:tcBorders>
            <w:gridSpan w:val="4"/>
            <w:shd w:val="clear" w:color="auto" w:fill="CCEEFF"/>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600" w:type="dxa"/>
            <w:vAlign w:val="bottom"/>
            <w:tcBorders>
              <w:right w:val="single" w:sz="8" w:color="CCEEFF"/>
            </w:tcBorders>
            <w:gridSpan w:val="3"/>
            <w:shd w:val="clear" w:color="auto" w:fill="CCEEFF"/>
          </w:tcPr>
          <w:p>
            <w:pPr>
              <w:jc w:val="right"/>
              <w:ind w:right="115"/>
              <w:spacing w:after="0" w:line="196" w:lineRule="exact"/>
              <w:rPr>
                <w:sz w:val="20"/>
                <w:szCs w:val="20"/>
                <w:color w:val="auto"/>
              </w:rPr>
            </w:pPr>
            <w:r>
              <w:rPr>
                <w:rFonts w:ascii="Times New Roman" w:cs="Times New Roman" w:eastAsia="Times New Roman" w:hAnsi="Times New Roman"/>
                <w:sz w:val="18"/>
                <w:szCs w:val="18"/>
                <w:color w:val="auto"/>
              </w:rPr>
              <w:t>​ (86)</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(10)%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40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0" w:type="dxa"/>
            <w:vAlign w:val="bottom"/>
            <w:gridSpan w:val="3"/>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lef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60" w:type="dxa"/>
            <w:vAlign w:val="bottom"/>
            <w:tcBorders>
              <w:right w:val="single" w:sz="8" w:color="CCEEFF"/>
            </w:tcBorders>
            <w:gridSpan w:val="2"/>
            <w:shd w:val="clear" w:color="auto" w:fill="CCEEFF"/>
          </w:tcPr>
          <w:p>
            <w:pPr>
              <w:jc w:val="center"/>
              <w:ind w:left="46"/>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55"/>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(expense) and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net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vMerge w:val="restart"/>
          </w:tcPr>
          <w:p>
            <w:pPr>
              <w:jc w:val="center"/>
              <w:ind w:left="46"/>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right"/>
              <w:ind w:right="115"/>
              <w:spacing w:after="0" w:line="181" w:lineRule="exact"/>
              <w:rPr>
                <w:sz w:val="20"/>
                <w:szCs w:val="20"/>
                <w:color w:val="auto"/>
              </w:rPr>
            </w:pPr>
            <w:r>
              <w:rPr>
                <w:rFonts w:ascii="Times New Roman" w:cs="Times New Roman" w:eastAsia="Times New Roman" w:hAnsi="Times New Roman"/>
                <w:sz w:val="18"/>
                <w:szCs w:val="18"/>
                <w:color w:val="auto"/>
              </w:rPr>
              <w:t>​(239)</w:t>
            </w:r>
          </w:p>
        </w:tc>
        <w:tc>
          <w:tcPr>
            <w:tcW w:w="48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22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18"/>
        </w:trPr>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​(36)​</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44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 ​ ​(212)​​​</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 ​(325)​​​</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9"/>
              </w:rPr>
              <w:t>​</w:t>
            </w:r>
            <w:r>
              <w:rPr>
                <w:rFonts w:ascii="Times New Roman" w:cs="Times New Roman" w:eastAsia="Times New Roman" w:hAnsi="Times New Roman"/>
                <w:sz w:val="18"/>
                <w:szCs w:val="18"/>
                <w:color w:val="auto"/>
                <w:w w:val="79"/>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taxes</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3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 (5)</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3"/>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88"/>
              <w:spacing w:after="0" w:line="18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28"/>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tcPr>
          <w:p>
            <w:pPr>
              <w:ind w:left="120"/>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tcPr>
          <w:p>
            <w:pPr>
              <w:jc w:val="center"/>
              <w:ind w:left="26"/>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jc w:val="right"/>
              <w:ind w:right="23"/>
              <w:spacing w:after="0" w:line="8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tcPr>
          <w:p>
            <w:pPr>
              <w:jc w:val="center"/>
              <w:ind w:left="46"/>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tcPr>
          <w:p>
            <w:pPr>
              <w:jc w:val="center"/>
              <w:ind w:left="26"/>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 (67)</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8"/>
              </w:rPr>
              <w:t>​ (8)%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lef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(5)% $(196)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 $(328)</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​(37)%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1940" w:type="dxa"/>
            <w:vAlign w:val="bottom"/>
            <w:shd w:val="clear" w:color="auto" w:fill="CCEEFF"/>
          </w:tcPr>
          <w:p>
            <w:pPr>
              <w:spacing w:after="0"/>
              <w:rPr>
                <w:sz w:val="6"/>
                <w:szCs w:val="6"/>
                <w:color w:val="auto"/>
              </w:rPr>
            </w:pPr>
          </w:p>
        </w:tc>
        <w:tc>
          <w:tcPr>
            <w:tcW w:w="40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80" w:type="dxa"/>
            <w:vAlign w:val="bottom"/>
            <w:tcBorders>
              <w:left w:val="single" w:sz="8" w:color="CCEEFF"/>
            </w:tcBorders>
            <w:vMerge w:val="continue"/>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shd w:val="clear" w:color="auto" w:fill="CCEEFF"/>
          </w:tcPr>
          <w:p>
            <w:pPr>
              <w:spacing w:after="0"/>
              <w:rPr>
                <w:sz w:val="6"/>
                <w:szCs w:val="6"/>
                <w:color w:val="auto"/>
              </w:rPr>
            </w:pPr>
          </w:p>
        </w:tc>
        <w:tc>
          <w:tcPr>
            <w:tcW w:w="280" w:type="dxa"/>
            <w:vAlign w:val="bottom"/>
            <w:tcBorders>
              <w:right w:val="single" w:sz="8" w:color="CCEEFF"/>
            </w:tcBorders>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tcBorders>
              <w:lef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360" w:type="dxa"/>
            <w:vAlign w:val="bottom"/>
            <w:tcBorders>
              <w:right w:val="single" w:sz="8" w:color="CCEEFF"/>
            </w:tcBorders>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shd w:val="clear" w:color="auto" w:fill="CCEEFF"/>
          </w:tcPr>
          <w:p>
            <w:pPr>
              <w:spacing w:after="0"/>
              <w:rPr>
                <w:sz w:val="6"/>
                <w:szCs w:val="6"/>
                <w:color w:val="auto"/>
              </w:rPr>
            </w:pPr>
          </w:p>
        </w:tc>
        <w:tc>
          <w:tcPr>
            <w:tcW w:w="340" w:type="dxa"/>
            <w:vAlign w:val="bottom"/>
            <w:tcBorders>
              <w:right w:val="single" w:sz="8" w:color="CCEEFF"/>
            </w:tcBorders>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shd w:val="clear" w:color="auto" w:fill="CCEEFF"/>
          </w:tcPr>
          <w:p>
            <w:pPr>
              <w:spacing w:after="0"/>
              <w:rPr>
                <w:sz w:val="6"/>
                <w:szCs w:val="6"/>
                <w:color w:val="auto"/>
              </w:rPr>
            </w:pPr>
          </w:p>
        </w:tc>
        <w:tc>
          <w:tcPr>
            <w:tcW w:w="28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-307975</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-307975</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-307975</wp:posOffset>
            </wp:positionV>
            <wp:extent cx="1885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-307975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-307975</wp:posOffset>
            </wp:positionV>
            <wp:extent cx="188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-307975</wp:posOffset>
            </wp:positionV>
            <wp:extent cx="111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-307975</wp:posOffset>
            </wp:positionV>
            <wp:extent cx="1714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-307975</wp:posOffset>
            </wp:positionV>
            <wp:extent cx="1543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22631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-925195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-925195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-925195</wp:posOffset>
            </wp:positionV>
            <wp:extent cx="1885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-925195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-925195</wp:posOffset>
            </wp:positionV>
            <wp:extent cx="1885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-925195</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-925195</wp:posOffset>
            </wp:positionV>
            <wp:extent cx="1714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-925195</wp:posOffset>
            </wp:positionV>
            <wp:extent cx="1543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-925195</wp:posOffset>
            </wp:positionV>
            <wp:extent cx="22631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-1542415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-1542415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-1542415</wp:posOffset>
            </wp:positionV>
            <wp:extent cx="1885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-1542415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-1542415</wp:posOffset>
            </wp:positionV>
            <wp:extent cx="188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-1542415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-1542415</wp:posOffset>
            </wp:positionV>
            <wp:extent cx="1714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-1542415</wp:posOffset>
            </wp:positionV>
            <wp:extent cx="1543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22631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-2691130</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-2691130</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-2691130</wp:posOffset>
            </wp:positionV>
            <wp:extent cx="1885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-2691130</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-2691130</wp:posOffset>
            </wp:positionV>
            <wp:extent cx="1885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-2691130</wp:posOffset>
            </wp:positionV>
            <wp:extent cx="1111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-2691130</wp:posOffset>
            </wp:positionV>
            <wp:extent cx="1714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-2691130</wp:posOffset>
            </wp:positionV>
            <wp:extent cx="1543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22631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-3034030</wp:posOffset>
            </wp:positionV>
            <wp:extent cx="342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-3034030</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-3034030</wp:posOffset>
            </wp:positionV>
            <wp:extent cx="342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-3034030</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-3034030</wp:posOffset>
            </wp:positionV>
            <wp:extent cx="342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-3034030</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-3034030</wp:posOffset>
            </wp:positionV>
            <wp:extent cx="342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-3034030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18256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amortization of acquired intangible assets, as follows:</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Total amortization of acquired intangible assets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400" w:type="dxa"/>
            <w:vAlign w:val="bottom"/>
            <w:gridSpan w:val="10"/>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40" w:type="dxa"/>
            <w:vAlign w:val="bottom"/>
          </w:tcPr>
          <w:p>
            <w:pPr>
              <w:spacing w:after="0"/>
              <w:rPr>
                <w:sz w:val="14"/>
                <w:szCs w:val="14"/>
                <w:color w:val="auto"/>
              </w:rPr>
            </w:pPr>
          </w:p>
        </w:tc>
        <w:tc>
          <w:tcPr>
            <w:tcW w:w="158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June 26,  December 25,</w:t>
            </w:r>
          </w:p>
        </w:tc>
        <w:tc>
          <w:tcPr>
            <w:tcW w:w="1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26,</w:t>
            </w: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50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40" w:type="dxa"/>
            <w:vAlign w:val="bottom"/>
          </w:tcPr>
          <w:p>
            <w:pPr>
              <w:spacing w:after="0"/>
              <w:rPr>
                <w:sz w:val="18"/>
                <w:szCs w:val="18"/>
                <w:color w:val="auto"/>
              </w:rPr>
            </w:pPr>
          </w:p>
        </w:tc>
        <w:tc>
          <w:tcPr>
            <w:tcW w:w="5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​​​$240 ​​​ ​$200</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080" w:type="dxa"/>
            <w:vAlign w:val="bottom"/>
            <w:gridSpan w:val="7"/>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 42</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45</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82</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66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80" w:type="dxa"/>
            <w:vAlign w:val="bottom"/>
            <w:gridSpan w:val="7"/>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245</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$450</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-342265</wp:posOffset>
            </wp:positionV>
            <wp:extent cx="4749165" cy="325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49165" cy="32575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-685165</wp:posOffset>
            </wp:positionV>
            <wp:extent cx="474916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60"/>
            <w:col w:w="4819"/>
          </w:cols>
          <w:pgMar w:left="580" w:top="97" w:right="1440" w:bottom="1440" w:gutter="0" w:footer="0" w:header="0"/>
          <w:type w:val="continuous"/>
        </w:sectPr>
      </w:pPr>
    </w:p>
    <w:p>
      <w:pPr>
        <w:spacing w:after="0" w:line="3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(2)</w:t>
        <w:tab/>
        <w:t>Includes share-based compensation expense, as follows:</w:t>
      </w:r>
    </w:p>
    <w:p>
      <w:pPr>
        <w:sectPr>
          <w:pgSz w:w="11900" w:h="16838" w:orient="portrait"/>
          <w:cols w:equalWidth="0" w:num="1">
            <w:col w:w="9879"/>
          </w:cols>
          <w:pgMar w:left="580" w:top="97" w:right="1440" w:bottom="1440" w:gutter="0" w:footer="0" w:header="0"/>
          <w:type w:val="continuous"/>
        </w:sect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in millions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440" w:type="dxa"/>
            <w:vAlign w:val="bottom"/>
            <w:gridSpan w:val="11"/>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Six months ended </w:t>
            </w:r>
            <w:r>
              <w:rPr>
                <w:rFonts w:ascii="Times New Roman" w:cs="Times New Roman" w:eastAsia="Times New Roman" w:hAnsi="Times New Roman"/>
                <w:sz w:val="28"/>
                <w:szCs w:val="28"/>
                <w:b w:val="1"/>
                <w:bCs w:val="1"/>
                <w:color w:val="auto"/>
                <w:vertAlign w:val="subscript"/>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80" w:type="dxa"/>
            <w:vAlign w:val="bottom"/>
          </w:tcPr>
          <w:p>
            <w:pPr>
              <w:spacing w:after="0"/>
              <w:rPr>
                <w:sz w:val="14"/>
                <w:szCs w:val="14"/>
                <w:color w:val="auto"/>
              </w:rPr>
            </w:pPr>
          </w:p>
        </w:tc>
        <w:tc>
          <w:tcPr>
            <w:tcW w:w="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88"/>
              </w:rPr>
              <w:t>June 26,</w:t>
            </w:r>
          </w:p>
        </w:tc>
        <w:tc>
          <w:tcPr>
            <w:tcW w:w="120" w:type="dxa"/>
            <w:vAlign w:val="bottom"/>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26,</w:t>
            </w:r>
          </w:p>
        </w:tc>
        <w:tc>
          <w:tcPr>
            <w:tcW w:w="96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5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​37</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2</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0" w:type="dxa"/>
            <w:vAlign w:val="bottom"/>
            <w:gridSpan w:val="4"/>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00" w:type="dxa"/>
            <w:vAlign w:val="bottom"/>
            <w:gridSpan w:val="4"/>
          </w:tcPr>
          <w:p>
            <w:pPr>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$85</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-539115</wp:posOffset>
            </wp:positionV>
            <wp:extent cx="4749165"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-222250</wp:posOffset>
            </wp:positionV>
            <wp:extent cx="4749165"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-839470</wp:posOffset>
            </wp:positionV>
            <wp:extent cx="474916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4839"/>
          </w:cols>
          <w:pgMar w:left="580" w:top="97" w:right="1440" w:bottom="1440"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2, 2022, and June 26, 2021</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the six months ended July 2, 2022, revenue was $ 854 million, up by $150 million, or 21%, from the six months ended June 26, 2021. The increase in revenue was primarily due to an increase of $120 million, or 18%,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attributable to a 10% increase in volume and a 7% increase in ASP. The remaining increase in revenue was mainly related to the sales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 which was launched during the fourth quarter of 2021, and for which no revenue was generated in the six months ended June 26, 2021.</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left="1260" w:right="479" w:firstLine="360"/>
        <w:spacing w:after="0" w:line="220" w:lineRule="auto"/>
        <w:rPr>
          <w:sz w:val="20"/>
          <w:szCs w:val="20"/>
          <w:color w:val="auto"/>
        </w:rPr>
      </w:pPr>
      <w:r>
        <w:rPr>
          <w:rFonts w:ascii="Times New Roman" w:cs="Times New Roman" w:eastAsia="Times New Roman" w:hAnsi="Times New Roman"/>
          <w:sz w:val="18"/>
          <w:szCs w:val="18"/>
          <w:color w:val="auto"/>
        </w:rPr>
        <w:t>In the six months ended July 2, 2022, our cost of revenue increased by $93 million, or 26%, from the six months ended June 26, 2021. This increase was mainly due to an increase of $50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our sales of SuperVision</w:t>
      </w:r>
      <w:r>
        <w:rPr>
          <w:rFonts w:ascii="Times New Roman" w:cs="Times New Roman" w:eastAsia="Times New Roman" w:hAnsi="Times New Roman"/>
          <w:sz w:val="26"/>
          <w:szCs w:val="26"/>
          <w:color w:val="auto"/>
          <w:vertAlign w:val="superscript"/>
        </w:rPr>
        <w:t>TM</w:t>
      </w:r>
    </w:p>
    <w:p>
      <w:pPr>
        <w:spacing w:after="0" w:line="1" w:lineRule="exact"/>
        <w:rPr>
          <w:sz w:val="20"/>
          <w:szCs w:val="20"/>
          <w:color w:val="auto"/>
        </w:rPr>
      </w:pPr>
    </w:p>
    <w:p>
      <w:pPr>
        <w:ind w:left="1260" w:right="779"/>
        <w:spacing w:after="0" w:line="239" w:lineRule="auto"/>
        <w:rPr>
          <w:sz w:val="20"/>
          <w:szCs w:val="20"/>
          <w:color w:val="auto"/>
        </w:rPr>
      </w:pPr>
      <w:r>
        <w:rPr>
          <w:rFonts w:ascii="Times New Roman" w:cs="Times New Roman" w:eastAsia="Times New Roman" w:hAnsi="Times New Roman"/>
          <w:sz w:val="18"/>
          <w:szCs w:val="18"/>
          <w:color w:val="auto"/>
        </w:rPr>
        <w:t>solution. The remaining increase resulted primarily from an increase of $40 million in amortization of intangible assets transferred from in-process research and development to acquisition-related developed technology.</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six months ended July 2, 2022, our gross profit increased by $57 million, or 16%, from the</w:t>
      </w:r>
    </w:p>
    <w:p>
      <w:pPr>
        <w:spacing w:after="0" w:line="27" w:lineRule="exact"/>
        <w:rPr>
          <w:sz w:val="20"/>
          <w:szCs w:val="20"/>
          <w:color w:val="auto"/>
        </w:rPr>
      </w:pPr>
    </w:p>
    <w:p>
      <w:pPr>
        <w:jc w:val="both"/>
        <w:ind w:left="1260" w:right="459"/>
        <w:spacing w:after="0"/>
        <w:rPr>
          <w:sz w:val="20"/>
          <w:szCs w:val="20"/>
          <w:color w:val="auto"/>
        </w:rPr>
      </w:pPr>
      <w:r>
        <w:rPr>
          <w:rFonts w:ascii="Times New Roman" w:cs="Times New Roman" w:eastAsia="Times New Roman" w:hAnsi="Times New Roman"/>
          <w:sz w:val="18"/>
          <w:szCs w:val="18"/>
          <w:color w:val="auto"/>
        </w:rPr>
        <w:t>six months ended June 26, 2021. This increase was mainly driven by the increase in revenue from our EyeQ sales, as well as the sales of our SuperVisionTM solution, partially offset by the increase in amortization of intangible assets.</w:t>
      </w:r>
    </w:p>
    <w:p>
      <w:pPr>
        <w:spacing w:after="0" w:line="117" w:lineRule="exact"/>
        <w:rPr>
          <w:sz w:val="20"/>
          <w:szCs w:val="20"/>
          <w:color w:val="auto"/>
        </w:rPr>
      </w:pPr>
    </w:p>
    <w:p>
      <w:pPr>
        <w:ind w:left="1260" w:right="619" w:firstLine="360"/>
        <w:spacing w:after="0" w:line="224" w:lineRule="auto"/>
        <w:rPr>
          <w:sz w:val="20"/>
          <w:szCs w:val="20"/>
          <w:color w:val="auto"/>
        </w:rPr>
      </w:pPr>
      <w:r>
        <w:rPr>
          <w:rFonts w:ascii="Times New Roman" w:cs="Times New Roman" w:eastAsia="Times New Roman" w:hAnsi="Times New Roman"/>
          <w:sz w:val="18"/>
          <w:szCs w:val="18"/>
          <w:color w:val="auto"/>
        </w:rPr>
        <w:t>Our gross margin decreased from 49% during the six months ended June 26, 2021, to 47% during the six months ended July 2, 2022. This decrease was primarily due to the impact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contributing lower margin given the greater hardware content this product contains.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 net, in the six months ended July 2, 2022, increased by</w:t>
      </w:r>
    </w:p>
    <w:p>
      <w:pPr>
        <w:spacing w:after="0" w:line="16"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$101 million, or 39%, compared to the six months ended June 26, 2021. This increase was mainly due to an increase of $73 million in payroll and related expenses, derived from an increase in average research and development headcount of 424 employees and payroll costs, including share-based compensation. Additionally, there was an increase of $20 million in cloud computing services and investments attributable to new product development.</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46"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six months ended July 2, 2022, decreased by $1 million, or 2%, compared to the six months ended June 26, 2021.</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 the six months ended July 2, 2022 were flat compared to the six months ended June 26, 2021, mainly due to a decrease in share-based compensation expenses offset by expenses related to this offering.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 (expense) and Other Income (expense), net</w:t>
      </w:r>
    </w:p>
    <w:p>
      <w:pPr>
        <w:spacing w:after="0" w:line="146"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Interest income (expense), net in the six months ended July 2, 2022, was $5 million in expense compared to $2 million in income in the six months ended June 26, 2021. The increase in net interest expense was mainly due to accrued interest on the Dividend Note issued to Intel on April 21, 2022.</w:t>
      </w:r>
    </w:p>
    <w:p>
      <w:pPr>
        <w:spacing w:after="0" w:line="102"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Other income (expense), net in the six months ended July 2, 2022, was $5 million in income compared to zero in income in the six months ended June 26, 2021. The increase in was mainly due to exchange rate differences.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the six months ended July 2, 2022, provision for income tax increased by $26 million, compared to the six months ended June 26, 2021, mainly due to a withholding tax expense of $14 million related to a dividend distribution between entities within the Mobileye Group, which did not result in a corresponding benefit in the United States, as a result of a valuation allowance position and tax expenses incurred pursuant to U.S. tax law due to unfavorable timing adjustments. Other than in connection with the Reorganization as described elsewhere in this prospectus, we do not expect to declare or pay any dividends for the foreseeable future.</w:t>
      </w:r>
    </w:p>
    <w:p>
      <w:pPr>
        <w:spacing w:after="0" w:line="338"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The effective tax rate for both periods was significantly influenced by valuation allowances related to deferred tax assets not currently expected to be realized given that we have sustained recent losses based on the separate return method.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25, 2021, December 26, 2020, and December 28, 2019</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2021, revenue was $1.4 billion, up $419 million, or 43%, from 2020. This increase was primarily attributable to a 43% increase in the volume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sold in 2021 as compared to 2020, driven 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37" w:lineRule="exact"/>
        <w:rPr>
          <w:sz w:val="20"/>
          <w:szCs w:val="20"/>
          <w:color w:val="auto"/>
        </w:rPr>
      </w:pPr>
    </w:p>
    <w:p>
      <w:pPr>
        <w:ind w:left="1260" w:right="899" w:firstLine="360"/>
        <w:spacing w:after="0" w:line="274" w:lineRule="auto"/>
        <w:rPr>
          <w:sz w:val="20"/>
          <w:szCs w:val="20"/>
          <w:color w:val="auto"/>
        </w:rPr>
      </w:pPr>
      <w:r>
        <w:rPr>
          <w:rFonts w:ascii="Times New Roman" w:cs="Times New Roman" w:eastAsia="Times New Roman" w:hAnsi="Times New Roman"/>
          <w:sz w:val="18"/>
          <w:szCs w:val="18"/>
          <w:color w:val="auto"/>
        </w:rPr>
        <w:t>In 2020, revenue was $967 million, up $88 million, or 10% from 2019 given higher demand from improved global vehicle production in the second half of 2020, offsetting the decline in production experienced in the first half of the year due to the effects of the COVID-19 pandemic.</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46"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2021, our cost of revenue increased by $140 million, or 24%, from 2020. This increase was mainly due to an increase of $86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30%, from 2019, mainly due to an increase of $107 million in amortization of intangible assets, and increased manufacturing costs relating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The 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2021, our gross profit increased by $279 million, or 74%,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32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Our gross margin decreased from 48% during 2019, to 39% during 2020 and increased to 47% during 2021. The increase in 2021 compared to 2020 and the decrease in 2020 compared to 2019 was due primarily to the higher impact of the cost attributable to amortization of intangible assets, as a percentage of revenue in 2020.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net in 2021 increased by $104 million, or 24%, compared to 2020, and in 2020 increased by $56 million, or 15%, compared to 2019.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 The increase in 2020 was mainly attributable to employee-related costs derived from an average increase in headcount of 356 employees, including the additional headcount resulting from the acquisition of Moovit.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60"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Sales and marketing expenses in 2021 increased by $18 million, or 16%, compared to 2020, and in 2020 increased by $16 million, or 16%, compared to 2019. The increase in 2021 was mainly due to an increase of $8 million in amortization of customer relationship and brand-related intangible assets and an increase of $6 million in employee-related costs mainly as a result of the full year impact of Moovit. The increase in 2020 was mainly due to the amortization of intangible assets resulting from the partial year impact of the acquisition of Moovit.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4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 2021 increased by $1 million, or 3%, compared to 2020, and in 2020 increased by $8 million, or 32%, compared to 2019. The increase in 2020 was mainly due to an average increase in headcount of 29 employees and additional employee-related costs attributable to the acquisition of Moovit. The increase in 2021 was insignificant.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 (Expenses) and Other Expenses</w:t>
      </w:r>
    </w:p>
    <w:p>
      <w:pPr>
        <w:spacing w:after="0" w:line="16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In 2019, interest expense of $257 million was recorded in connection with the loan from Intel, which was converted to equity during 2019.</w:t>
      </w:r>
    </w:p>
    <w:p>
      <w:pPr>
        <w:spacing w:after="0" w:line="94"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Interest income attributable to the loan with Intel was $3 million in 2021, compared to $6 million in 2020, and $22 million in 2019. The decrease resulted from a reduction in the London Interbank Offered Rate (“LIBOR”).</w:t>
      </w:r>
    </w:p>
    <w:p>
      <w:pPr>
        <w:spacing w:after="0" w:line="9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Other expenses decreased by $2 million in 2021, compared to 2020, and increased by $1 million in 2020 compared to 2019, in each case mainly due to the effect of foreign exchange fluctuations.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95"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$53 million, $143 million, $91 million, and $44 million for the six months ended July 2, 2022 and fiscal years 2021, 2020 and 2019, respectively. In connection with the Reorganization, on May 12, 2022, we also declared and paid the Dividend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in an aggregate amount of $336 million to Intel, net of $14 million of cash paid to tax authorities to settle related tax obligations.</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together with the remaining $          (or $          if the underwriters exercise their option to purchase additional shares of our Class A common stock in full) of the net proceeds that we receive from this offering after repaying approximately $              of indebtedness under the Dividend Note. We expect our total capital expenditures for 2022 to be slightly above our total capital expenditures in 2021, mainly given the expansion to additional facilities required to accommodate our recruitment of certain employees from Intel. The construction of our campus is planned to be completed by the end of the first quarter of 2023, with a remaining cost we estimate to be between $80 million and $90 million. Our future capital requirements will depend on many factors, including our growth rate and the timing and extent of operating expenses.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certain combined statements of cash flow data:</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8"/>
          </w:tcPr>
          <w:p>
            <w:pPr>
              <w:jc w:val="center"/>
              <w:ind w:right="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July 2,</w:t>
            </w:r>
          </w:p>
        </w:tc>
        <w:tc>
          <w:tcPr>
            <w:tcW w:w="140" w:type="dxa"/>
            <w:vAlign w:val="bottom"/>
          </w:tcPr>
          <w:p>
            <w:pPr>
              <w:spacing w:after="0"/>
              <w:rPr>
                <w:sz w:val="14"/>
                <w:szCs w:val="14"/>
                <w:color w:val="auto"/>
              </w:rPr>
            </w:pPr>
          </w:p>
        </w:tc>
        <w:tc>
          <w:tcPr>
            <w:tcW w:w="142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June 26,  December 25,</w:t>
            </w:r>
          </w:p>
        </w:tc>
        <w:tc>
          <w:tcPr>
            <w:tcW w:w="120" w:type="dxa"/>
            <w:vAlign w:val="bottom"/>
          </w:tcPr>
          <w:p>
            <w:pPr>
              <w:spacing w:after="0"/>
              <w:rPr>
                <w:sz w:val="14"/>
                <w:szCs w:val="14"/>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00" w:type="dxa"/>
            <w:vAlign w:val="bottom"/>
          </w:tcPr>
          <w:p>
            <w:pPr>
              <w:spacing w:after="0"/>
              <w:rPr>
                <w:sz w:val="14"/>
                <w:szCs w:val="14"/>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620" w:type="dxa"/>
            <w:vAlign w:val="bottom"/>
            <w:gridSpan w:val="4"/>
          </w:tcPr>
          <w:p>
            <w:pPr>
              <w:jc w:val="center"/>
              <w:ind w:right="1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8"/>
                <w:szCs w:val="18"/>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​​​$ 233​​​ ​$ 289</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​$ 599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​$ 271</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​344​​​ ​ ​(335)​​​</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​(965)</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​732</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 (59)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240" w:type="dxa"/>
            <w:vAlign w:val="bottom"/>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(3)</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vMerge w:val="continue"/>
            <w:shd w:val="clear" w:color="auto" w:fill="CCEEFF"/>
          </w:tcPr>
          <w:p>
            <w:pPr>
              <w:spacing w:after="0"/>
              <w:rPr>
                <w:sz w:val="18"/>
                <w:szCs w:val="18"/>
                <w:color w:val="auto"/>
              </w:rPr>
            </w:pPr>
          </w:p>
        </w:tc>
        <w:tc>
          <w:tcPr>
            <w:tcW w:w="80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$ 159</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$ 532</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gridSpan w:val="4"/>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right w:val="single" w:sz="8" w:color="CCEEFF"/>
            </w:tcBorders>
            <w:vMerge w:val="continue"/>
            <w:shd w:val="clear" w:color="auto" w:fill="CCEEFF"/>
          </w:tcPr>
          <w:p>
            <w:pPr>
              <w:spacing w:after="0"/>
              <w:rPr>
                <w:sz w:val="23"/>
                <w:szCs w:val="23"/>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4"/>
            <w:vMerge w:val="continue"/>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shd w:val="clear" w:color="auto" w:fill="CCEEFF"/>
          </w:tcPr>
          <w:p>
            <w:pPr>
              <w:spacing w:after="0"/>
              <w:rPr>
                <w:sz w:val="23"/>
                <w:szCs w:val="23"/>
                <w:color w:val="auto"/>
              </w:rPr>
            </w:pPr>
          </w:p>
        </w:tc>
        <w:tc>
          <w:tcPr>
            <w:tcW w:w="440" w:type="dxa"/>
            <w:vAlign w:val="bottom"/>
            <w:tcBorders>
              <w:right w:val="single" w:sz="8" w:color="CCEEFF"/>
            </w:tcBorders>
            <w:gridSpan w:val="2"/>
            <w:vMerge w:val="continue"/>
            <w:shd w:val="clear" w:color="auto" w:fill="CCEEFF"/>
          </w:tcPr>
          <w:p>
            <w:pPr>
              <w:spacing w:after="0"/>
              <w:rPr>
                <w:sz w:val="23"/>
                <w:szCs w:val="23"/>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continue"/>
            <w:shd w:val="clear" w:color="auto" w:fill="CCEEFF"/>
          </w:tcPr>
          <w:p>
            <w:pPr>
              <w:spacing w:after="0"/>
              <w:rPr>
                <w:sz w:val="23"/>
                <w:szCs w:val="23"/>
                <w:color w:val="auto"/>
              </w:rPr>
            </w:pPr>
          </w:p>
        </w:tc>
        <w:tc>
          <w:tcPr>
            <w:tcW w:w="440" w:type="dxa"/>
            <w:vAlign w:val="bottom"/>
            <w:gridSpan w:val="2"/>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-342265</wp:posOffset>
            </wp:positionV>
            <wp:extent cx="1289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-342265</wp:posOffset>
            </wp:positionV>
            <wp:extent cx="317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-342265</wp:posOffset>
            </wp:positionV>
            <wp:extent cx="3168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36258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-1148080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-1148080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3497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For the six months ended July 2, 2022 compared to the six months ended June 26, 2021, the $56 million decrease in cash provided by operating activities was mainly due to a change in employee related balances resulting from our recruitment of certain employees relating to the Mobileye business from Intel during the second quarter of 2022.</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2021 compared to 2020, the $328 million increase in cash provided by operating activities was primarily driven by a decrease of $121 million in net loss, an increase in net cash inflow from working capital and an increase in non-cash adjustments, mainly attributable to the amortization of intangible assets.</w:t>
      </w:r>
    </w:p>
    <w:p>
      <w:pPr>
        <w:spacing w:after="0" w:line="10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in the six months ended June 2, 2022 was $344 million, consisting primarily of a $397 million net repayment of a loan by Intel, partially offset by capital expenditures.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six months ended June 26, 2021 was $355 million consisting primarily of a $280 million loan to Intel and capital expenditures.</w:t>
      </w:r>
    </w:p>
    <w:p>
      <w:pPr>
        <w:spacing w:after="0" w:line="81" w:lineRule="exact"/>
        <w:rPr>
          <w:sz w:val="20"/>
          <w:szCs w:val="20"/>
          <w:color w:val="auto"/>
        </w:rPr>
      </w:pPr>
    </w:p>
    <w:p>
      <w:pPr>
        <w:ind w:left="1260" w:right="13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2021 was $157 million, primarily relating to capital expenditures in connection with the construction of our campus.</w:t>
      </w:r>
    </w:p>
    <w:p>
      <w:pPr>
        <w:spacing w:after="0" w:line="9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2019 was $225 million, consisting primarily of a $185 million loan to Intel and capital expenditures.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the six months ended July 2, 2022 was $415 million, consisting primarily of the $336 million Dividend to Intel and $186 million of share-based compensation recharge payments made to Intel, partially offset by $121 million as a result of net contributions from Intel.</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six months ended June 26, 2021 was $49 million, primarily as a result of net contributions from Intel.</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2021 was $91 million, as a result of a net contribution from Intel.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in 2020 was $732 million, consisting primarily of</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$825 million for the acquisition of Moovit, partially offset by share-based compensation recharge payments made to Intel.</w:t>
      </w:r>
    </w:p>
    <w:p>
      <w:pPr>
        <w:spacing w:after="0" w:line="102"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2019 was $59 million, primarily related to share-based compensation recharge payments made to Intel.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1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1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Severance pay liability increased from $59 million as of December 26, 2020, to $68 million as of December 25, 2021, reflecting mainly an increase in salary and related costs. Severance pay liability decreased to $49 million as of July 2, 2022.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$9.6 million (denominated in New Israeli Shekels) mainly in connection with lease agreements and import of vehicles.</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Reorganization, on April 21, 2022, we distributed to Intel the Dividend Note, in the aggregate principal amount of $3.5 billion. The Dividend Note is scheduled to mature on April 21, 2025 and will accrue interest at a rate equal to 1.26% per annum.</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34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and certain expenses related to this offering,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and certain expenses related to this offering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34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33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believe that the exclusion of expenses related to this offering is appropriate as they represent items that management believes are not indicative of our ongoing operating performance. These expenses are primarily composed of legal, accounting and professional fees incurred in connection with this offering that are not capitalizable, which are included within general and administrative expenses.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4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firstLine="360"/>
        <w:spacing w:after="0" w:line="297"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9"/>
                <w:szCs w:val="19"/>
                <w:color w:val="auto"/>
              </w:rPr>
            </w:pPr>
          </w:p>
        </w:tc>
        <w:tc>
          <w:tcPr>
            <w:tcW w:w="11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Six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560" w:type="dxa"/>
            <w:vAlign w:val="bottom"/>
            <w:gridSpan w:val="1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July 2, 2022</w:t>
            </w:r>
          </w:p>
        </w:tc>
        <w:tc>
          <w:tcPr>
            <w:tcW w:w="120" w:type="dxa"/>
            <w:vAlign w:val="bottom"/>
          </w:tcPr>
          <w:p>
            <w:pPr>
              <w:spacing w:after="0"/>
              <w:rPr>
                <w:sz w:val="20"/>
                <w:szCs w:val="20"/>
                <w:color w:val="auto"/>
              </w:rPr>
            </w:pPr>
          </w:p>
        </w:tc>
        <w:tc>
          <w:tcPr>
            <w:tcW w:w="1060" w:type="dxa"/>
            <w:vAlign w:val="bottom"/>
            <w:gridSpan w:val="5"/>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w:t>
            </w:r>
          </w:p>
        </w:tc>
        <w:tc>
          <w:tcPr>
            <w:tcW w:w="3720" w:type="dxa"/>
            <w:vAlign w:val="bottom"/>
            <w:gridSpan w:val="19"/>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25, 2021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26, 2020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28, 2019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56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540" w:type="dxa"/>
            <w:vAlign w:val="bottom"/>
            <w:tcBorders>
              <w:top w:val="single" w:sz="8" w:color="auto"/>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960" w:type="dxa"/>
            <w:vAlign w:val="bottom"/>
            <w:gridSpan w:val="30"/>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​$405 ​​​</w:t>
            </w:r>
          </w:p>
        </w:tc>
        <w:tc>
          <w:tcPr>
            <w:tcW w:w="1120" w:type="dxa"/>
            <w:vAlign w:val="bottom"/>
            <w:tcBorders>
              <w:right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​$348 ​​​</w:t>
            </w:r>
          </w:p>
        </w:tc>
        <w:tc>
          <w:tcPr>
            <w:tcW w:w="7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​$376</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 ​​​ ​$423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​240 ​​​</w:t>
            </w:r>
          </w:p>
        </w:tc>
        <w:tc>
          <w:tcPr>
            <w:tcW w:w="11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 ​ ​200 ​​​</w:t>
            </w:r>
          </w:p>
        </w:tc>
        <w:tc>
          <w:tcPr>
            <w:tcW w:w="7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 ​​ ​ ​368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 ​​​ ​ ​261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 ​​​</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12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and</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645</w:t>
            </w:r>
            <w:r>
              <w:rPr>
                <w:rFonts w:ascii="Times New Roman" w:cs="Times New Roman" w:eastAsia="Times New Roman" w:hAnsi="Times New Roman"/>
                <w:sz w:val="18"/>
                <w:szCs w:val="18"/>
                <w:color w:val="auto"/>
              </w:rPr>
              <w:t xml:space="preserve"> ​​​</w:t>
            </w:r>
          </w:p>
        </w:tc>
        <w:tc>
          <w:tcPr>
            <w:tcW w:w="112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​76%</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548</w:t>
            </w:r>
            <w:r>
              <w:rPr>
                <w:rFonts w:ascii="Times New Roman" w:cs="Times New Roman" w:eastAsia="Times New Roman" w:hAnsi="Times New Roman"/>
                <w:sz w:val="18"/>
                <w:szCs w:val="18"/>
                <w:color w:val="auto"/>
              </w:rPr>
              <w:t xml:space="preserve"> ​​​</w:t>
            </w:r>
          </w:p>
        </w:tc>
        <w:tc>
          <w:tcPr>
            <w:tcW w:w="1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​78%</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1,075 </w:t>
            </w:r>
            <w:r>
              <w:rPr>
                <w:rFonts w:ascii="Times New Roman" w:cs="Times New Roman" w:eastAsia="Times New Roman" w:hAnsi="Times New Roman"/>
                <w:sz w:val="35"/>
                <w:szCs w:val="35"/>
                <w:color w:val="auto"/>
                <w:vertAlign w:val="subscript"/>
              </w:rPr>
              <w:t>​​​</w:t>
            </w:r>
          </w:p>
        </w:tc>
        <w:tc>
          <w:tcPr>
            <w:tcW w:w="100" w:type="dxa"/>
            <w:vAlign w:val="bottom"/>
          </w:tcPr>
          <w:p>
            <w:pPr>
              <w:spacing w:after="0"/>
              <w:rPr>
                <w:sz w:val="18"/>
                <w:szCs w:val="18"/>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744</w:t>
            </w:r>
          </w:p>
        </w:tc>
        <w:tc>
          <w:tcPr>
            <w:tcW w:w="120" w:type="dxa"/>
            <w:vAlign w:val="bottom"/>
          </w:tcPr>
          <w:p>
            <w:pPr>
              <w:spacing w:after="0"/>
              <w:rPr>
                <w:sz w:val="18"/>
                <w:szCs w:val="18"/>
                <w:color w:val="auto"/>
              </w:rPr>
            </w:pPr>
          </w:p>
        </w:tc>
        <w:tc>
          <w:tcPr>
            <w:tcW w:w="1100" w:type="dxa"/>
            <w:vAlign w:val="bottom"/>
            <w:gridSpan w:val="5"/>
            <w:vMerge w:val="restart"/>
          </w:tcPr>
          <w:p>
            <w:pPr>
              <w:ind w:left="1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680" w:type="dxa"/>
            <w:vAlign w:val="bottom"/>
            <w:gridSpan w:val="2"/>
            <w:vMerge w:val="continue"/>
          </w:tcPr>
          <w:p>
            <w:pPr>
              <w:spacing w:after="0"/>
              <w:rPr>
                <w:sz w:val="21"/>
                <w:szCs w:val="21"/>
                <w:color w:val="auto"/>
              </w:rPr>
            </w:pPr>
          </w:p>
        </w:tc>
        <w:tc>
          <w:tcPr>
            <w:tcW w:w="1120" w:type="dxa"/>
            <w:vAlign w:val="bottom"/>
            <w:gridSpan w:val="6"/>
            <w:vMerge w:val="continue"/>
          </w:tcPr>
          <w:p>
            <w:pPr>
              <w:spacing w:after="0"/>
              <w:rPr>
                <w:sz w:val="21"/>
                <w:szCs w:val="21"/>
                <w:color w:val="auto"/>
              </w:rPr>
            </w:pPr>
          </w:p>
        </w:tc>
        <w:tc>
          <w:tcPr>
            <w:tcW w:w="1180" w:type="dxa"/>
            <w:vAlign w:val="bottom"/>
            <w:gridSpan w:val="6"/>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4"/>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-1122045</wp:posOffset>
            </wp:positionV>
            <wp:extent cx="342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-1122045</wp:posOffset>
            </wp:positionV>
            <wp:extent cx="34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-1122045</wp:posOffset>
            </wp:positionV>
            <wp:extent cx="342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-1122045</wp:posOffset>
            </wp:positionV>
            <wp:extent cx="34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-1122045</wp:posOffset>
            </wp:positionV>
            <wp:extent cx="342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-1122045</wp:posOffset>
            </wp:positionV>
            <wp:extent cx="342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-1122045</wp:posOffset>
            </wp:positionV>
            <wp:extent cx="342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-1122045</wp:posOffset>
            </wp:positionV>
            <wp:extent cx="342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-1122045</wp:posOffset>
            </wp:positionV>
            <wp:extent cx="18516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 over time.</w:t>
      </w:r>
    </w:p>
    <w:p>
      <w:pPr>
        <w:spacing w:after="0" w:line="139" w:lineRule="exact"/>
        <w:rPr>
          <w:sz w:val="20"/>
          <w:szCs w:val="20"/>
          <w:color w:val="auto"/>
        </w:rPr>
      </w:pPr>
    </w:p>
    <w:p>
      <w:pPr>
        <w:jc w:val="both"/>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Our Adjusted Gross Margin decreased from 78% for the six months ended June 26, 2021 to 76% for the six months ended July 2, 2022, primarily due to increased sales of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solutions, which have greater hardware content than our other ADAS solutions.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48" w:lineRule="exact"/>
        <w:rPr>
          <w:sz w:val="20"/>
          <w:szCs w:val="20"/>
          <w:color w:val="auto"/>
        </w:rPr>
      </w:pPr>
    </w:p>
    <w:p>
      <w:pPr>
        <w:jc w:val="both"/>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share-based compensation expenses and expenses related to this offering incurred during the six months ended July 2, 2022. Operating margin is calculated as operating loss divided by total revenue, and Adjusted Operating Margin is calculated as Adjusted Operating Income divided by total revenue.</w:t>
      </w:r>
    </w:p>
    <w:p>
      <w:pPr>
        <w:spacing w:after="0" w:line="105"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and the calculations of Operating Margin and Adjusted Operating Margin:</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1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July 2, 2022</w:t>
            </w:r>
          </w:p>
        </w:tc>
        <w:tc>
          <w:tcPr>
            <w:tcW w:w="60" w:type="dxa"/>
            <w:vAlign w:val="bottom"/>
          </w:tcPr>
          <w:p>
            <w:pPr>
              <w:spacing w:after="0"/>
              <w:rPr>
                <w:sz w:val="20"/>
                <w:szCs w:val="20"/>
                <w:color w:val="auto"/>
              </w:rPr>
            </w:pPr>
          </w:p>
        </w:tc>
        <w:tc>
          <w:tcPr>
            <w:tcW w:w="1120" w:type="dxa"/>
            <w:vAlign w:val="bottom"/>
            <w:gridSpan w:val="8"/>
          </w:tcPr>
          <w:p>
            <w:pPr>
              <w:jc w:val="right"/>
              <w:ind w:righ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w:t>
            </w:r>
          </w:p>
        </w:tc>
        <w:tc>
          <w:tcPr>
            <w:tcW w:w="2460" w:type="dxa"/>
            <w:vAlign w:val="bottom"/>
            <w:gridSpan w:val="1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December 25, 2021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26, 2020</w:t>
            </w:r>
          </w:p>
        </w:tc>
        <w:tc>
          <w:tcPr>
            <w:tcW w:w="20" w:type="dxa"/>
            <w:vAlign w:val="bottom"/>
          </w:tcPr>
          <w:p>
            <w:pPr>
              <w:spacing w:after="0"/>
              <w:rPr>
                <w:sz w:val="20"/>
                <w:szCs w:val="20"/>
                <w:color w:val="auto"/>
              </w:rPr>
            </w:pPr>
          </w:p>
        </w:tc>
        <w:tc>
          <w:tcPr>
            <w:tcW w:w="1380" w:type="dxa"/>
            <w:vAlign w:val="bottom"/>
            <w:gridSpan w:val="8"/>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700" w:type="dxa"/>
            <w:vAlign w:val="bottom"/>
            <w:tcBorders>
              <w:top w:val="single" w:sz="8" w:color="auto"/>
            </w:tcBorders>
            <w:gridSpan w:val="5"/>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100" w:type="dxa"/>
            <w:vAlign w:val="bottom"/>
            <w:gridSpan w:val="4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8"/>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(36)​​​</w:t>
            </w:r>
          </w:p>
        </w:tc>
        <w:tc>
          <w:tcPr>
            <w:tcW w:w="11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  7 ​​​</w:t>
            </w:r>
          </w:p>
        </w:tc>
        <w:tc>
          <w:tcPr>
            <w:tcW w:w="4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(57) ​​​</w:t>
            </w:r>
          </w:p>
        </w:tc>
        <w:tc>
          <w:tcPr>
            <w:tcW w:w="12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 ​$(213)​​​</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intangible assets ​​ ​ ​282 ​​​</w:t>
            </w:r>
          </w:p>
        </w:tc>
        <w:tc>
          <w:tcPr>
            <w:tcW w:w="11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 ​ ​245 ​​​</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 ​​​ ​ ​450 ​​​</w:t>
            </w:r>
          </w:p>
        </w:tc>
        <w:tc>
          <w:tcPr>
            <w:tcW w:w="7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76</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49 ​​​</w:t>
            </w:r>
          </w:p>
        </w:tc>
        <w:tc>
          <w:tcPr>
            <w:tcW w:w="4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w:t>
            </w:r>
          </w:p>
        </w:tc>
        <w:tc>
          <w:tcPr>
            <w:tcW w:w="6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 97</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 85 ​​​</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76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 — ​​​</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60" w:type="dxa"/>
            <w:vAlign w:val="bottom"/>
            <w:vMerge w:val="continue"/>
            <w:shd w:val="clear" w:color="auto" w:fill="CCEEFF"/>
          </w:tcPr>
          <w:p>
            <w:pPr>
              <w:spacing w:after="0"/>
              <w:rPr>
                <w:sz w:val="18"/>
                <w:szCs w:val="18"/>
                <w:color w:val="auto"/>
              </w:rPr>
            </w:pPr>
          </w:p>
        </w:tc>
        <w:tc>
          <w:tcPr>
            <w:tcW w:w="5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w:t>
            </w:r>
          </w:p>
        </w:tc>
        <w:tc>
          <w:tcPr>
            <w:tcW w:w="1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9"/>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​38%</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auto"/>
                <w:vertAlign w:val="superscript"/>
              </w:rPr>
              <w:t>$</w:t>
            </w:r>
            <w:r>
              <w:rPr>
                <w:rFonts w:ascii="Times New Roman" w:cs="Times New Roman" w:eastAsia="Times New Roman" w:hAnsi="Times New Roman"/>
                <w:sz w:val="35"/>
                <w:szCs w:val="35"/>
                <w:color w:val="auto"/>
                <w:vertAlign w:val="superscript"/>
              </w:rPr>
              <w:t>301</w:t>
            </w:r>
            <w:r>
              <w:rPr>
                <w:rFonts w:ascii="Times New Roman" w:cs="Times New Roman" w:eastAsia="Times New Roman" w:hAnsi="Times New Roman"/>
                <w:sz w:val="18"/>
                <w:szCs w:val="18"/>
                <w:color w:val="auto"/>
              </w:rPr>
              <w:t xml:space="preserve"> ​​​</w:t>
            </w:r>
          </w:p>
        </w:tc>
        <w:tc>
          <w:tcPr>
            <w:tcW w:w="1040" w:type="dxa"/>
            <w:vAlign w:val="bottom"/>
            <w:tcBorders>
              <w:right w:val="single" w:sz="8" w:color="CCEEFF"/>
            </w:tcBorders>
            <w:gridSpan w:val="7"/>
            <w:vMerge w:val="restart"/>
            <w:shd w:val="clear" w:color="auto" w:fill="CCEEFF"/>
          </w:tcPr>
          <w:p>
            <w:pPr>
              <w:ind w:left="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​43%</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9"/>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​40%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perscript"/>
              </w:rPr>
              <w:t>$ 322</w:t>
            </w:r>
            <w:r>
              <w:rPr>
                <w:rFonts w:ascii="Times New Roman" w:cs="Times New Roman" w:eastAsia="Times New Roman" w:hAnsi="Times New Roman"/>
                <w:sz w:val="18"/>
                <w:szCs w:val="18"/>
                <w:color w:val="auto"/>
              </w:rPr>
              <w:t xml:space="preserve"> ​​​</w:t>
            </w:r>
          </w:p>
        </w:tc>
        <w:tc>
          <w:tcPr>
            <w:tcW w:w="740" w:type="dxa"/>
            <w:vAlign w:val="bottom"/>
            <w:tcBorders>
              <w:right w:val="single" w:sz="8" w:color="CCEEFF"/>
            </w:tcBorders>
            <w:gridSpan w:val="6"/>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​33%</w:t>
            </w:r>
            <w:r>
              <w:rPr>
                <w:rFonts w:ascii="Times New Roman" w:cs="Times New Roman" w:eastAsia="Times New Roman" w:hAnsi="Times New Roman"/>
                <w:sz w:val="18"/>
                <w:szCs w:val="18"/>
                <w:color w:val="auto"/>
              </w:rPr>
              <w:t>​​ ​</w:t>
            </w: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317</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margin</w:t>
            </w:r>
          </w:p>
        </w:tc>
        <w:tc>
          <w:tcPr>
            <w:tcW w:w="560" w:type="dxa"/>
            <w:vAlign w:val="bottom"/>
            <w:tcBorders>
              <w:right w:val="single" w:sz="8" w:color="CCEEFF"/>
            </w:tcBorders>
            <w:gridSpan w:val="2"/>
            <w:vMerge w:val="continue"/>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9"/>
            <w:vMerge w:val="continue"/>
            <w:shd w:val="clear" w:color="auto" w:fill="CCEEFF"/>
          </w:tcPr>
          <w:p>
            <w:pPr>
              <w:spacing w:after="0"/>
              <w:rPr>
                <w:sz w:val="23"/>
                <w:szCs w:val="23"/>
                <w:color w:val="auto"/>
              </w:rPr>
            </w:pPr>
          </w:p>
        </w:tc>
        <w:tc>
          <w:tcPr>
            <w:tcW w:w="1040" w:type="dxa"/>
            <w:vAlign w:val="bottom"/>
            <w:tcBorders>
              <w:right w:val="single" w:sz="8" w:color="CCEEFF"/>
            </w:tcBorders>
            <w:gridSpan w:val="7"/>
            <w:vMerge w:val="continue"/>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9"/>
            <w:vMerge w:val="continue"/>
            <w:shd w:val="clear" w:color="auto" w:fill="CCEEFF"/>
          </w:tcPr>
          <w:p>
            <w:pPr>
              <w:spacing w:after="0"/>
              <w:rPr>
                <w:sz w:val="23"/>
                <w:szCs w:val="23"/>
                <w:color w:val="auto"/>
              </w:rPr>
            </w:pPr>
          </w:p>
        </w:tc>
        <w:tc>
          <w:tcPr>
            <w:tcW w:w="740" w:type="dxa"/>
            <w:vAlign w:val="bottom"/>
            <w:tcBorders>
              <w:right w:val="single" w:sz="8" w:color="CCEEFF"/>
            </w:tcBorders>
            <w:gridSpan w:val="6"/>
            <w:vMerge w:val="continue"/>
            <w:shd w:val="clear" w:color="auto" w:fill="CCEEFF"/>
          </w:tcPr>
          <w:p>
            <w:pPr>
              <w:spacing w:after="0"/>
              <w:rPr>
                <w:sz w:val="23"/>
                <w:szCs w:val="23"/>
                <w:color w:val="auto"/>
              </w:rPr>
            </w:pPr>
          </w:p>
        </w:tc>
        <w:tc>
          <w:tcPr>
            <w:tcW w:w="460" w:type="dxa"/>
            <w:vAlign w:val="bottom"/>
            <w:tcBorders>
              <w:right w:val="single" w:sz="8" w:color="CCEEFF"/>
            </w:tcBorders>
            <w:vMerge w:val="continue"/>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-342265</wp:posOffset>
            </wp:positionV>
            <wp:extent cx="102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-342265</wp:posOffset>
            </wp:positionV>
            <wp:extent cx="1968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45262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26280" cy="88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-1559560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-1559560</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-1559560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-1559560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-1559560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-1559560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-1559560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-1559560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17570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incurred an operating loss in the six months ended July 2, 2022, compared to operating income in the six months ended June 26, 2021, mainly as a result of an increase in amortization of acquired intangible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00"/>
        <w:spacing w:after="0" w:line="282" w:lineRule="auto"/>
        <w:rPr>
          <w:sz w:val="20"/>
          <w:szCs w:val="20"/>
          <w:color w:val="auto"/>
        </w:rPr>
      </w:pPr>
      <w:r>
        <w:rPr>
          <w:rFonts w:ascii="Times New Roman" w:cs="Times New Roman" w:eastAsia="Times New Roman" w:hAnsi="Times New Roman"/>
          <w:sz w:val="18"/>
          <w:szCs w:val="18"/>
          <w:color w:val="auto"/>
        </w:rPr>
        <w:t>assets and share-based compensation expense, as well as an increase in research and development expenses, partially offset by revenue growth.</w:t>
      </w:r>
    </w:p>
    <w:p>
      <w:pPr>
        <w:spacing w:after="0" w:line="94" w:lineRule="exact"/>
        <w:rPr>
          <w:sz w:val="20"/>
          <w:szCs w:val="20"/>
          <w:color w:val="auto"/>
        </w:rPr>
      </w:pPr>
    </w:p>
    <w:p>
      <w:pPr>
        <w:ind w:left="1260" w:right="860" w:firstLine="360"/>
        <w:spacing w:after="0" w:line="257" w:lineRule="auto"/>
        <w:rPr>
          <w:sz w:val="20"/>
          <w:szCs w:val="20"/>
          <w:color w:val="auto"/>
        </w:rPr>
      </w:pPr>
      <w:r>
        <w:rPr>
          <w:rFonts w:ascii="Times New Roman" w:cs="Times New Roman" w:eastAsia="Times New Roman" w:hAnsi="Times New Roman"/>
          <w:sz w:val="18"/>
          <w:szCs w:val="18"/>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 in each of these years included the effect of amortization of acquired intangible assets, as well as share-based compensation expense, each of which increased in each of 2020 and 2021 as compared to the preceding year.</w:t>
      </w:r>
    </w:p>
    <w:p>
      <w:pPr>
        <w:spacing w:after="0" w:line="336" w:lineRule="exact"/>
        <w:rPr>
          <w:sz w:val="20"/>
          <w:szCs w:val="20"/>
          <w:color w:val="auto"/>
        </w:rPr>
      </w:pPr>
    </w:p>
    <w:p>
      <w:pPr>
        <w:ind w:left="1260" w:right="1140"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in the six months ended July 2, 2022 compared to the six months ended June 26, 2021, primarily due to the growth in our overall business, partially offset by the increase in research and development expenses.</w:t>
      </w:r>
    </w:p>
    <w:p>
      <w:pPr>
        <w:spacing w:after="0" w:line="95" w:lineRule="exact"/>
        <w:rPr>
          <w:sz w:val="20"/>
          <w:szCs w:val="20"/>
          <w:color w:val="auto"/>
        </w:rPr>
      </w:pPr>
    </w:p>
    <w:p>
      <w:pPr>
        <w:jc w:val="both"/>
        <w:ind w:left="1260" w:right="1080" w:firstLine="360"/>
        <w:spacing w:after="0" w:line="266" w:lineRule="auto"/>
        <w:rPr>
          <w:sz w:val="20"/>
          <w:szCs w:val="20"/>
          <w:color w:val="auto"/>
        </w:rPr>
      </w:pPr>
      <w:r>
        <w:rPr>
          <w:rFonts w:ascii="Times New Roman" w:cs="Times New Roman" w:eastAsia="Times New Roman" w:hAnsi="Times New Roman"/>
          <w:sz w:val="18"/>
          <w:szCs w:val="18"/>
          <w:color w:val="auto"/>
        </w:rPr>
        <w:t>Our Adjusted Operating Margin decreased in the six months ended July 2, 2022 compared to the six months ended June 26, 2021, primarily due to a decrease in our Adjusted Gross Margin and the impact of increased research and development headcount.</w:t>
      </w:r>
    </w:p>
    <w:p>
      <w:pPr>
        <w:spacing w:after="0" w:line="108" w:lineRule="exact"/>
        <w:rPr>
          <w:sz w:val="20"/>
          <w:szCs w:val="20"/>
          <w:color w:val="auto"/>
        </w:rPr>
      </w:pPr>
    </w:p>
    <w:p>
      <w:pPr>
        <w:ind w:left="1260" w:right="840" w:firstLine="360"/>
        <w:spacing w:after="0"/>
        <w:rPr>
          <w:sz w:val="20"/>
          <w:szCs w:val="20"/>
          <w:color w:val="auto"/>
        </w:rPr>
      </w:pPr>
      <w:r>
        <w:rPr>
          <w:rFonts w:ascii="Times New Roman" w:cs="Times New Roman" w:eastAsia="Times New Roman" w:hAnsi="Times New Roman"/>
          <w:sz w:val="18"/>
          <w:szCs w:val="18"/>
          <w:color w:val="auto"/>
        </w:rPr>
        <w:t>Our Adjusted Operating Income and Margin increased in fiscal 2021 primarily due to growth in our overall business driven by an increase in adoption of ADAS compared to 2020 and a slight improvement in global vehicle production. We expect that our Adjusted Operating Margin in future near-term years will decrease compared to the six months ended July 2,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62" w:lineRule="exact"/>
        <w:rPr>
          <w:sz w:val="20"/>
          <w:szCs w:val="20"/>
          <w:color w:val="auto"/>
        </w:rPr>
      </w:pPr>
    </w:p>
    <w:p>
      <w:pPr>
        <w:ind w:left="1260" w:right="980" w:firstLine="360"/>
        <w:spacing w:after="0" w:line="256" w:lineRule="auto"/>
        <w:rPr>
          <w:sz w:val="20"/>
          <w:szCs w:val="20"/>
          <w:color w:val="auto"/>
        </w:rPr>
      </w:pPr>
      <w:r>
        <w:rPr>
          <w:rFonts w:ascii="Times New Roman" w:cs="Times New Roman" w:eastAsia="Times New Roman" w:hAnsi="Times New Roman"/>
          <w:sz w:val="18"/>
          <w:szCs w:val="18"/>
          <w:color w:val="auto"/>
        </w:rPr>
        <w:t>We define Adjusted Net Income as net loss presented in accordance with GAAP, adjusted to exclude amortization of acquisition related intangibles, share-based compensation expense, and expenses related to this offering incurred during the six months ended July 2,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gridSpan w:val="4"/>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300" w:type="dxa"/>
            <w:vAlign w:val="bottom"/>
            <w:gridSpan w:val="30"/>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Revenue </w:t>
            </w:r>
            <w:r>
              <w:rPr>
                <w:rFonts w:ascii="Times New Roman" w:cs="Times New Roman" w:eastAsia="Times New Roman" w:hAnsi="Times New Roman"/>
                <w:sz w:val="27"/>
                <w:szCs w:val="27"/>
                <w:b w:val="1"/>
                <w:bCs w:val="1"/>
                <w:color w:val="auto"/>
                <w:vertAlign w:val="subscript"/>
              </w:rPr>
              <w:t>​</w:t>
            </w:r>
          </w:p>
        </w:tc>
        <w:tc>
          <w:tcPr>
            <w:tcW w:w="1460" w:type="dxa"/>
            <w:vAlign w:val="bottom"/>
            <w:gridSpan w:val="10"/>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Revenue </w:t>
            </w:r>
            <w:r>
              <w:rPr>
                <w:rFonts w:ascii="Times New Roman" w:cs="Times New Roman" w:eastAsia="Times New Roman" w:hAnsi="Times New Roman"/>
                <w:sz w:val="27"/>
                <w:szCs w:val="27"/>
                <w:b w:val="1"/>
                <w:bCs w:val="1"/>
                <w:color w:val="auto"/>
                <w:vertAlign w:val="subscript"/>
              </w:rPr>
              <w:t>​</w:t>
            </w:r>
          </w:p>
        </w:tc>
        <w:tc>
          <w:tcPr>
            <w:tcW w:w="1400" w:type="dxa"/>
            <w:vAlign w:val="bottom"/>
            <w:gridSpan w:val="11"/>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Revenue</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(67)​​ ​</w:t>
            </w:r>
          </w:p>
        </w:tc>
        <w:tc>
          <w:tcPr>
            <w:tcW w:w="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 ​ ​$</w:t>
            </w:r>
          </w:p>
        </w:tc>
        <w:tc>
          <w:tcPr>
            <w:tcW w:w="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 ​​ ​</w:t>
            </w:r>
          </w:p>
        </w:tc>
        <w:tc>
          <w:tcPr>
            <w:tcW w:w="1400" w:type="dxa"/>
            <w:vAlign w:val="bottom"/>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 ​$ (75)​​ ​</w:t>
            </w:r>
          </w:p>
        </w:tc>
        <w:tc>
          <w:tcPr>
            <w:tcW w:w="1420" w:type="dxa"/>
            <w:vAlign w:val="bottom"/>
            <w:tcBorders>
              <w:right w:val="single" w:sz="8" w:color="CCEEFF"/>
            </w:tcBorders>
            <w:gridSpan w:val="9"/>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 ​ ​$(196)​​ ​</w:t>
            </w:r>
          </w:p>
        </w:tc>
        <w:tc>
          <w:tcPr>
            <w:tcW w:w="14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 ​ ​$(328)​​ ​</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9"/>
              </w:rPr>
              <w:t>​</w:t>
            </w:r>
            <w:r>
              <w:rPr>
                <w:rFonts w:ascii="Times New Roman" w:cs="Times New Roman" w:eastAsia="Times New Roman" w:hAnsi="Times New Roman"/>
                <w:sz w:val="18"/>
                <w:szCs w:val="18"/>
                <w:color w:val="auto"/>
                <w:w w:val="79"/>
              </w:rPr>
              <w:t>(37)%</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 ​ ​282 ​​ ​</w:t>
            </w:r>
          </w:p>
        </w:tc>
        <w:tc>
          <w:tcPr>
            <w:tcW w:w="138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 ​ ​ ​245 ​​ ​</w:t>
            </w:r>
          </w:p>
        </w:tc>
        <w:tc>
          <w:tcPr>
            <w:tcW w:w="1400" w:type="dxa"/>
            <w:vAlign w:val="bottom"/>
            <w:gridSpan w:val="10"/>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 ​ ​ ​509 ​​ ​</w:t>
            </w:r>
          </w:p>
        </w:tc>
        <w:tc>
          <w:tcPr>
            <w:tcW w:w="142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 ​ ​ ​450 ​​ ​</w:t>
            </w:r>
          </w:p>
        </w:tc>
        <w:tc>
          <w:tcPr>
            <w:tcW w:w="14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 ​327 ​​ ​</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 76 ​​ ​</w:t>
            </w:r>
          </w:p>
        </w:tc>
        <w:tc>
          <w:tcPr>
            <w:tcW w:w="1380" w:type="dxa"/>
            <w:vAlign w:val="bottom"/>
            <w:gridSpan w:val="9"/>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 49 ​​ ​</w:t>
            </w:r>
          </w:p>
        </w:tc>
        <w:tc>
          <w:tcPr>
            <w:tcW w:w="1400" w:type="dxa"/>
            <w:vAlign w:val="bottom"/>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 97 ​​ ​</w:t>
            </w:r>
          </w:p>
        </w:tc>
        <w:tc>
          <w:tcPr>
            <w:tcW w:w="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 ​</w:t>
            </w:r>
          </w:p>
        </w:tc>
        <w:tc>
          <w:tcPr>
            <w:tcW w:w="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 ​​ ​</w:t>
            </w:r>
          </w:p>
        </w:tc>
        <w:tc>
          <w:tcPr>
            <w:tcW w:w="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 ​ ​ ​</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 ​​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3"/>
              </w:rPr>
              <w:t>9%</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this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4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3 ​​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 ​ ​ ​ — ​​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 ​ ​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Less: Income tax effects</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​(57)</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(50)</w:t>
            </w:r>
          </w:p>
        </w:tc>
        <w:tc>
          <w:tcPr>
            <w:tcW w:w="5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(5)%</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(24)</w:t>
            </w:r>
          </w:p>
        </w:tc>
        <w:tc>
          <w:tcPr>
            <w:tcW w:w="38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3"/>
              </w:rPr>
              <w:t>​ (3)%</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7"/>
        </w:trPr>
        <w:tc>
          <w:tcPr>
            <w:tcW w:w="2640" w:type="dxa"/>
            <w:vAlign w:val="bottom"/>
            <w:shd w:val="clear" w:color="auto" w:fill="CCEEFF"/>
          </w:tcPr>
          <w:p>
            <w:pPr>
              <w:spacing w:after="0"/>
              <w:rPr>
                <w:sz w:val="5"/>
                <w:szCs w:val="5"/>
                <w:color w:val="auto"/>
              </w:rPr>
            </w:pPr>
          </w:p>
        </w:tc>
        <w:tc>
          <w:tcPr>
            <w:tcW w:w="32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360" w:type="dxa"/>
            <w:vAlign w:val="bottom"/>
            <w:gridSpan w:val="2"/>
            <w:shd w:val="clear" w:color="auto" w:fill="CCEEFF"/>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gridSpan w:val="4"/>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3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tcBorders>
              <w:right w:val="single" w:sz="8" w:color="CCEEFF"/>
            </w:tcBorders>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4"/>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gridSpan w:val="8"/>
          </w:tcPr>
          <w:p>
            <w:pPr>
              <w:ind w:left="4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276</w:t>
            </w:r>
            <w:r>
              <w:rPr>
                <w:rFonts w:ascii="Times New Roman" w:cs="Times New Roman" w:eastAsia="Times New Roman" w:hAnsi="Times New Roman"/>
                <w:sz w:val="15"/>
                <w:szCs w:val="15"/>
                <w:color w:val="auto"/>
              </w:rPr>
              <w:t xml:space="preserve"> ​​ ​</w:t>
            </w:r>
          </w:p>
        </w:tc>
        <w:tc>
          <w:tcPr>
            <w:tcW w:w="1380" w:type="dxa"/>
            <w:vAlign w:val="bottom"/>
            <w:gridSpan w:val="9"/>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270</w:t>
            </w:r>
            <w:r>
              <w:rPr>
                <w:rFonts w:ascii="Times New Roman" w:cs="Times New Roman" w:eastAsia="Times New Roman" w:hAnsi="Times New Roman"/>
                <w:sz w:val="15"/>
                <w:szCs w:val="15"/>
                <w:color w:val="auto"/>
              </w:rPr>
              <w:t xml:space="preserve"> ​​ ​</w:t>
            </w:r>
          </w:p>
        </w:tc>
        <w:tc>
          <w:tcPr>
            <w:tcW w:w="1400" w:type="dxa"/>
            <w:vAlign w:val="bottom"/>
            <w:gridSpan w:val="10"/>
          </w:tcPr>
          <w:p>
            <w:pPr>
              <w:jc w:val="right"/>
              <w:ind w:righ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​39%</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xml:space="preserve"> ​​ ​</w:t>
            </w:r>
          </w:p>
        </w:tc>
        <w:tc>
          <w:tcPr>
            <w:tcW w:w="1420" w:type="dxa"/>
            <w:vAlign w:val="bottom"/>
            <w:gridSpan w:val="9"/>
          </w:tcPr>
          <w:p>
            <w:pPr>
              <w:jc w:val="right"/>
              <w:ind w:righ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​35%</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$ 289</w:t>
            </w:r>
            <w:r>
              <w:rPr>
                <w:rFonts w:ascii="Times New Roman" w:cs="Times New Roman" w:eastAsia="Times New Roman" w:hAnsi="Times New Roman"/>
                <w:sz w:val="15"/>
                <w:szCs w:val="15"/>
                <w:color w:val="auto"/>
              </w:rPr>
              <w:t xml:space="preserve"> ​​ ​</w:t>
            </w:r>
          </w:p>
        </w:tc>
        <w:tc>
          <w:tcPr>
            <w:tcW w:w="800" w:type="dxa"/>
            <w:vAlign w:val="bottom"/>
            <w:gridSpan w:val="7"/>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660" w:type="dxa"/>
            <w:vAlign w:val="bottom"/>
            <w:gridSpan w:val="3"/>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perscript"/>
              </w:rPr>
              <w:t>51</w:t>
            </w:r>
            <w:r>
              <w:rPr>
                <w:rFonts w:ascii="Times New Roman" w:cs="Times New Roman" w:eastAsia="Times New Roman" w:hAnsi="Times New Roman"/>
                <w:sz w:val="15"/>
                <w:szCs w:val="15"/>
                <w:color w:val="auto"/>
              </w:rPr>
              <w:t xml:space="preserve"> ​​ ​</w:t>
            </w:r>
          </w:p>
        </w:tc>
        <w:tc>
          <w:tcPr>
            <w:tcW w:w="1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gridSpan w:val="4"/>
          </w:tcPr>
          <w:p>
            <w:pPr>
              <w:spacing w:after="0" w:line="250" w:lineRule="exact"/>
              <w:rPr>
                <w:sz w:val="20"/>
                <w:szCs w:val="20"/>
                <w:color w:val="auto"/>
              </w:rPr>
            </w:pPr>
            <w:r>
              <w:rPr>
                <w:rFonts w:ascii="Times New Roman" w:cs="Times New Roman" w:eastAsia="Times New Roman" w:hAnsi="Times New Roman"/>
                <w:sz w:val="15"/>
                <w:szCs w:val="15"/>
                <w:color w:val="auto"/>
              </w:rPr>
              <w:t>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6029325</wp:posOffset>
            </wp:positionH>
            <wp:positionV relativeFrom="paragraph">
              <wp:posOffset>-1413510</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-1413510</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-1413510</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-1413510</wp:posOffset>
            </wp:positionV>
            <wp:extent cx="137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-1413510</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-1413510</wp:posOffset>
            </wp:positionV>
            <wp:extent cx="1200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-1413510</wp:posOffset>
            </wp:positionV>
            <wp:extent cx="1200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-1413510</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-1413510</wp:posOffset>
            </wp:positionV>
            <wp:extent cx="22371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78" w:lineRule="exact"/>
        <w:rPr>
          <w:sz w:val="20"/>
          <w:szCs w:val="20"/>
          <w:color w:val="auto"/>
        </w:rPr>
      </w:pPr>
    </w:p>
    <w:p>
      <w:pPr>
        <w:ind w:left="1260" w:right="940" w:firstLine="360"/>
        <w:spacing w:after="0" w:line="250" w:lineRule="auto"/>
        <w:rPr>
          <w:sz w:val="20"/>
          <w:szCs w:val="20"/>
          <w:color w:val="auto"/>
        </w:rPr>
      </w:pPr>
      <w:r>
        <w:rPr>
          <w:rFonts w:ascii="Times New Roman" w:cs="Times New Roman" w:eastAsia="Times New Roman" w:hAnsi="Times New Roman"/>
          <w:sz w:val="18"/>
          <w:szCs w:val="18"/>
          <w:color w:val="auto"/>
        </w:rPr>
        <w:t>We incurred a net loss in the six months ended July 2, 2022, compared to net income in the six months ended June 26, 2021, mainly as a result of an increase in amortization of acquired intangible assets and share- based compensation expense, as well as an increase in research and development expenses, partially offset by an increase in revenue.</w:t>
      </w:r>
    </w:p>
    <w:p>
      <w:pPr>
        <w:sectPr>
          <w:pgSz w:w="11900" w:h="16838" w:orient="portrait"/>
          <w:cols w:equalWidth="0" w:num="1">
            <w:col w:w="10300"/>
          </w:cols>
          <w:pgMar w:left="580" w:top="97" w:right="1019" w:bottom="1440" w:gutter="0" w:footer="0" w:header="0"/>
        </w:sectPr>
      </w:pPr>
    </w:p>
    <w:p>
      <w:pPr>
        <w:spacing w:after="0" w:line="3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00" w:firstLine="360"/>
        <w:spacing w:after="0" w:line="254" w:lineRule="auto"/>
        <w:rPr>
          <w:sz w:val="20"/>
          <w:szCs w:val="20"/>
          <w:color w:val="auto"/>
        </w:rPr>
      </w:pPr>
      <w:r>
        <w:rPr>
          <w:rFonts w:ascii="Times New Roman" w:cs="Times New Roman" w:eastAsia="Times New Roman" w:hAnsi="Times New Roman"/>
          <w:sz w:val="18"/>
          <w:szCs w:val="18"/>
          <w:color w:val="auto"/>
        </w:rPr>
        <w:t>Our net income (loss) in each of the six months ended July 2, 2022 and June 26, 2021 and our net loss in each of 2021, 2020 and 2019 included the effect of amortization of acquired intangible assets, as well as share-based compensation expense, each of which increased in the six months ended July 2, 2022 as compared to the six months ended June 26, 2021, and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21" w:lineRule="exact"/>
        <w:rPr>
          <w:sz w:val="20"/>
          <w:szCs w:val="20"/>
          <w:color w:val="auto"/>
        </w:rPr>
      </w:pPr>
    </w:p>
    <w:p>
      <w:pPr>
        <w:ind w:left="1260" w:right="880" w:firstLine="360"/>
        <w:spacing w:after="0" w:line="243" w:lineRule="auto"/>
        <w:rPr>
          <w:sz w:val="20"/>
          <w:szCs w:val="20"/>
          <w:color w:val="auto"/>
        </w:rPr>
      </w:pPr>
      <w:r>
        <w:rPr>
          <w:rFonts w:ascii="Times New Roman" w:cs="Times New Roman" w:eastAsia="Times New Roman" w:hAnsi="Times New Roman"/>
          <w:sz w:val="18"/>
          <w:szCs w:val="18"/>
          <w:color w:val="auto"/>
        </w:rPr>
        <w:t>Our Adjusted Net Income increased in the six months ended July 2, 2022 compared to the six months ended June 26, 2021, primarily due to growth in our overall business, partially offset by the increase in research and development expenses. Our Adjusted Net Income increased in fiscal 2021 primarily due to growth in our overall business, driven by an increase in adoption of ADAS compared to 2020 and a slight improvement in global vehicle production. We expect that our Adjusted Net Income margin (which is the Adjusted Net Income divided by total revenue) in future near-term years will decrease compared to the six months ended July 2, 2022,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62" w:lineRule="exact"/>
        <w:rPr>
          <w:sz w:val="20"/>
          <w:szCs w:val="20"/>
          <w:color w:val="auto"/>
        </w:rPr>
      </w:pPr>
    </w:p>
    <w:p>
      <w:pPr>
        <w:ind w:left="1260" w:right="86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historical unaudited condensed combined statements of operations data for each of the quarters indicated. The information for each quarter has been prepared on the same basis as our audited combined financial statements included elsewhere in this prospectus and reflects, in the opinion of management, all adjustments necessary for a fair statement of the financial information presented. Our historical results are not necessarily indicative of future operating results, and our interim results are not necessarily indicative of the results to be expected for the full year or any other period. The quarterly financial data set forth below should be read together with our combined financial statements and related notes included elsewhere in this prospectus.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5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9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25,</w:t>
            </w:r>
          </w:p>
        </w:tc>
        <w:tc>
          <w:tcPr>
            <w:tcW w:w="5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9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9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7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480" w:type="dxa"/>
            <w:vAlign w:val="bottom"/>
            <w:tcBorders>
              <w:left w:val="single" w:sz="8" w:color="CCEEFF"/>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480" w:type="dxa"/>
            <w:vAlign w:val="bottom"/>
            <w:tcBorders>
              <w:left w:val="single" w:sz="8" w:color="CCEEFF"/>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$460</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$394</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$356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$326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$327</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9"/>
              </w:rPr>
              <w:t>$377</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$334</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48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​231</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​218</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8"/>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​202</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​173</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​183</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​176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56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​155</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​127</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4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133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​229</w:t>
            </w:r>
          </w:p>
        </w:tc>
        <w:tc>
          <w:tcPr>
            <w:tcW w:w="160" w:type="dxa"/>
            <w:vAlign w:val="bottom"/>
            <w:tcBorders>
              <w:left w:val="single" w:sz="8" w:color="CCEEFF"/>
              <w:right w:val="single" w:sz="8" w:color="CCEEFF"/>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​176</w:t>
            </w:r>
          </w:p>
        </w:tc>
        <w:tc>
          <w:tcPr>
            <w:tcW w:w="340" w:type="dxa"/>
            <w:vAlign w:val="bottom"/>
            <w:tcBorders>
              <w:left w:val="single" w:sz="8" w:color="CCEEFF"/>
            </w:tcBorders>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​154</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​153</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​154</w:t>
            </w:r>
          </w:p>
        </w:tc>
        <w:tc>
          <w:tcPr>
            <w:tcW w:w="240" w:type="dxa"/>
            <w:vAlign w:val="bottom"/>
            <w:tcBorders>
              <w:lef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​194</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​158</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76</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w:t>
            </w:r>
          </w:p>
        </w:tc>
        <w:tc>
          <w:tcPr>
            <w:tcW w:w="160" w:type="dxa"/>
            <w:vAlign w:val="bottom"/>
            <w:tcBorders>
              <w:lef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margin</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ind w:right="14"/>
              <w:spacing w:after="0" w:line="123" w:lineRule="exact"/>
              <w:rPr>
                <w:sz w:val="20"/>
                <w:szCs w:val="20"/>
                <w:color w:val="auto"/>
              </w:rPr>
            </w:pPr>
            <w:r>
              <w:rPr>
                <w:rFonts w:ascii="Times New Roman" w:cs="Times New Roman" w:eastAsia="Times New Roman" w:hAnsi="Times New Roman"/>
                <w:sz w:val="14"/>
                <w:szCs w:val="14"/>
                <w:b w:val="1"/>
                <w:bCs w:val="1"/>
                <w:color w:val="auto"/>
              </w:rPr>
              <w:t>​ 50%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jc w:val="right"/>
              <w:ind w:right="213"/>
              <w:spacing w:after="0" w:line="123" w:lineRule="exact"/>
              <w:rPr>
                <w:sz w:val="20"/>
                <w:szCs w:val="20"/>
                <w:color w:val="auto"/>
              </w:rPr>
            </w:pPr>
            <w:r>
              <w:rPr>
                <w:rFonts w:ascii="Times New Roman" w:cs="Times New Roman" w:eastAsia="Times New Roman" w:hAnsi="Times New Roman"/>
                <w:sz w:val="14"/>
                <w:szCs w:val="14"/>
                <w:b w:val="1"/>
                <w:bCs w:val="1"/>
                <w:color w:val="auto"/>
              </w:rPr>
              <w:t>​ 45%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Times New Roman" w:cs="Times New Roman" w:eastAsia="Times New Roman" w:hAnsi="Times New Roman"/>
                <w:sz w:val="14"/>
                <w:szCs w:val="14"/>
                <w:b w:val="1"/>
                <w:bCs w:val="1"/>
                <w:color w:val="auto"/>
              </w:rPr>
              <w:t>​ 43%</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ind w:right="133"/>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46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 51%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48"/>
              <w:spacing w:after="0" w:line="123" w:lineRule="exact"/>
              <w:rPr>
                <w:sz w:val="20"/>
                <w:szCs w:val="20"/>
                <w:color w:val="auto"/>
              </w:rPr>
            </w:pPr>
            <w:r>
              <w:rPr>
                <w:rFonts w:ascii="Times New Roman" w:cs="Times New Roman" w:eastAsia="Times New Roman" w:hAnsi="Times New Roman"/>
                <w:sz w:val="14"/>
                <w:szCs w:val="14"/>
                <w:b w:val="1"/>
                <w:bCs w:val="1"/>
                <w:color w:val="auto"/>
              </w:rPr>
              <w:t>​ 47%</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6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 33%</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jc w:val="right"/>
              <w:ind w:right="14"/>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jc w:val="right"/>
              <w:ind w:right="1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jc w:val="right"/>
              <w:ind w:right="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net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​179</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​180</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20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​154</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​132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4"/>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​128</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​128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101</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35</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4"/>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32</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33</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32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11</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00" w:type="dxa"/>
            <w:vAlign w:val="bottom"/>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​222</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​198</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​173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​172</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​153</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138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10</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​(44)</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22</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​(77)</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​(117)</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Operating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2"/>
            <w:shd w:val="clear" w:color="auto" w:fill="CCEEFF"/>
          </w:tcPr>
          <w:p>
            <w:pPr>
              <w:jc w:val="right"/>
              <w:ind w:right="14"/>
              <w:spacing w:after="0" w:line="143" w:lineRule="exact"/>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73"/>
              <w:spacing w:after="0" w:line="143"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b w:val="1"/>
                <w:bCs w:val="1"/>
                <w:color w:val="auto"/>
              </w:rPr>
              <w:t>​(12)%</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Times New Roman" w:cs="Times New Roman" w:eastAsia="Times New Roman" w:hAnsi="Times New Roman"/>
                <w:sz w:val="14"/>
                <w:szCs w:val="14"/>
                <w:b w:val="1"/>
                <w:bCs w:val="1"/>
                <w:color w:val="auto"/>
              </w:rPr>
              <w:t>​ (6)%</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shd w:val="clear" w:color="auto" w:fill="CCEEFF"/>
          </w:tcPr>
          <w:p>
            <w:pPr>
              <w:jc w:val="right"/>
              <w:ind w:right="93"/>
              <w:spacing w:after="0" w:line="143" w:lineRule="exact"/>
              <w:rPr>
                <w:sz w:val="20"/>
                <w:szCs w:val="20"/>
                <w:color w:val="auto"/>
              </w:rPr>
            </w:pPr>
            <w:r>
              <w:rPr>
                <w:rFonts w:ascii="Times New Roman" w:cs="Times New Roman" w:eastAsia="Times New Roman" w:hAnsi="Times New Roman"/>
                <w:sz w:val="14"/>
                <w:szCs w:val="14"/>
                <w:b w:val="1"/>
                <w:bCs w:val="1"/>
                <w:color w:val="auto"/>
              </w:rPr>
              <w:t>​ (5)%</w:t>
            </w:r>
          </w:p>
        </w:tc>
        <w:tc>
          <w:tcPr>
            <w:tcW w:w="140" w:type="dxa"/>
            <w:vAlign w:val="bottom"/>
            <w:shd w:val="clear" w:color="auto" w:fill="CCEEFF"/>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8"/>
              <w:spacing w:after="0" w:line="143" w:lineRule="exact"/>
              <w:rPr>
                <w:sz w:val="20"/>
                <w:szCs w:val="20"/>
                <w:color w:val="auto"/>
              </w:rPr>
            </w:pPr>
            <w:r>
              <w:rPr>
                <w:rFonts w:ascii="Times New Roman" w:cs="Times New Roman" w:eastAsia="Times New Roman" w:hAnsi="Times New Roman"/>
                <w:sz w:val="14"/>
                <w:szCs w:val="14"/>
                <w:b w:val="1"/>
                <w:bCs w:val="1"/>
                <w:color w:val="auto"/>
              </w:rPr>
              <w:t>​ (3)%</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​(33)%</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33"/>
              <w:spacing w:after="0" w:line="143" w:lineRule="exact"/>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right w:val="single" w:sz="8" w:color="CCEEFF"/>
            </w:tcBorders>
            <w:shd w:val="clear" w:color="auto" w:fill="CCEEFF"/>
          </w:tcPr>
          <w:p>
            <w:pPr>
              <w:jc w:val="right"/>
              <w:ind w:right="14"/>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tcBorders>
              <w:left w:val="single" w:sz="8" w:color="CCEEFF"/>
            </w:tcBorders>
            <w:shd w:val="clear" w:color="auto" w:fill="CCEEFF"/>
          </w:tcPr>
          <w:p>
            <w:pPr>
              <w:jc w:val="right"/>
              <w:ind w:right="1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40" w:type="dxa"/>
            <w:vAlign w:val="bottom"/>
            <w:tcBorders>
              <w:left w:val="single" w:sz="8" w:color="CCEEFF"/>
            </w:tcBorders>
            <w:shd w:val="clear" w:color="auto" w:fill="CCEEFF"/>
          </w:tcPr>
          <w:p>
            <w:pPr>
              <w:jc w:val="right"/>
              <w:ind w:right="9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40" w:type="dxa"/>
            <w:vAlign w:val="bottom"/>
            <w:tcBorders>
              <w:lef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(expense) with a related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1"/>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left w:val="single" w:sz="8" w:color="CCEEFF"/>
            </w:tcBorders>
            <w:gridSpan w:val="3"/>
            <w:shd w:val="clear" w:color="auto" w:fill="CCEEFF"/>
          </w:tcPr>
          <w:p>
            <w:pPr>
              <w:ind w:left="20"/>
              <w:spacing w:after="0" w:line="261"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4"/>
            <w:shd w:val="clear" w:color="auto" w:fill="CCEEFF"/>
          </w:tcPr>
          <w:p>
            <w:pPr>
              <w:ind w:left="20"/>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line="261"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34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​(46)</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24</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​(16)</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​(115)</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(taxes) on income</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Borders>
              <w:right w:val="single" w:sz="8" w:color="CCEEFF"/>
            </w:tcBorders>
            <w:gridSpan w:val="3"/>
            <w:shd w:val="clear" w:color="auto" w:fill="CCEEFF"/>
          </w:tcPr>
          <w:p>
            <w:pPr>
              <w:jc w:val="right"/>
              <w:ind w:right="14"/>
              <w:spacing w:after="0" w:line="223" w:lineRule="exact"/>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25"/>
                <w:szCs w:val="25"/>
                <w:color w:val="auto"/>
                <w:vertAlign w:val="subscript"/>
              </w:rPr>
              <w:t>​​​</w:t>
            </w:r>
          </w:p>
        </w:tc>
        <w:tc>
          <w:tcPr>
            <w:tcW w:w="720" w:type="dxa"/>
            <w:vAlign w:val="bottom"/>
            <w:gridSpan w:val="5"/>
            <w:shd w:val="clear" w:color="auto" w:fill="CCEEFF"/>
          </w:tcPr>
          <w:p>
            <w:pPr>
              <w:jc w:val="right"/>
              <w:ind w:right="19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​(16) </w:t>
            </w:r>
            <w:r>
              <w:rPr>
                <w:rFonts w:ascii="Times New Roman" w:cs="Times New Roman" w:eastAsia="Times New Roman" w:hAnsi="Times New Roman"/>
                <w:sz w:val="25"/>
                <w:szCs w:val="25"/>
                <w:color w:val="auto"/>
                <w:vertAlign w:val="subscript"/>
              </w:rPr>
              <w:t>​​​</w:t>
            </w:r>
          </w:p>
        </w:tc>
        <w:tc>
          <w:tcPr>
            <w:tcW w:w="1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(60)</w:t>
            </w:r>
          </w:p>
        </w:tc>
        <w:tc>
          <w:tcPr>
            <w:tcW w:w="3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​(53)</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​(14)</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​(70)</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​(107)</w:t>
            </w: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Net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73"/>
              <w:spacing w:after="0" w:line="156" w:lineRule="exact"/>
              <w:rPr>
                <w:sz w:val="20"/>
                <w:szCs w:val="20"/>
                <w:color w:val="auto"/>
              </w:rPr>
            </w:pPr>
            <w:r>
              <w:rPr>
                <w:rFonts w:ascii="Times New Roman" w:cs="Times New Roman" w:eastAsia="Times New Roman" w:hAnsi="Times New Roman"/>
                <w:sz w:val="14"/>
                <w:szCs w:val="14"/>
                <w:b w:val="1"/>
                <w:bCs w:val="1"/>
                <w:color w:val="auto"/>
              </w:rPr>
              <w:t>​(15)%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​(15)%</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 (8)%</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shd w:val="clear" w:color="auto" w:fill="CCEEFF"/>
          </w:tcPr>
          <w:p>
            <w:pPr>
              <w:jc w:val="right"/>
              <w:ind w:right="93"/>
              <w:spacing w:after="0" w:line="156" w:lineRule="exact"/>
              <w:rPr>
                <w:sz w:val="20"/>
                <w:szCs w:val="20"/>
                <w:color w:val="auto"/>
              </w:rPr>
            </w:pPr>
            <w:r>
              <w:rPr>
                <w:rFonts w:ascii="Times New Roman" w:cs="Times New Roman" w:eastAsia="Times New Roman" w:hAnsi="Times New Roman"/>
                <w:sz w:val="14"/>
                <w:szCs w:val="14"/>
                <w:b w:val="1"/>
                <w:bCs w:val="1"/>
                <w:color w:val="auto"/>
              </w:rPr>
              <w:t>​ (6)%</w:t>
            </w:r>
          </w:p>
        </w:tc>
        <w:tc>
          <w:tcPr>
            <w:tcW w:w="14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jc w:val="right"/>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 (4)%</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(72)%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shd w:val="clear" w:color="auto" w:fill="CCEEFF"/>
          </w:tcPr>
          <w:p>
            <w:pPr>
              <w:jc w:val="right"/>
              <w:ind w:right="14"/>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shd w:val="clear" w:color="auto" w:fill="CCEEFF"/>
          </w:tcPr>
          <w:p>
            <w:pPr>
              <w:jc w:val="right"/>
              <w:ind w:right="19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shd w:val="clear" w:color="auto" w:fill="CCEEFF"/>
          </w:tcPr>
          <w:p>
            <w:pPr>
              <w:jc w:val="right"/>
              <w:ind w:right="9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jc w:val="right"/>
              <w:ind w:right="13"/>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-1593850</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-1593850</wp:posOffset>
            </wp:positionV>
            <wp:extent cx="58978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-2519680</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-2519680</wp:posOffset>
            </wp:positionV>
            <wp:extent cx="58978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-2828290</wp:posOffset>
            </wp:positionV>
            <wp:extent cx="342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-2828290</wp:posOffset>
            </wp:positionV>
            <wp:extent cx="342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-2828290</wp:posOffset>
            </wp:positionV>
            <wp:extent cx="342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-2828290</wp:posOffset>
            </wp:positionV>
            <wp:extent cx="342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-2828290</wp:posOffset>
            </wp:positionV>
            <wp:extent cx="342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-2828290</wp:posOffset>
            </wp:positionV>
            <wp:extent cx="342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-2828290</wp:posOffset>
            </wp:positionV>
            <wp:extent cx="342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-2828290</wp:posOffset>
            </wp:positionV>
            <wp:extent cx="342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-2828290</wp:posOffset>
            </wp:positionV>
            <wp:extent cx="19113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Non-GAAP Financial Measures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July 2,</w:t>
            </w: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25,</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26,</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60" w:type="dxa"/>
            <w:vAlign w:val="bottom"/>
          </w:tcPr>
          <w:p>
            <w:pPr>
              <w:spacing w:after="0"/>
              <w:rPr>
                <w:sz w:val="18"/>
                <w:szCs w:val="18"/>
                <w:color w:val="auto"/>
              </w:rPr>
            </w:pP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500" w:type="dxa"/>
            <w:vAlign w:val="bottom"/>
            <w:tcBorders>
              <w:right w:val="single" w:sz="8" w:color="CCEEFF"/>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$229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$176</w:t>
            </w: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$154</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$153</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$154</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$194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$158</w:t>
            </w:r>
          </w:p>
        </w:tc>
        <w:tc>
          <w:tcPr>
            <w:tcW w:w="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$ 76</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$ 21</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$121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​125</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​119</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​100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​100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​101</w:t>
            </w: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​100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 92</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75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50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w:t>
            </w: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Borders>
              <w:right w:val="single" w:sz="8" w:color="CCEEFF"/>
            </w:tcBorders>
            <w:gridSpan w:val="3"/>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gridSpan w:val="3"/>
            <w:vMerge w:val="continue"/>
            <w:shd w:val="clear" w:color="auto" w:fill="CCEEFF"/>
          </w:tcPr>
          <w:p>
            <w:pPr>
              <w:spacing w:after="0"/>
              <w:rPr>
                <w:sz w:val="19"/>
                <w:szCs w:val="19"/>
                <w:color w:val="auto"/>
              </w:rPr>
            </w:pPr>
          </w:p>
        </w:tc>
        <w:tc>
          <w:tcPr>
            <w:tcW w:w="3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continue"/>
            <w:shd w:val="clear" w:color="auto" w:fill="CCEEFF"/>
          </w:tcPr>
          <w:p>
            <w:pPr>
              <w:spacing w:after="0"/>
              <w:rPr>
                <w:sz w:val="19"/>
                <w:szCs w:val="19"/>
                <w:color w:val="auto"/>
              </w:rPr>
            </w:pP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gross profit</w:t>
            </w:r>
          </w:p>
        </w:tc>
        <w:tc>
          <w:tcPr>
            <w:tcW w:w="6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25"/>
                <w:szCs w:val="25"/>
                <w:b w:val="1"/>
                <w:bCs w:val="1"/>
                <w:color w:val="auto"/>
                <w:vertAlign w:val="superscript"/>
              </w:rPr>
              <w:t>$344</w:t>
            </w:r>
            <w:r>
              <w:rPr>
                <w:rFonts w:ascii="Times New Roman" w:cs="Times New Roman" w:eastAsia="Times New Roman" w:hAnsi="Times New Roman"/>
                <w:sz w:val="13"/>
                <w:szCs w:val="13"/>
                <w:b w:val="1"/>
                <w:bCs w:val="1"/>
                <w:color w:val="auto"/>
              </w:rPr>
              <w:t xml:space="preserve"> ​​​</w:t>
            </w:r>
          </w:p>
        </w:tc>
        <w:tc>
          <w:tcPr>
            <w:tcW w:w="40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$301</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ind w:right="28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$274</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$253</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$254</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$294</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jc w:val="right"/>
              <w:ind w:right="2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$259</w:t>
            </w: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$176</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$113</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$196</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gross profit margin</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75%</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76%</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77%</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78%</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78%</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78%</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78%</w:t>
            </w:r>
          </w:p>
        </w:tc>
        <w:tc>
          <w:tcPr>
            <w:tcW w:w="40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76%</w:t>
            </w: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76%</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gridSpan w:val="2"/>
            <w:shd w:val="clear" w:color="auto" w:fill="CCEEFF"/>
          </w:tcPr>
          <w:p>
            <w:pPr>
              <w:jc w:val="right"/>
              <w:ind w:right="16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-1010920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-1010920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-1010920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-1010920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-1010920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-1010920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-1010920</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-1010920</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-1010920</wp:posOffset>
            </wp:positionV>
            <wp:extent cx="16884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25,</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26,</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280" w:type="dxa"/>
            <w:vAlign w:val="bottom"/>
            <w:gridSpan w:val="3"/>
            <w:shd w:val="clear" w:color="auto" w:fill="CCEEFF"/>
          </w:tcPr>
          <w:p>
            <w:pPr>
              <w:ind w:left="60"/>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18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(46) </w:t>
            </w:r>
            <w:r>
              <w:rPr>
                <w:rFonts w:ascii="Times New Roman" w:cs="Times New Roman" w:eastAsia="Times New Roman" w:hAnsi="Times New Roman"/>
                <w:sz w:val="25"/>
                <w:szCs w:val="25"/>
                <w:color w:val="auto"/>
                <w:vertAlign w:val="subscript"/>
              </w:rPr>
              <w:t>​​​</w:t>
            </w:r>
          </w:p>
        </w:tc>
        <w:tc>
          <w:tcPr>
            <w:tcW w:w="560" w:type="dxa"/>
            <w:vAlign w:val="bottom"/>
            <w:gridSpan w:val="3"/>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(44)</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(20)</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(11)</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$(117)</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6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 ​ ​133</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​149</w:t>
            </w: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​140</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​122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​122</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 113</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92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3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 40</w:t>
            </w:r>
          </w:p>
        </w:tc>
        <w:tc>
          <w:tcPr>
            <w:tcW w:w="3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24</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19</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Add: Expenses related to this</w:t>
            </w:r>
          </w:p>
        </w:tc>
        <w:tc>
          <w:tcPr>
            <w:tcW w:w="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6"/>
                <w:szCs w:val="16"/>
                <w:color w:val="auto"/>
              </w:rPr>
            </w:pPr>
          </w:p>
        </w:tc>
        <w:tc>
          <w:tcPr>
            <w:tcW w:w="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spacing w:after="0"/>
              <w:rPr>
                <w:sz w:val="16"/>
                <w:szCs w:val="16"/>
                <w:color w:val="auto"/>
              </w:rPr>
            </w:pP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340" w:type="dxa"/>
            <w:vAlign w:val="bottom"/>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vMerge w:val="continue"/>
          </w:tcPr>
          <w:p>
            <w:pPr>
              <w:spacing w:after="0"/>
              <w:rPr>
                <w:sz w:val="19"/>
                <w:szCs w:val="19"/>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tcPr>
          <w:p>
            <w:pPr>
              <w:spacing w:after="0"/>
              <w:rPr>
                <w:sz w:val="19"/>
                <w:szCs w:val="19"/>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continue"/>
          </w:tcPr>
          <w:p>
            <w:pPr>
              <w:spacing w:after="0"/>
              <w:rPr>
                <w:sz w:val="19"/>
                <w:szCs w:val="19"/>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tcPr>
          <w:p>
            <w:pPr>
              <w:spacing w:after="0"/>
              <w:rPr>
                <w:sz w:val="19"/>
                <w:szCs w:val="19"/>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continue"/>
          </w:tcPr>
          <w:p>
            <w:pPr>
              <w:spacing w:after="0"/>
              <w:rPr>
                <w:sz w:val="19"/>
                <w:szCs w:val="19"/>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gridSpan w:val="5"/>
            <w:shd w:val="clear" w:color="auto" w:fill="CCEEFF"/>
          </w:tcPr>
          <w:p>
            <w:pPr>
              <w:ind w:left="6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$182</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$143</w:t>
            </w:r>
          </w:p>
        </w:tc>
        <w:tc>
          <w:tcPr>
            <w:tcW w:w="38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$121</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$127</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$132</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169</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$137</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$ 66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103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income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40%</w:t>
            </w:r>
          </w:p>
        </w:tc>
        <w:tc>
          <w:tcPr>
            <w:tcW w:w="60" w:type="dxa"/>
            <w:vAlign w:val="bottom"/>
          </w:tcPr>
          <w:p>
            <w:pPr>
              <w:spacing w:after="0"/>
              <w:rPr>
                <w:sz w:val="16"/>
                <w:szCs w:val="16"/>
                <w:color w:val="auto"/>
              </w:rPr>
            </w:pPr>
          </w:p>
        </w:tc>
        <w:tc>
          <w:tcPr>
            <w:tcW w:w="680" w:type="dxa"/>
            <w:vAlign w:val="bottom"/>
            <w:gridSpan w:val="5"/>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36%</w:t>
            </w:r>
          </w:p>
        </w:tc>
        <w:tc>
          <w:tcPr>
            <w:tcW w:w="60" w:type="dxa"/>
            <w:vAlign w:val="bottom"/>
          </w:tcPr>
          <w:p>
            <w:pPr>
              <w:spacing w:after="0"/>
              <w:rPr>
                <w:sz w:val="16"/>
                <w:szCs w:val="16"/>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40%</w:t>
            </w: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vMerge w:val="continue"/>
          </w:tcPr>
          <w:p>
            <w:pPr>
              <w:spacing w:after="0"/>
              <w:rPr>
                <w:sz w:val="10"/>
                <w:szCs w:val="10"/>
                <w:color w:val="auto"/>
              </w:rPr>
            </w:pPr>
          </w:p>
        </w:tc>
        <w:tc>
          <w:tcPr>
            <w:tcW w:w="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continue"/>
          </w:tcPr>
          <w:p>
            <w:pPr>
              <w:spacing w:after="0"/>
              <w:rPr>
                <w:sz w:val="10"/>
                <w:szCs w:val="10"/>
                <w:color w:val="auto"/>
              </w:rPr>
            </w:pPr>
          </w:p>
        </w:tc>
        <w:tc>
          <w:tcPr>
            <w:tcW w:w="2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vMerge w:val="continue"/>
          </w:tcPr>
          <w:p>
            <w:pPr>
              <w:spacing w:after="0"/>
              <w:rPr>
                <w:sz w:val="10"/>
                <w:szCs w:val="10"/>
                <w:color w:val="auto"/>
              </w:rPr>
            </w:pPr>
          </w:p>
        </w:tc>
        <w:tc>
          <w:tcPr>
            <w:tcW w:w="3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00" w:type="dxa"/>
            <w:vAlign w:val="bottom"/>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jc w:val="right"/>
              <w:ind w:right="11"/>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tcPr>
          <w:p>
            <w:pPr>
              <w:jc w:val="right"/>
              <w:ind w:right="18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8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gridSpan w:val="2"/>
          </w:tcPr>
          <w:p>
            <w:pPr>
              <w:jc w:val="right"/>
              <w:ind w:right="108"/>
              <w:spacing w:after="0" w:line="95" w:lineRule="exact"/>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-445135</wp:posOffset>
            </wp:positionV>
            <wp:extent cx="9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-445135</wp:posOffset>
            </wp:positionV>
            <wp:extent cx="54178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-1362710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-1362710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-1362710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-1362710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-1362710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-1362710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-1362710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-1362710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-1362710</wp:posOffset>
            </wp:positionV>
            <wp:extent cx="16802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0"/>
              </w:rPr>
              <w:t>July 2,</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73"/>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September 25,</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27,</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680" w:type="dxa"/>
            <w:vAlign w:val="bottom"/>
            <w:tcBorders>
              <w:right w:val="single" w:sz="8" w:color="CCEEFF"/>
            </w:tcBorders>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  (7)</w:t>
            </w:r>
            <w:r>
              <w:rPr>
                <w:rFonts w:ascii="Times New Roman" w:cs="Times New Roman" w:eastAsia="Times New Roman" w:hAnsi="Times New Roman"/>
                <w:sz w:val="13"/>
                <w:szCs w:val="13"/>
                <w:color w:val="auto"/>
              </w:rPr>
              <w:t>​​​</w:t>
            </w:r>
          </w:p>
        </w:tc>
        <w:tc>
          <w:tcPr>
            <w:tcW w:w="740" w:type="dxa"/>
            <w:vAlign w:val="bottom"/>
            <w:gridSpan w:val="6"/>
            <w:shd w:val="clear" w:color="auto" w:fill="CCEEFF"/>
          </w:tcPr>
          <w:p>
            <w:pPr>
              <w:jc w:val="right"/>
              <w:ind w:right="16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(60) </w:t>
            </w:r>
            <w:r>
              <w:rPr>
                <w:rFonts w:ascii="Times New Roman" w:cs="Times New Roman" w:eastAsia="Times New Roman" w:hAnsi="Times New Roman"/>
                <w:sz w:val="25"/>
                <w:szCs w:val="25"/>
                <w:color w:val="auto"/>
                <w:vertAlign w:val="subscript"/>
              </w:rPr>
              <w:t>​​​</w:t>
            </w:r>
          </w:p>
        </w:tc>
        <w:tc>
          <w:tcPr>
            <w:tcW w:w="5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(53)</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(26)</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(21)</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(14)</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(70)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2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$(107) </w:t>
            </w:r>
            <w:r>
              <w:rPr>
                <w:rFonts w:ascii="Times New Roman" w:cs="Times New Roman" w:eastAsia="Times New Roman" w:hAnsi="Times New Roman"/>
                <w:sz w:val="25"/>
                <w:szCs w:val="25"/>
                <w:color w:val="auto"/>
                <w:vertAlign w:val="subscript"/>
              </w:rPr>
              <w: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​133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​149</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​140</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​122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​123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​122</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​123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 113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​92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 36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 40</w:t>
            </w:r>
          </w:p>
        </w:tc>
        <w:tc>
          <w:tcPr>
            <w:tcW w:w="3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24</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 Expenses related to this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  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Income tax effects</w:t>
            </w:r>
          </w:p>
        </w:tc>
        <w:tc>
          <w:tcPr>
            <w:tcW w:w="680" w:type="dxa"/>
            <w:vAlign w:val="bottom"/>
            <w:tcBorders>
              <w:right w:val="single" w:sz="8" w:color="CCEEFF"/>
            </w:tcBorders>
            <w:gridSpan w:val="4"/>
            <w:shd w:val="clear" w:color="auto" w:fill="CCEEFF"/>
          </w:tcPr>
          <w:p>
            <w:pPr>
              <w:jc w:val="right"/>
              <w:spacing w:after="0" w:line="247"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(9)</w:t>
            </w: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168"/>
              <w:spacing w:after="0" w:line="247"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 (9)</w:t>
            </w:r>
            <w:r>
              <w:rPr>
                <w:rFonts w:ascii="Times New Roman" w:cs="Times New Roman" w:eastAsia="Times New Roman" w:hAnsi="Times New Roman"/>
                <w:sz w:val="14"/>
                <w:szCs w:val="14"/>
                <w:color w:val="auto"/>
              </w:rPr>
              <w:t xml:space="preserve"> ​​​</w:t>
            </w:r>
          </w:p>
        </w:tc>
        <w:tc>
          <w:tcPr>
            <w:tcW w:w="580" w:type="dxa"/>
            <w:vAlign w:val="bottom"/>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w:t>
            </w:r>
          </w:p>
        </w:tc>
        <w:tc>
          <w:tcPr>
            <w:tcW w:w="3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6"/>
            <w:shd w:val="clear" w:color="auto" w:fill="CCEEFF"/>
          </w:tcPr>
          <w:p>
            <w:pPr>
              <w:jc w:val="right"/>
              <w:ind w:right="28"/>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(13)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6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$156</w:t>
            </w:r>
            <w:r>
              <w:rPr>
                <w:rFonts w:ascii="Times New Roman" w:cs="Times New Roman" w:eastAsia="Times New Roman" w:hAnsi="Times New Roman"/>
                <w:sz w:val="13"/>
                <w:szCs w:val="13"/>
                <w:color w:val="auto"/>
              </w:rPr>
              <w:t xml:space="preserve"> ​​​</w:t>
            </w:r>
          </w:p>
        </w:tc>
        <w:tc>
          <w:tcPr>
            <w:tcW w:w="3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$120</w:t>
            </w:r>
          </w:p>
        </w:tc>
        <w:tc>
          <w:tcPr>
            <w:tcW w:w="3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$ 97</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$107</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$112</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158</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$120</w:t>
            </w:r>
          </w:p>
        </w:tc>
        <w:tc>
          <w:tcPr>
            <w:tcW w:w="3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$ 58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44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net income margin</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34%</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30%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27%</w:t>
            </w:r>
          </w:p>
        </w:tc>
        <w:tc>
          <w:tcPr>
            <w:tcW w:w="36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33%</w:t>
            </w:r>
          </w:p>
        </w:tc>
        <w:tc>
          <w:tcPr>
            <w:tcW w:w="2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34%</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42%</w:t>
            </w:r>
          </w:p>
        </w:tc>
        <w:tc>
          <w:tcPr>
            <w:tcW w:w="3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36%</w:t>
            </w:r>
          </w:p>
        </w:tc>
        <w:tc>
          <w:tcPr>
            <w:tcW w:w="38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25%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gridSpan w:val="3"/>
            <w:shd w:val="clear" w:color="auto" w:fill="CCEEFF"/>
          </w:tcPr>
          <w:p>
            <w:pPr>
              <w:jc w:val="right"/>
              <w:ind w:right="16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80" w:type="dxa"/>
            <w:vAlign w:val="bottom"/>
            <w:gridSpan w:val="2"/>
            <w:shd w:val="clear" w:color="auto" w:fill="CCEEFF"/>
          </w:tcPr>
          <w:p>
            <w:pPr>
              <w:jc w:val="right"/>
              <w:ind w:right="8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ind w:right="2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-1396365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-1396365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-1396365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-1396365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-1396365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-1396365</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-1396365</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-1396365</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-1396365</wp:posOffset>
            </wp:positionV>
            <wp:extent cx="16884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48" w:lineRule="exact"/>
        <w:rPr>
          <w:sz w:val="20"/>
          <w:szCs w:val="20"/>
          <w:color w:val="auto"/>
        </w:rPr>
      </w:pPr>
    </w:p>
    <w:p>
      <w:pPr>
        <w:ind w:left="1260" w:right="860" w:firstLine="360"/>
        <w:spacing w:after="0" w:line="272" w:lineRule="auto"/>
        <w:rPr>
          <w:sz w:val="20"/>
          <w:szCs w:val="20"/>
          <w:color w:val="auto"/>
        </w:rPr>
      </w:pPr>
      <w:r>
        <w:rPr>
          <w:rFonts w:ascii="Times New Roman" w:cs="Times New Roman" w:eastAsia="Times New Roman" w:hAnsi="Times New Roman"/>
          <w:sz w:val="18"/>
          <w:szCs w:val="18"/>
          <w:color w:val="auto"/>
        </w:rPr>
        <w:t>In 2020, the entire automotive industry was severely impacted by COVID-19, resulting in global vehicle production declining by 16% compared to 2019. This led to fluctuations in our quarterly results. We experienced a temporary reduction in revenue and operating margin during the second and third quarters of 2020, followed by a sharp recovery that is reflected in the results of the fourth quarter of 2020 and the first quarter of 2021.</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starting in the fourth quarter of 2021 is mainly due to increased R&amp;D investments in connection with the launch of Mobileye SuperVision™ and AV productization.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32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or the six months ended July 2, 2022, due to our hedging services agreement with Intel.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application of our accounting policies may require us to make assumptions and estimates about future events and apply judgments that affect the reported amounts of assets, liabilities, revenue and expense, and the accompanying disclosures. We base our assumptions, estimates and judgments on historical experience, current trends and other factors that management believes to be relevant at the time the estimate was made.</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337"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2"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112"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we performed a quantitative impairment test at the reporting unit level, which had</w:t>
      </w:r>
    </w:p>
    <w:p>
      <w:pPr>
        <w:spacing w:after="0" w:line="27"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$111 million of allocated goodwill as of December 25, 2021. As of December 25, 2021, the reporting unit was not at risk of failing the quantitative impairment test and the fair value of the reporting unit substantially exceeded its carrying amount. As of July 2, 2022, no indicators of impairment were identified.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combined financial statements included elsewhere in this prospectus for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TAM to be approximately $ 16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 -term TAM as the market size in or about 2030. The TAM combines market opportunities in ADAS and AV, including AMaaS.</w:t>
      </w:r>
    </w:p>
    <w:p>
      <w:pPr>
        <w:spacing w:after="0" w:line="11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 For the six months ended July 2, 2022 and June 26, 2021, our revenue was $854 million and $704 million, respectively, representing period-over-period growth of 21%. We currently derive substantially all of our revenue from our commercially deployed ADAS solutions. We recorded a net losses of $75 million, $196 million, and $328 million in 2021, 2020, and 2019, respectively. We recorded a net loss of $67 million and net income of $4 million in the three months ended July 2, 2022 and June 26, 2021, respectively. Our Adjusted Net Income for 2021, 2020 and 2019 was $474 million, $289 million, and $51 million, respectively. Our Adjusted Net Income for the six months ended July 2, 2022 and June 26, 2021 was $276 million and $270 million, respectively.</w:t>
      </w:r>
    </w:p>
    <w:p>
      <w:pPr>
        <w:spacing w:after="0" w:line="118" w:lineRule="exact"/>
        <w:rPr>
          <w:sz w:val="20"/>
          <w:szCs w:val="20"/>
          <w:color w:val="auto"/>
        </w:rPr>
      </w:pPr>
    </w:p>
    <w:p>
      <w:pPr>
        <w:ind w:left="1260" w:right="539" w:firstLine="360"/>
        <w:spacing w:after="0" w:line="213" w:lineRule="exact"/>
        <w:rPr>
          <w:sz w:val="20"/>
          <w:szCs w:val="20"/>
          <w:color w:val="auto"/>
        </w:rPr>
      </w:pPr>
      <w:r>
        <w:rPr>
          <w:rFonts w:ascii="Times New Roman" w:cs="Times New Roman" w:eastAsia="Times New Roman" w:hAnsi="Times New Roman"/>
          <w:sz w:val="18"/>
          <w:szCs w:val="18"/>
          <w:color w:val="auto"/>
        </w:rPr>
        <w:t>As noted elsewhere in this prospectus, the six months ended July 2, 2022 contains an additional week as a result of 2022 being a 53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week fiscal year while 2021, 2020, and 2019 are 52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spacing w:after="0" w:line="2" w:lineRule="exact"/>
        <w:rPr>
          <w:sz w:val="20"/>
          <w:szCs w:val="20"/>
          <w:color w:val="auto"/>
        </w:rPr>
      </w:pPr>
    </w:p>
    <w:p>
      <w:pPr>
        <w:ind w:left="1260" w:right="479"/>
        <w:spacing w:after="0" w:line="264"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July 2, 2022.</w:t>
      </w:r>
    </w:p>
    <w:p>
      <w:pPr>
        <w:spacing w:after="0" w:line="336" w:lineRule="exact"/>
        <w:rPr>
          <w:sz w:val="20"/>
          <w:szCs w:val="20"/>
          <w:color w:val="auto"/>
        </w:rPr>
      </w:pPr>
    </w:p>
    <w:p>
      <w:pPr>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48"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91" w:lineRule="exact"/>
        <w:rPr>
          <w:sz w:val="20"/>
          <w:szCs w:val="20"/>
          <w:color w:val="auto"/>
        </w:rPr>
      </w:pPr>
    </w:p>
    <w:p>
      <w:pPr>
        <w:ind w:left="1800" w:right="439" w:hanging="180"/>
        <w:spacing w:after="0" w:line="228"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84" w:lineRule="exact"/>
        <w:rPr>
          <w:rFonts w:ascii="Times New Roman" w:cs="Times New Roman" w:eastAsia="Times New Roman" w:hAnsi="Times New Roman"/>
          <w:sz w:val="18"/>
          <w:szCs w:val="18"/>
          <w:color w:val="auto"/>
        </w:rPr>
      </w:pPr>
    </w:p>
    <w:p>
      <w:pPr>
        <w:ind w:left="1800" w:right="439" w:hanging="180"/>
        <w:spacing w:after="0" w:line="217"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generates AV maps from crowd-sourced data that is uploaded and analyzed in the cloud from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production ADAS solutions that are deployed on vehicles on the road;</w:t>
      </w:r>
    </w:p>
    <w:p>
      <w:pPr>
        <w:spacing w:after="0" w:line="82" w:lineRule="exact"/>
        <w:rPr>
          <w:rFonts w:ascii="Times New Roman" w:cs="Times New Roman" w:eastAsia="Times New Roman" w:hAnsi="Times New Roman"/>
          <w:sz w:val="18"/>
          <w:szCs w:val="18"/>
          <w:color w:val="auto"/>
        </w:rPr>
      </w:pPr>
    </w:p>
    <w:p>
      <w:pPr>
        <w:ind w:left="1800" w:right="559" w:hanging="180"/>
        <w:spacing w:after="0" w:line="243"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102"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9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3660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84" w:lineRule="exact"/>
        <w:rPr>
          <w:sz w:val="20"/>
          <w:szCs w:val="20"/>
          <w:color w:val="auto"/>
        </w:rPr>
      </w:pPr>
    </w:p>
    <w:p>
      <w:pPr>
        <w:ind w:left="1800" w:right="89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40"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40"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60" w:right="439" w:firstLine="360"/>
        <w:spacing w:after="0" w:line="222"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6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19" w:lineRule="exact"/>
        <w:rPr>
          <w:sz w:val="20"/>
          <w:szCs w:val="20"/>
          <w:color w:val="auto"/>
        </w:rPr>
      </w:pPr>
    </w:p>
    <w:p>
      <w:pPr>
        <w:ind w:left="1800" w:right="559"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spacing w:after="0" w:line="282" w:lineRule="auto"/>
        <w:rPr>
          <w:sz w:val="20"/>
          <w:szCs w:val="20"/>
          <w:color w:val="auto"/>
        </w:rPr>
      </w:pPr>
      <w:r>
        <w:rPr>
          <w:rFonts w:ascii="Times New Roman" w:cs="Times New Roman" w:eastAsia="Times New Roman" w:hAnsi="Times New Roman"/>
          <w:sz w:val="18"/>
          <w:szCs w:val="18"/>
          <w:color w:val="auto"/>
        </w:rPr>
        <w:t>drive without the limitations of pre-mapped geofenced zones. These AV maps will support our efforts to deploy in new cities and geographies quickly;</w:t>
      </w:r>
    </w:p>
    <w:p>
      <w:pPr>
        <w:spacing w:after="0" w:line="1" w:lineRule="exact"/>
        <w:rPr>
          <w:sz w:val="20"/>
          <w:szCs w:val="20"/>
          <w:color w:val="auto"/>
        </w:rPr>
      </w:pPr>
    </w:p>
    <w:p>
      <w:pPr>
        <w:ind w:left="1800" w:right="579" w:hanging="180"/>
        <w:spacing w:after="0" w:line="215"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monolithic “AV-on-Chip”, covers our autonomous driving solutions portfolio;</w:t>
      </w:r>
    </w:p>
    <w:p>
      <w:pPr>
        <w:spacing w:after="0" w:line="7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6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of 2022 design wins and approximately 50 million vehicles based on our 2021 design wins. We currently ship a variety of ADAS solutions to 13 of the 15 largest automakers in the world in addition to many smaller OEMs, and we are recognized for our top -rated safety solutions globally. For example, 66% of Euro NCAP 5-star rated vehicle models for 2018-2021 are equipped with our solutions, with the Euro NCAP widely recognized as the most stringent in regulating automotive safety, and many other regional NCAPs following its leadership.</w:t>
      </w:r>
    </w:p>
    <w:p>
      <w:pPr>
        <w:spacing w:after="0" w:line="99" w:lineRule="exact"/>
        <w:rPr>
          <w:sz w:val="20"/>
          <w:szCs w:val="20"/>
          <w:color w:val="auto"/>
        </w:rPr>
      </w:pPr>
    </w:p>
    <w:p>
      <w:pPr>
        <w:ind w:left="1260" w:right="67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102870</wp:posOffset>
            </wp:positionV>
            <wp:extent cx="5109210" cy="1680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092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60" w:right="459" w:firstLine="360"/>
        <w:spacing w:after="0" w:line="218"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ECU architecture,</w:t>
      </w:r>
    </w:p>
    <w:p>
      <w:pPr>
        <w:spacing w:after="0" w:line="4" w:lineRule="exact"/>
        <w:rPr>
          <w:sz w:val="20"/>
          <w:szCs w:val="20"/>
          <w:color w:val="auto"/>
        </w:rPr>
      </w:pPr>
    </w:p>
    <w:p>
      <w:pPr>
        <w:ind w:left="1260" w:right="499"/>
        <w:spacing w:after="0" w:line="213" w:lineRule="auto"/>
        <w:rPr>
          <w:sz w:val="20"/>
          <w:szCs w:val="20"/>
          <w:color w:val="auto"/>
        </w:rPr>
      </w:pPr>
      <w:r>
        <w:rPr>
          <w:rFonts w:ascii="Times New Roman" w:cs="Times New Roman" w:eastAsia="Times New Roman" w:hAnsi="Times New Roman"/>
          <w:sz w:val="18"/>
          <w:szCs w:val="18"/>
          <w:color w:val="auto"/>
        </w:rPr>
        <w:t>thereby supporting a variety of ADAS solution architectures. These solutions range from base, windshield mounted ECUs to multi-SoC central compute ECUs as well as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expected to be capable of hosting the full workload of autonomous driving under stringent</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459"/>
        <w:spacing w:after="0" w:line="222" w:lineRule="auto"/>
        <w:rPr>
          <w:sz w:val="20"/>
          <w:szCs w:val="20"/>
          <w:color w:val="auto"/>
        </w:rPr>
      </w:pPr>
      <w:r>
        <w:rPr>
          <w:rFonts w:ascii="Times New Roman" w:cs="Times New Roman" w:eastAsia="Times New Roman" w:hAnsi="Times New Roman"/>
          <w:sz w:val="18"/>
          <w:szCs w:val="18"/>
          <w:color w:val="auto"/>
        </w:rPr>
        <w:t>cost and power efficiency metrics.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and subsequent generations feature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 end-to-end SDK intended to enable the co-hosting of our partners’ and customers’ workloads alongside our cutting-edge AI technologies.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evolution of our core competencies and differentiated central compute knowhow.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used by several OEMs and Tier 1s, and hosts third-party content such as driver monitoring systems, parking functions, and visualization features. Our end-to-end software model encourages our customers to innovate on top of our platform, augmenting and differentiating their offerings, while benefiting from our cutting-edge, verified, and validated core ADAS capabilities. Importantly,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123190</wp:posOffset>
            </wp:positionV>
            <wp:extent cx="4954905" cy="26142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5490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Road Experience Management</w:t>
      </w:r>
      <w:r>
        <w:rPr>
          <w:rFonts w:ascii="Times New Roman" w:cs="Times New Roman" w:eastAsia="Times New Roman" w:hAnsi="Times New Roman"/>
          <w:sz w:val="26"/>
          <w:szCs w:val="26"/>
          <w:i w:val="1"/>
          <w:iCs w:val="1"/>
          <w:color w:val="auto"/>
          <w:vertAlign w:val="superscript"/>
        </w:rPr>
        <w:t>™</w:t>
      </w:r>
    </w:p>
    <w:p>
      <w:pPr>
        <w:spacing w:after="0" w:line="68" w:lineRule="exact"/>
        <w:rPr>
          <w:sz w:val="20"/>
          <w:szCs w:val="20"/>
          <w:color w:val="auto"/>
        </w:rPr>
      </w:pPr>
    </w:p>
    <w:p>
      <w:pPr>
        <w:ind w:left="1260" w:right="419" w:firstLine="360"/>
        <w:spacing w:after="0" w:line="212" w:lineRule="auto"/>
        <w:rPr>
          <w:sz w:val="20"/>
          <w:szCs w:val="20"/>
          <w:color w:val="auto"/>
        </w:rPr>
      </w:pPr>
      <w:r>
        <w:rPr>
          <w:rFonts w:ascii="Times New Roman" w:cs="Times New Roman" w:eastAsia="Times New Roman" w:hAnsi="Times New Roman"/>
          <w:sz w:val="18"/>
          <w:szCs w:val="18"/>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cloud-based system that leverages the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vehicles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crowd-sourced, high-definition maps of roads from around the world.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harvests Road Segment Data from millions of vehicles in small packets that have been launched by our partner OEMs since 2018 that are equipped with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seamlessly creates high-precision AV maps in the cloud at centimeter detail, which are then delivered to the edge to provide vehicles with real-time intelligence, including situational awareness, context, and foresight.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As of July 2, 2022, we had collected 8.6 billion miles of road data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and were analyzing up to</w:t>
      </w:r>
    </w:p>
    <w:p>
      <w:pPr>
        <w:spacing w:after="0" w:line="4" w:lineRule="exact"/>
        <w:rPr>
          <w:sz w:val="20"/>
          <w:szCs w:val="20"/>
          <w:color w:val="auto"/>
        </w:rPr>
      </w:pPr>
    </w:p>
    <w:p>
      <w:pPr>
        <w:jc w:val="both"/>
        <w:ind w:left="1260" w:right="1079"/>
        <w:spacing w:after="0" w:line="235" w:lineRule="auto"/>
        <w:rPr>
          <w:sz w:val="20"/>
          <w:szCs w:val="20"/>
          <w:color w:val="auto"/>
        </w:rPr>
      </w:pPr>
      <w:r>
        <w:rPr>
          <w:rFonts w:ascii="Times New Roman" w:cs="Times New Roman" w:eastAsia="Times New Roman" w:hAnsi="Times New Roman"/>
          <w:sz w:val="18"/>
          <w:szCs w:val="18"/>
          <w:color w:val="auto"/>
        </w:rPr>
        <w:t>43 million miles of road data per day, with the size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fleet increasing daily. For comparison, the total length of paved roads in the United States, European Union, India, and China combined is less than 15 million miles.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544195</wp:posOffset>
            </wp:positionV>
            <wp:extent cx="4954905" cy="6137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54905" cy="613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right="559" w:firstLine="360"/>
        <w:spacing w:after="0" w:line="236" w:lineRule="auto"/>
        <w:rPr>
          <w:sz w:val="20"/>
          <w:szCs w:val="20"/>
          <w:color w:val="auto"/>
        </w:rPr>
      </w:pPr>
      <w:r>
        <w:rPr>
          <w:rFonts w:ascii="Times New Roman" w:cs="Times New Roman" w:eastAsia="Times New Roman" w:hAnsi="Times New Roman"/>
          <w:sz w:val="18"/>
          <w:szCs w:val="18"/>
          <w:color w:val="auto"/>
        </w:rPr>
        <w:t>By augmenting our base ADAS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have pioneered the new ADAS category of cloud-enhanced ADAS, which we call Cloud-Enhanced Driver Assist. Cloud-Enhanced Driver Assist includes an in-path driver assist function capable of:</w:t>
      </w:r>
    </w:p>
    <w:p>
      <w:pPr>
        <w:spacing w:after="0" w:line="63" w:lineRule="exact"/>
        <w:rPr>
          <w:sz w:val="20"/>
          <w:szCs w:val="20"/>
          <w:color w:val="auto"/>
        </w:rPr>
      </w:pPr>
    </w:p>
    <w:p>
      <w:pPr>
        <w:ind w:left="1800" w:right="43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Laterally controlling the vehicle to accurately track the driving path even in cases where lane markings are poorly marked, partly visible, or completely absent (for example, while driving through intersections); and</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 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True Redundancy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Our Unique Sensor Fusion Architecture</w:t>
      </w:r>
    </w:p>
    <w:p>
      <w:pPr>
        <w:spacing w:after="0" w:line="68" w:lineRule="exact"/>
        <w:rPr>
          <w:sz w:val="20"/>
          <w:szCs w:val="20"/>
          <w:color w:val="auto"/>
        </w:rPr>
      </w:pPr>
    </w:p>
    <w:p>
      <w:pPr>
        <w:ind w:left="1260" w:right="419" w:firstLine="360"/>
        <w:spacing w:after="0" w:line="229" w:lineRule="auto"/>
        <w:rPr>
          <w:sz w:val="20"/>
          <w:szCs w:val="20"/>
          <w:color w:val="auto"/>
        </w:rPr>
      </w:pPr>
      <w:r>
        <w:rPr>
          <w:rFonts w:ascii="Times New Roman" w:cs="Times New Roman" w:eastAsia="Times New Roman" w:hAnsi="Times New Roman"/>
          <w:sz w:val="18"/>
          <w:szCs w:val="18"/>
          <w:color w:val="auto"/>
        </w:rPr>
        <w:t>Our unique architecture design, called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 level with a simple decision mechanism for safety maneuvers and more complex “comfort” maneuvers for human-like driving. We have announced a robotaxi with a unified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including radar and lidar subsystems, and we expect this vehicle to be on the road in 2022. In 2021, we announced the expected initial commercial deployment of our AMaaS offering in Munich and Tel Aviv together with Moovit in addition to our current testing sites in China, Israel, Detroit, Miami, Munich, Paris, Stuttgart and Tokyo.</w:t>
      </w:r>
    </w:p>
    <w:p>
      <w:pPr>
        <w:spacing w:after="0" w:line="90" w:lineRule="exact"/>
        <w:rPr>
          <w:sz w:val="20"/>
          <w:szCs w:val="20"/>
          <w:color w:val="auto"/>
        </w:rPr>
      </w:pPr>
    </w:p>
    <w:p>
      <w:pPr>
        <w:jc w:val="both"/>
        <w:ind w:left="1260" w:right="479" w:firstLine="360"/>
        <w:spacing w:after="0" w:line="209" w:lineRule="auto"/>
        <w:rPr>
          <w:sz w:val="20"/>
          <w:szCs w:val="20"/>
          <w:color w:val="auto"/>
        </w:rPr>
      </w:pPr>
      <w:r>
        <w:rPr>
          <w:rFonts w:ascii="Times New Roman" w:cs="Times New Roman" w:eastAsia="Times New Roman" w:hAnsi="Times New Roman"/>
          <w:sz w:val="18"/>
          <w:szCs w:val="18"/>
          <w:color w:val="auto"/>
        </w:rPr>
        <w:t>A byproduct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recently launched by</w:t>
      </w:r>
    </w:p>
    <w:p>
      <w:pPr>
        <w:spacing w:after="0" w:line="2" w:lineRule="exact"/>
        <w:rPr>
          <w:sz w:val="20"/>
          <w:szCs w:val="20"/>
          <w:color w:val="auto"/>
        </w:rPr>
      </w:pPr>
    </w:p>
    <w:p>
      <w:pPr>
        <w:ind w:left="1260" w:right="419"/>
        <w:spacing w:after="0" w:line="225" w:lineRule="auto"/>
        <w:rPr>
          <w:sz w:val="20"/>
          <w:szCs w:val="20"/>
          <w:color w:val="auto"/>
        </w:rPr>
      </w:pPr>
      <w:r>
        <w:rPr>
          <w:rFonts w:ascii="Times New Roman" w:cs="Times New Roman" w:eastAsia="Times New Roman" w:hAnsi="Times New Roman"/>
          <w:sz w:val="18"/>
          <w:szCs w:val="18"/>
          <w:color w:val="auto"/>
        </w:rPr>
        <w:t>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enables us to considerably enhance the evolution of ADAS from front -facing camera solutions to a full surround multi-camera solution supporting fully operational “eyes-on” functions.</w:t>
      </w:r>
    </w:p>
    <w:p>
      <w:pPr>
        <w:spacing w:after="0" w:line="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w:t>
      </w:r>
    </w:p>
    <w:p>
      <w:pPr>
        <w:ind w:left="1260" w:right="759"/>
        <w:spacing w:after="0" w:line="223" w:lineRule="auto"/>
        <w:rPr>
          <w:sz w:val="20"/>
          <w:szCs w:val="20"/>
          <w:color w:val="auto"/>
        </w:rPr>
      </w:pPr>
      <w:r>
        <w:rPr>
          <w:rFonts w:ascii="Times New Roman" w:cs="Times New Roman" w:eastAsia="Times New Roman" w:hAnsi="Times New Roman"/>
          <w:sz w:val="18"/>
          <w:szCs w:val="18"/>
          <w:color w:val="auto"/>
        </w:rPr>
        <w:t>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Our AV maps provide areas of potential dangers (such as lane merges,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28" w:lineRule="auto"/>
        <w:rPr>
          <w:sz w:val="20"/>
          <w:szCs w:val="20"/>
          <w:color w:val="auto"/>
        </w:rPr>
      </w:pPr>
      <w:r>
        <w:rPr>
          <w:rFonts w:ascii="Times New Roman" w:cs="Times New Roman" w:eastAsia="Times New Roman" w:hAnsi="Times New Roman"/>
          <w:sz w:val="18"/>
          <w:szCs w:val="18"/>
          <w:color w:val="auto"/>
        </w:rPr>
        <w:t>traffic lights and occluded pedestrians) and adjust the driving accordingly, while RSS provides human-like decisions enabled by surround (360) sensing and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 We believe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101"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In addition, the autonomous driving-ADAS interplay rooted in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2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302"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with two separate subsystems combines both cameras and software-defined imaging radar around the vehicle, with a single front-facing lidar for three-way redundancy, which will be powered by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AV-on-Chip. This unique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designed to bring the cost structure of a full self-driving system to a consumer level by having the imaging radars replace the multiple, expensive lidars around the vehicle and require only a single front-facing lidar, enabling “eyes-off/hands-free” Level 4 autonomous solutions to be launched at scale. Until completion of development of our software-defined imaging radar, we expect the implementation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to employ third-party lidars and commercially available radars.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67310</wp:posOffset>
            </wp:positionV>
            <wp:extent cx="4954905" cy="26060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954905" cy="26060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4003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9549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20" w:right="639"/>
        <w:spacing w:after="0"/>
        <w:rPr>
          <w:sz w:val="20"/>
          <w:szCs w:val="20"/>
          <w:color w:val="auto"/>
        </w:rPr>
      </w:pPr>
      <w:r>
        <w:rPr>
          <w:rFonts w:ascii="Times New Roman" w:cs="Times New Roman" w:eastAsia="Times New Roman" w:hAnsi="Times New Roman"/>
          <w:sz w:val="14"/>
          <w:szCs w:val="14"/>
          <w:color w:val="auto"/>
        </w:rPr>
        <w:t>Represents commercially deployed solutions (Driver Assist, Cloud-Enhanced Driver Assist and Mobileye SuperVision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solutions that we expect to be commercially deployed in the future (Mobileye Chauffeur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Mobileye Drive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AMaaS).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w:t>
      </w:r>
    </w:p>
    <w:p>
      <w:pPr>
        <w:ind w:left="1260" w:right="619"/>
        <w:spacing w:after="0" w:line="199" w:lineRule="auto"/>
        <w:rPr>
          <w:sz w:val="20"/>
          <w:szCs w:val="20"/>
          <w:color w:val="auto"/>
        </w:rPr>
      </w:pPr>
      <w:r>
        <w:rPr>
          <w:rFonts w:ascii="Times New Roman" w:cs="Times New Roman" w:eastAsia="Times New Roman" w:hAnsi="Times New Roman"/>
          <w:sz w:val="18"/>
          <w:szCs w:val="18"/>
          <w:color w:val="auto"/>
        </w:rPr>
        <w:t>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Mobileye</w:t>
      </w:r>
    </w:p>
    <w:p>
      <w:pPr>
        <w:spacing w:after="0" w:line="2" w:lineRule="exact"/>
        <w:rPr>
          <w:sz w:val="20"/>
          <w:szCs w:val="20"/>
          <w:color w:val="auto"/>
        </w:rPr>
      </w:pPr>
    </w:p>
    <w:p>
      <w:pPr>
        <w:ind w:left="1260" w:right="459"/>
        <w:spacing w:after="0" w:line="222" w:lineRule="auto"/>
        <w:rPr>
          <w:sz w:val="20"/>
          <w:szCs w:val="20"/>
          <w:color w:val="auto"/>
        </w:rPr>
      </w:pPr>
      <w:r>
        <w:rPr>
          <w:rFonts w:ascii="Times New Roman" w:cs="Times New Roman" w:eastAsia="Times New Roman" w:hAnsi="Times New Roman"/>
          <w:sz w:val="18"/>
          <w:szCs w:val="18"/>
          <w:color w:val="auto"/>
        </w:rPr>
        <w:t>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 -facing lidar, but may require driver intervention in certain situations. The first generation will be based on six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5High SoCs, and future generations will be powered by one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We believe that this design win is an early sign of broad interest in consumer-level “eyes-off/​hands-free” driving.</w:t>
      </w:r>
    </w:p>
    <w:p>
      <w:pPr>
        <w:spacing w:after="0" w:line="85" w:lineRule="exact"/>
        <w:rPr>
          <w:sz w:val="20"/>
          <w:szCs w:val="20"/>
          <w:color w:val="auto"/>
        </w:rPr>
      </w:pPr>
    </w:p>
    <w:p>
      <w:pPr>
        <w:ind w:left="1260" w:right="639" w:firstLine="360"/>
        <w:spacing w:after="0" w:line="200" w:lineRule="auto"/>
        <w:rPr>
          <w:sz w:val="20"/>
          <w:szCs w:val="20"/>
          <w:color w:val="auto"/>
        </w:rPr>
      </w:pPr>
      <w:r>
        <w:rPr>
          <w:rFonts w:ascii="Times New Roman" w:cs="Times New Roman" w:eastAsia="Times New Roman" w:hAnsi="Times New Roman"/>
          <w:sz w:val="18"/>
          <w:szCs w:val="18"/>
          <w:color w:val="auto"/>
        </w:rPr>
        <w:t>Building upon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targets the consumer-owned AV market, we are developing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self-driving system targeted for fleet-owned AMaaS and goods</w:t>
      </w:r>
    </w:p>
    <w:p>
      <w:pPr>
        <w:spacing w:after="0" w:line="2" w:lineRule="exact"/>
        <w:rPr>
          <w:sz w:val="20"/>
          <w:szCs w:val="20"/>
          <w:color w:val="auto"/>
        </w:rPr>
      </w:pPr>
    </w:p>
    <w:p>
      <w:pPr>
        <w:ind w:left="1260" w:right="479"/>
        <w:spacing w:after="0" w:line="238" w:lineRule="auto"/>
        <w:rPr>
          <w:sz w:val="20"/>
          <w:szCs w:val="20"/>
          <w:color w:val="auto"/>
        </w:rPr>
      </w:pPr>
      <w:r>
        <w:rPr>
          <w:rFonts w:ascii="Times New Roman" w:cs="Times New Roman" w:eastAsia="Times New Roman" w:hAnsi="Times New Roman"/>
          <w:sz w:val="18"/>
          <w:szCs w:val="18"/>
          <w:color w:val="auto"/>
        </w:rPr>
        <w:t>delivery networks. While these markets are still nascent, we view the potential use of autonomous driving technology by the operators of passenger and goods transportation networks as unlocking significant efficiencies and safety improvements. While these networks will require multiple layers of technology, we believe the majority of the value will accrue to the companies that provide (1) the self-driving system itself,</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 the mobility intelligence platform and services, and (3) demand and user experience.</w:t>
      </w:r>
    </w:p>
    <w:p>
      <w:pPr>
        <w:spacing w:after="0" w:line="89" w:lineRule="exact"/>
        <w:rPr>
          <w:sz w:val="20"/>
          <w:szCs w:val="20"/>
          <w:color w:val="auto"/>
        </w:rPr>
      </w:pPr>
    </w:p>
    <w:p>
      <w:pPr>
        <w:ind w:left="1260" w:right="499" w:firstLine="360"/>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Self-Driving System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our core autonomous driving technologies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75" w:lineRule="exact"/>
        <w:rPr>
          <w:sz w:val="20"/>
          <w:szCs w:val="20"/>
          <w:color w:val="auto"/>
        </w:rPr>
      </w:pPr>
    </w:p>
    <w:p>
      <w:pPr>
        <w:ind w:left="1800" w:right="459" w:hanging="180"/>
        <w:spacing w:after="0" w:line="28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 cost-efficient, low-energy, purpose-built central compute processors; imaging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radars targeted to reduce the need for multiple lidar units and require only a single front-facing lidar;</w:t>
      </w:r>
    </w:p>
    <w:p>
      <w:pPr>
        <w:spacing w:after="0" w:line="15" w:lineRule="exact"/>
        <w:rPr>
          <w:rFonts w:ascii="Times New Roman" w:cs="Times New Roman" w:eastAsia="Times New Roman" w:hAnsi="Times New Roman"/>
          <w:sz w:val="18"/>
          <w:szCs w:val="18"/>
          <w:color w:val="auto"/>
        </w:rPr>
      </w:pPr>
    </w:p>
    <w:p>
      <w:pPr>
        <w:ind w:left="1800" w:right="459" w:hanging="180"/>
        <w:spacing w:after="0" w:line="239"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Scalability</w:t>
      </w:r>
      <w:r>
        <w:rPr>
          <w:rFonts w:ascii="Times New Roman" w:cs="Times New Roman" w:eastAsia="Times New Roman" w:hAnsi="Times New Roman"/>
          <w:sz w:val="18"/>
          <w:szCs w:val="18"/>
          <w:color w:val="auto"/>
        </w:rPr>
        <w:t> —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-based AV maps that eliminate the need for dedicated high-definition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55" w:lineRule="exact"/>
        <w:rPr>
          <w:rFonts w:ascii="Times New Roman" w:cs="Times New Roman" w:eastAsia="Times New Roman" w:hAnsi="Times New Roman"/>
          <w:sz w:val="18"/>
          <w:szCs w:val="18"/>
          <w:color w:val="auto"/>
        </w:rPr>
      </w:pPr>
    </w:p>
    <w:p>
      <w:pPr>
        <w:ind w:left="1800" w:right="599"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Validation</w:t>
      </w:r>
      <w:r>
        <w:rPr>
          <w:rFonts w:ascii="Times New Roman" w:cs="Times New Roman" w:eastAsia="Times New Roman" w:hAnsi="Times New Roman"/>
          <w:sz w:val="18"/>
          <w:szCs w:val="18"/>
          <w:color w:val="auto"/>
        </w:rPr>
        <w:t> —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independent, separate perception subsystems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robustness and ease of validation, RSS used by international bodies that are currently developing standards with respect to the safety of AV.</w:t>
      </w:r>
    </w:p>
    <w:p>
      <w:pPr>
        <w:spacing w:after="0" w:line="115"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Mobility Intelligence Platform, Demand and Services</w:t>
      </w:r>
      <w:r>
        <w:rPr>
          <w:rFonts w:ascii="Times New Roman" w:cs="Times New Roman" w:eastAsia="Times New Roman" w:hAnsi="Times New Roman"/>
          <w:sz w:val="18"/>
          <w:szCs w:val="18"/>
          <w:color w:val="auto"/>
        </w:rPr>
        <w:t> — We provide this layer through Moovit,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urban mobility app and MaaS solutions provider, which was acquired by Intel in 2020 to support</w:t>
      </w:r>
    </w:p>
    <w:p>
      <w:pPr>
        <w:sectPr>
          <w:pgSz w:w="11900" w:h="16838" w:orient="portrait"/>
          <w:cols w:equalWidth="0" w:num="1">
            <w:col w:w="9879"/>
          </w:cols>
          <w:pgMar w:left="580" w:top="97" w:right="1440" w:bottom="1440" w:gutter="0" w:footer="0" w:header="0"/>
        </w:sect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61" w:lineRule="auto"/>
        <w:rPr>
          <w:sz w:val="20"/>
          <w:szCs w:val="20"/>
          <w:color w:val="auto"/>
        </w:rPr>
      </w:pPr>
      <w:r>
        <w:rPr>
          <w:rFonts w:ascii="Times New Roman" w:cs="Times New Roman" w:eastAsia="Times New Roman" w:hAnsi="Times New Roman"/>
          <w:sz w:val="18"/>
          <w:szCs w:val="18"/>
          <w:color w:val="auto"/>
        </w:rPr>
        <w:t>the Mobileye business and which will become wholly owned by us as part of the Reorganization. As of July 2, 2022, Moovit had more than 1.5 billion users globally and service in over 3,500 cities across</w:t>
      </w:r>
    </w:p>
    <w:p>
      <w:pPr>
        <w:jc w:val="both"/>
        <w:ind w:left="1260" w:right="499"/>
        <w:spacing w:after="0" w:line="255" w:lineRule="auto"/>
        <w:rPr>
          <w:sz w:val="20"/>
          <w:szCs w:val="20"/>
          <w:color w:val="auto"/>
        </w:rPr>
      </w:pPr>
      <w:r>
        <w:rPr>
          <w:rFonts w:ascii="Times New Roman" w:cs="Times New Roman" w:eastAsia="Times New Roman" w:hAnsi="Times New Roman"/>
          <w:sz w:val="18"/>
          <w:szCs w:val="18"/>
          <w:color w:val="auto"/>
        </w:rPr>
        <w:t>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14"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Demand and Rider Experience</w:t>
      </w:r>
      <w:r>
        <w:rPr>
          <w:rFonts w:ascii="Times New Roman" w:cs="Times New Roman" w:eastAsia="Times New Roman" w:hAnsi="Times New Roman"/>
          <w:sz w:val="18"/>
          <w:szCs w:val="18"/>
          <w:color w:val="auto"/>
        </w:rPr>
        <w:t> — Moovit’s global user base also provides a ready consumer base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business-to-business customers. It also provides the necessary service and user-base layer within our own AMaaS solution.</w:t>
      </w:r>
    </w:p>
    <w:p>
      <w:pPr>
        <w:spacing w:after="0" w:line="10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1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106045</wp:posOffset>
            </wp:positionV>
            <wp:extent cx="3128645" cy="27946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1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that the path to full autonomy at scale will begin with increased proliferation of the middle category — premium driver assist — enabling hands- 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117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245745</wp:posOffset>
            </wp:positionV>
            <wp:extent cx="4954905" cy="21088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549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Models for AV Adoption</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we believe consumer-owned and operated AVs will fundamentally change how individuals utilize their vehicles. Today, cars are in operation for an average of only approximately one hour per day, 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66" w:lineRule="auto"/>
        <w:rPr>
          <w:sz w:val="20"/>
          <w:szCs w:val="20"/>
          <w:color w:val="auto"/>
        </w:rPr>
      </w:pPr>
      <w:r>
        <w:rPr>
          <w:rFonts w:ascii="Times New Roman" w:cs="Times New Roman" w:eastAsia="Times New Roman" w:hAnsi="Times New Roman"/>
          <w:sz w:val="18"/>
          <w:szCs w:val="18"/>
          <w:color w:val="auto"/>
        </w:rPr>
        <w:t>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00" w:right="499" w:hanging="180"/>
        <w:spacing w:after="0" w:line="25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312"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74"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The cost of a self-driving system commonly employed by robotaxis, with its cameras, radars,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60" w:right="459" w:firstLine="360"/>
        <w:spacing w:after="0" w:line="234"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full-surround computer vision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developing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consumer AV solution with a human driver still in the driver’s seat that may require driver intervention in certain situations,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autonomous driving solution. Together with Moovit’s urban mobility and transit application and its global user base, we are developing our own AMaaS offering for consumers built upon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End-to-End ADAS and AV 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Driver Assist</w:t>
      </w:r>
    </w:p>
    <w:p>
      <w:pPr>
        <w:spacing w:after="0" w:line="148"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Cloud-Enhanced Driver Assist</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This additional input to the environmental model enhances speed and quality of the system’s decision-making. Our Cloud-Enhanced Driver Assist solution is category-defining and,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34"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Our Cloud-Enhanced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98425</wp:posOffset>
            </wp:positionV>
            <wp:extent cx="5109210" cy="2091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09210" cy="20916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p>
    <w:p>
      <w:pPr>
        <w:spacing w:after="0" w:line="70" w:lineRule="exact"/>
        <w:rPr>
          <w:sz w:val="20"/>
          <w:szCs w:val="20"/>
          <w:color w:val="auto"/>
        </w:rPr>
      </w:pPr>
    </w:p>
    <w:p>
      <w:pPr>
        <w:ind w:left="1260" w:right="419" w:firstLine="360"/>
        <w:spacing w:after="0" w:line="197" w:lineRule="auto"/>
        <w:rPr>
          <w:sz w:val="20"/>
          <w:szCs w:val="20"/>
          <w:color w:val="auto"/>
        </w:rPr>
      </w:pPr>
      <w:r>
        <w:rPr>
          <w:rFonts w:ascii="Times New Roman" w:cs="Times New Roman" w:eastAsia="Times New Roman" w:hAnsi="Times New Roman"/>
          <w:sz w:val="18"/>
          <w:szCs w:val="18"/>
          <w:color w:val="auto"/>
        </w:rPr>
        <w:t>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Premium Driver Assist offering, is a fully operational point-to-point assisted driving navigation solution and includes cloud-based enhancements such as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supports OTA updates.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our RSS policy model and 360-degree surround sensing with 11 cameras powered by a turnkey ECU with two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5 SoCs. Furthermore, in addition to supervised point-to-point assisted driving,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capable of changing lanes, managing priorities, and turning in intersections as well as engaging in automated parking, preventative steering, and braking, and other Driver Assist features.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upon our camera-only subsystem. The</w:t>
      </w:r>
    </w:p>
    <w:p>
      <w:pPr>
        <w:spacing w:after="0" w:line="6" w:lineRule="exact"/>
        <w:rPr>
          <w:sz w:val="20"/>
          <w:szCs w:val="20"/>
          <w:color w:val="auto"/>
        </w:rPr>
      </w:pPr>
    </w:p>
    <w:p>
      <w:pPr>
        <w:ind w:left="1260" w:right="419"/>
        <w:spacing w:after="0" w:line="235" w:lineRule="auto"/>
        <w:rPr>
          <w:sz w:val="20"/>
          <w:szCs w:val="20"/>
          <w:color w:val="auto"/>
        </w:rPr>
      </w:pPr>
      <w:r>
        <w:rPr>
          <w:rFonts w:ascii="Times New Roman" w:cs="Times New Roman" w:eastAsia="Times New Roman" w:hAnsi="Times New Roman"/>
          <w:sz w:val="18"/>
          <w:szCs w:val="18"/>
          <w:color w:val="auto"/>
        </w:rPr>
        <w:t>11 cameras (seven long range cameras and four parking cameras) provide full surround coverage and consist of 8-megapixel 120-degree and 28-degree cameras in the front, four 100-degree corner 8-megapixel cameras (two in the front and two in the rear), a 60-degree rear 8-megapixel camera and four wide-view 192-degree parking cameras mounted on the side mirrors and front and rear bumpers. The mapping is powered by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create a 360-degree environmental model, and RSS constrains the driving decisions to be compliant with an underlying formally proven model for safe driving decisions.</w:t>
      </w:r>
    </w:p>
    <w:p>
      <w:pPr>
        <w:spacing w:after="0" w:line="97" w:lineRule="exact"/>
        <w:rPr>
          <w:sz w:val="20"/>
          <w:szCs w:val="20"/>
          <w:color w:val="auto"/>
        </w:rPr>
      </w:pPr>
    </w:p>
    <w:p>
      <w:pPr>
        <w:ind w:left="1260" w:right="519" w:firstLine="360"/>
        <w:spacing w:after="0" w:line="234" w:lineRule="auto"/>
        <w:rPr>
          <w:sz w:val="20"/>
          <w:szCs w:val="20"/>
          <w:color w:val="auto"/>
        </w:rPr>
      </w:pPr>
      <w:r>
        <w:rPr>
          <w:rFonts w:ascii="Times New Roman" w:cs="Times New Roman" w:eastAsia="Times New Roman" w:hAnsi="Times New Roman"/>
          <w:sz w:val="18"/>
          <w:szCs w:val="18"/>
          <w:color w:val="auto"/>
        </w:rPr>
        <w:t>Geely Group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in 2021. The integration of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in 2022 through an Over-the-Air update.</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Our Revolutionary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102235</wp:posOffset>
            </wp:positionV>
            <wp:extent cx="4954905" cy="27343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549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Chauffeur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Mobileye Drive</w:t>
      </w:r>
      <w:r>
        <w:rPr>
          <w:rFonts w:ascii="Times New Roman" w:cs="Times New Roman" w:eastAsia="Times New Roman" w:hAnsi="Times New Roman"/>
          <w:sz w:val="26"/>
          <w:szCs w:val="26"/>
          <w:b w:val="1"/>
          <w:bCs w:val="1"/>
          <w:i w:val="1"/>
          <w:iCs w:val="1"/>
          <w:color w:val="auto"/>
          <w:vertAlign w:val="superscript"/>
        </w:rPr>
        <w:t>™</w:t>
      </w:r>
    </w:p>
    <w:p>
      <w:pPr>
        <w:spacing w:after="0" w:line="70" w:lineRule="exact"/>
        <w:rPr>
          <w:sz w:val="20"/>
          <w:szCs w:val="20"/>
          <w:color w:val="auto"/>
        </w:rPr>
      </w:pPr>
    </w:p>
    <w:p>
      <w:pPr>
        <w:ind w:left="1260" w:right="579" w:firstLine="360"/>
        <w:spacing w:after="0" w:line="209" w:lineRule="auto"/>
        <w:rPr>
          <w:sz w:val="20"/>
          <w:szCs w:val="20"/>
          <w:color w:val="auto"/>
        </w:rPr>
      </w:pPr>
      <w:r>
        <w:rPr>
          <w:rFonts w:ascii="Times New Roman" w:cs="Times New Roman" w:eastAsia="Times New Roman" w:hAnsi="Times New Roman"/>
          <w:sz w:val="18"/>
          <w:szCs w:val="18"/>
          <w:color w:val="auto"/>
        </w:rPr>
        <w:t>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first generation solution will be based on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It will combine our leading computer vision, camera-based perception subsystem with a radar-lidar subsystem.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provide 360-degrees of coverage through two independent and redundant sensing subsystems offering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reduce the validation burden and, along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and RSS, to increase scalability and safety.</w:t>
      </w:r>
    </w:p>
    <w:p>
      <w:pPr>
        <w:spacing w:after="0" w:line="97" w:lineRule="exact"/>
        <w:rPr>
          <w:sz w:val="20"/>
          <w:szCs w:val="20"/>
          <w:color w:val="auto"/>
        </w:rPr>
      </w:pPr>
    </w:p>
    <w:p>
      <w:pPr>
        <w:ind w:left="1260" w:right="459" w:firstLine="360"/>
        <w:spacing w:after="0" w:line="231"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39" w:firstLine="360"/>
        <w:spacing w:after="0" w:line="207"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solution, will encompass our core autonomous driving technologies found in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(360-degrees of coverage,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True Redundancy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RSS) and will deliver the driving functions without the need for any in-vehicle human intervention by adding teleoperability and by minimizing cases where human input would be required.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to be powered by eight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(versus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by 2025, it will be powered by an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offering more compute with less 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100" w:lineRule="exact"/>
        <w:rPr>
          <w:sz w:val="20"/>
          <w:szCs w:val="20"/>
          <w:color w:val="auto"/>
        </w:rPr>
      </w:pPr>
    </w:p>
    <w:p>
      <w:pPr>
        <w:ind w:left="1260" w:right="1019" w:firstLine="360"/>
        <w:spacing w:after="0" w:line="230"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be offered across two increasingly vertically integrated product sets each underpinned by our full set of autonomous driving technology solutions:</w:t>
      </w:r>
    </w:p>
    <w:p>
      <w:pPr>
        <w:spacing w:after="0" w:line="42" w:lineRule="exact"/>
        <w:rPr>
          <w:sz w:val="20"/>
          <w:szCs w:val="20"/>
          <w:color w:val="auto"/>
        </w:rPr>
      </w:pPr>
    </w:p>
    <w:p>
      <w:pPr>
        <w:ind w:left="1800" w:right="519" w:hanging="180"/>
        <w:spacing w:after="0" w:line="24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4 self-driving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 Group, Schaeffler, Udelv, and Willer. We recently announced a strategic collaboration with Benteler and Beep to develop and deploy fully electric, autonomous movers in public and private communities across North America aimed at first- and last-mile use cases in urban areas.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30"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designed to interface with Moovit’s MaaS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adds a service layer and a ready-made user base. As of July 2, 2022, Moovit had over</w:t>
      </w:r>
    </w:p>
    <w:p>
      <w:pPr>
        <w:ind w:left="180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self-driving vehicles in an AMaaS network in partnership with fleet operators.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121920</wp:posOffset>
            </wp:positionV>
            <wp:extent cx="4954905" cy="2674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5490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w:t>
      </w:r>
    </w:p>
    <w:p>
      <w:pPr>
        <w:spacing w:after="0" w:line="27" w:lineRule="exact"/>
        <w:rPr>
          <w:sz w:val="20"/>
          <w:szCs w:val="20"/>
          <w:color w:val="auto"/>
        </w:rPr>
      </w:pPr>
    </w:p>
    <w:p>
      <w:pPr>
        <w:ind w:left="1260" w:right="559"/>
        <w:spacing w:after="0" w:line="263" w:lineRule="auto"/>
        <w:rPr>
          <w:sz w:val="20"/>
          <w:szCs w:val="20"/>
          <w:color w:val="auto"/>
        </w:rPr>
      </w:pPr>
      <w:r>
        <w:rPr>
          <w:rFonts w:ascii="Times New Roman" w:cs="Times New Roman" w:eastAsia="Times New Roman" w:hAnsi="Times New Roman"/>
          <w:sz w:val="18"/>
          <w:szCs w:val="18"/>
          <w:color w:val="auto"/>
        </w:rPr>
        <w:t>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25" w:lineRule="exact"/>
        <w:rPr>
          <w:sz w:val="20"/>
          <w:szCs w:val="20"/>
          <w:color w:val="auto"/>
        </w:rPr>
      </w:pPr>
    </w:p>
    <w:p>
      <w:pPr>
        <w:ind w:left="1260" w:right="459" w:firstLine="360"/>
        <w:spacing w:after="0" w:line="227" w:lineRule="auto"/>
        <w:rPr>
          <w:sz w:val="20"/>
          <w:szCs w:val="20"/>
          <w:color w:val="auto"/>
        </w:rPr>
      </w:pPr>
      <w:r>
        <w:rPr>
          <w:rFonts w:ascii="Times New Roman" w:cs="Times New Roman" w:eastAsia="Times New Roman" w:hAnsi="Times New Roman"/>
          <w:sz w:val="18"/>
          <w:szCs w:val="18"/>
          <w:color w:val="auto"/>
        </w:rPr>
        <w:t>Additionally, we have created a separate dataset of 8.6 billion miles of roads driven as of July 2, 2022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then apply</w:t>
      </w:r>
    </w:p>
    <w:p>
      <w:pPr>
        <w:ind w:left="1260" w:right="439"/>
        <w:spacing w:after="0" w:line="262" w:lineRule="auto"/>
        <w:tabs>
          <w:tab w:leader="none" w:pos="13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These two datasets create powerful network effects as we seek to continually improve our solutions as more vehicles are deployed with our technology.</w:t>
      </w:r>
    </w:p>
    <w:p>
      <w:pPr>
        <w:spacing w:after="0" w:line="59" w:lineRule="exact"/>
        <w:rPr>
          <w:sz w:val="20"/>
          <w:szCs w:val="20"/>
          <w:color w:val="auto"/>
        </w:rPr>
      </w:pPr>
    </w:p>
    <w:p>
      <w:pPr>
        <w:jc w:val="both"/>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solutions continuously harvest high-precision data that is analyzed in the cloud, creating a large repository of real-world dataset from 15 million daily mapped miles of roads, varying by types and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569595</wp:posOffset>
            </wp:positionV>
            <wp:extent cx="5109210" cy="51606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09210"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60" w:right="479" w:firstLine="360"/>
        <w:spacing w:after="0" w:line="231" w:lineRule="auto"/>
        <w:rPr>
          <w:sz w:val="20"/>
          <w:szCs w:val="20"/>
          <w:color w:val="auto"/>
        </w:rPr>
      </w:pPr>
      <w:r>
        <w:rPr>
          <w:rFonts w:ascii="Times New Roman" w:cs="Times New Roman" w:eastAsia="Times New Roman" w:hAnsi="Times New Roman"/>
          <w:sz w:val="18"/>
          <w:szCs w:val="18"/>
          <w:color w:val="auto"/>
        </w:rPr>
        <w:t>As we continue to rapidly scale our offerings, the benefits of greater data and higher intelligence incorporated into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connected vehicles that are collecting data and continually enhancing our solutions, we believe we are well positioned to build on our leadership position.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Large and Growing Market Opportunity</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and SAM in respect of the estimated market size in or about 2026 and the long-term TAM and SAM in respect of the estimated market size in or about 2030.</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TAM combines our market opportunities in ADAS and AV, including AMaaS. We estimate the current TAM to be approximately $16 billion, composed entirely of selected ADAS market opportunities. We expect the near- 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 Combining market opportunities in ADAS and AV, including AMaaS, we estimate our current SAM to be approximately $5 billion and our near-term SAM to be approximately $21 billion, in each case, composed entirely of selected ADAS market opportunities, and we estimate our long-term SAM to be approximately $455 billion, which includes AV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102235</wp:posOffset>
            </wp:positionV>
            <wp:extent cx="4954905" cy="22288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5490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ADAS</w:t>
      </w:r>
    </w:p>
    <w:p>
      <w:pPr>
        <w:spacing w:after="0" w:line="162" w:lineRule="exact"/>
        <w:rPr>
          <w:sz w:val="20"/>
          <w:szCs w:val="20"/>
          <w:color w:val="auto"/>
        </w:rPr>
      </w:pPr>
    </w:p>
    <w:p>
      <w:pPr>
        <w:jc w:val="both"/>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relies on the combination of cloud enhancements and cost-effective, high- resolution surround sensing that enables highly automated driving features across a wide range of road types and driving conditions</w:t>
      </w:r>
    </w:p>
    <w:p>
      <w:pPr>
        <w:spacing w:after="0" w:line="11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ADAS TAM</w:t>
      </w:r>
      <w:r>
        <w:rPr>
          <w:rFonts w:ascii="Times New Roman" w:cs="Times New Roman" w:eastAsia="Times New Roman" w:hAnsi="Times New Roman"/>
          <w:sz w:val="18"/>
          <w:szCs w:val="18"/>
          <w:color w:val="auto"/>
        </w:rPr>
        <w:t>: We define the ADAS market as that for assisted driving solutions that support the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ADAS TAM as the market for select hardware and software components that enable this technology. We estimate the current ADAS TAM to be approximately $16 billion, near-term TAM to be approximately $31 billion and long-term TAM to be approximately $60 billion.</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ADAS SAM</w:t>
      </w:r>
      <w:r>
        <w:rPr>
          <w:rFonts w:ascii="Times New Roman" w:cs="Times New Roman" w:eastAsia="Times New Roman" w:hAnsi="Times New Roman"/>
          <w:sz w:val="18"/>
          <w:szCs w:val="18"/>
          <w:color w:val="auto"/>
        </w:rPr>
        <w:t>: We define our ADAS SAM as the portion of the TAM that we believe can be addressed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solutions in the Driver Assist, Cloud-Enhanced Driver Assist, and Premium Driver Assist categories. We estimate our current ADAS SAM to be $5 billion and our near-term SAM to be approximately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billion, as consumer adoption of premium ADAS increases in the near-term. We estimate that our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0" w:lineRule="auto"/>
        <w:rPr>
          <w:sz w:val="20"/>
          <w:szCs w:val="20"/>
          <w:color w:val="auto"/>
        </w:rPr>
      </w:pPr>
      <w:r>
        <w:rPr>
          <w:rFonts w:ascii="Times New Roman" w:cs="Times New Roman" w:eastAsia="Times New Roman" w:hAnsi="Times New Roman"/>
          <w:sz w:val="18"/>
          <w:szCs w:val="18"/>
          <w:color w:val="auto"/>
        </w:rPr>
        <w:t>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AMaaS TAM</w:t>
      </w:r>
    </w:p>
    <w:p>
      <w:pPr>
        <w:spacing w:after="0" w:line="146"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105"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Consumer AV TAM</w:t>
      </w:r>
    </w:p>
    <w:p>
      <w:pPr>
        <w:spacing w:after="0" w:line="16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12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under $6,000. We believe this solution will be able to unlock substantial market growth in the Consumer AV category over time, a market category that is not yet understood or forecasted by most third-party research providers.</w:t>
      </w:r>
    </w:p>
    <w:p>
      <w:pPr>
        <w:spacing w:after="0" w:line="33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105" w:lineRule="exact"/>
        <w:rPr>
          <w:sz w:val="20"/>
          <w:szCs w:val="20"/>
          <w:color w:val="auto"/>
        </w:rPr>
      </w:pPr>
    </w:p>
    <w:p>
      <w:pPr>
        <w:ind w:left="1260" w:right="639" w:firstLine="360"/>
        <w:spacing w:after="0" w:line="297" w:lineRule="auto"/>
        <w:rPr>
          <w:sz w:val="20"/>
          <w:szCs w:val="20"/>
          <w:color w:val="auto"/>
        </w:rPr>
      </w:pPr>
      <w:r>
        <w:rPr>
          <w:rFonts w:ascii="Times New Roman" w:cs="Times New Roman" w:eastAsia="Times New Roman" w:hAnsi="Times New Roman"/>
          <w:sz w:val="18"/>
          <w:szCs w:val="18"/>
          <w:color w:val="auto"/>
        </w:rPr>
        <w:t>We estimate the resulting total AV TAM (including AMaaS and Consumer AV) in the near term to be approximately $9 billion, significantly increasing to approximately $420 billion in the long term.</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17830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54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60" w:right="459"/>
        <w:spacing w:after="0" w:line="246" w:lineRule="auto"/>
        <w:tabs>
          <w:tab w:leader="none" w:pos="15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68"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9" w:lineRule="exact"/>
        <w:rPr>
          <w:rFonts w:ascii="Times New Roman" w:cs="Times New Roman" w:eastAsia="Times New Roman" w:hAnsi="Times New Roman"/>
          <w:sz w:val="18"/>
          <w:szCs w:val="18"/>
          <w:color w:val="auto"/>
        </w:rPr>
      </w:pPr>
    </w:p>
    <w:p>
      <w:pPr>
        <w:ind w:left="1800" w:right="439" w:hanging="180"/>
        <w:spacing w:after="0" w:line="226" w:lineRule="auto"/>
        <w:tabs>
          <w:tab w:leader="none" w:pos="18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accelerator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effectively an AV-on-Chip, will enable us to build a self-driving system at affordable consumer cost levels in the future.</w:t>
      </w:r>
    </w:p>
    <w:p>
      <w:pPr>
        <w:spacing w:after="0" w:line="92" w:lineRule="exact"/>
        <w:rPr>
          <w:rFonts w:ascii="Times New Roman" w:cs="Times New Roman" w:eastAsia="Times New Roman" w:hAnsi="Times New Roman"/>
          <w:sz w:val="18"/>
          <w:szCs w:val="18"/>
          <w:color w:val="auto"/>
        </w:rPr>
      </w:pPr>
    </w:p>
    <w:p>
      <w:pPr>
        <w:ind w:left="1800" w:right="599" w:hanging="180"/>
        <w:spacing w:after="0" w:line="256" w:lineRule="auto"/>
        <w:tabs>
          <w:tab w:leader="none" w:pos="18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 leading computer vision capabilities — </w:t>
      </w:r>
      <w:r>
        <w:rPr>
          <w:rFonts w:ascii="Times New Roman" w:cs="Times New Roman" w:eastAsia="Times New Roman" w:hAnsi="Times New Roman"/>
          <w:sz w:val="18"/>
          <w:szCs w:val="18"/>
          <w:color w:val="auto"/>
        </w:rPr>
        <w:t>ADAS solutions are responsible for saving lives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rPr>
          <w:sz w:val="20"/>
          <w:szCs w:val="20"/>
          <w:color w:val="auto"/>
        </w:rPr>
      </w:pPr>
      <w:r>
        <w:rPr>
          <w:rFonts w:ascii="Times New Roman" w:cs="Times New Roman" w:eastAsia="Times New Roman" w:hAnsi="Times New Roman"/>
          <w:sz w:val="18"/>
          <w:szCs w:val="18"/>
          <w:color w:val="auto"/>
        </w:rPr>
        <w:t>redundancy. We have been responsible for many “industry first” launches using monocular vision processing. These include forward collision warning, automatic emergency braking, pedestrian detection, hands -free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was launched in late 2021.</w:t>
      </w:r>
    </w:p>
    <w:p>
      <w:pPr>
        <w:spacing w:after="0" w:line="207" w:lineRule="exact"/>
        <w:rPr>
          <w:sz w:val="20"/>
          <w:szCs w:val="20"/>
          <w:color w:val="auto"/>
        </w:rPr>
      </w:pPr>
    </w:p>
    <w:p>
      <w:pPr>
        <w:ind w:left="1800" w:right="499" w:hanging="180"/>
        <w:spacing w:after="0" w:line="229"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w:t>
      </w:r>
      <w:r>
        <w:rPr>
          <w:rFonts w:ascii="Times New Roman" w:cs="Times New Roman" w:eastAsia="Times New Roman" w:hAnsi="Times New Roman"/>
          <w:sz w:val="18"/>
          <w:szCs w:val="18"/>
          <w:color w:val="auto"/>
        </w:rPr>
        <w:t>— 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91" w:lineRule="exact"/>
        <w:rPr>
          <w:rFonts w:ascii="Times New Roman" w:cs="Times New Roman" w:eastAsia="Times New Roman" w:hAnsi="Times New Roman"/>
          <w:sz w:val="18"/>
          <w:szCs w:val="18"/>
          <w:color w:val="auto"/>
        </w:rPr>
      </w:pPr>
    </w:p>
    <w:p>
      <w:pPr>
        <w:ind w:left="1800" w:right="519"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technology, which will allow our solutions to be driven without the limitations of geofencing;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consumer AV production at scale in the future.</w:t>
      </w:r>
    </w:p>
    <w:p>
      <w:pPr>
        <w:spacing w:after="0" w:line="221" w:lineRule="exact"/>
        <w:rPr>
          <w:rFonts w:ascii="Times New Roman" w:cs="Times New Roman" w:eastAsia="Times New Roman" w:hAnsi="Times New Roman"/>
          <w:sz w:val="18"/>
          <w:szCs w:val="18"/>
          <w:color w:val="auto"/>
        </w:rPr>
      </w:pPr>
    </w:p>
    <w:p>
      <w:pPr>
        <w:ind w:left="1800" w:right="559" w:hanging="180"/>
        <w:spacing w:after="0" w:line="24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Autonomous driving-ADAS synergies — </w:t>
      </w:r>
      <w:r>
        <w:rPr>
          <w:rFonts w:ascii="Times New Roman" w:cs="Times New Roman" w:eastAsia="Times New Roman" w:hAnsi="Times New Roman"/>
          <w:sz w:val="18"/>
          <w:szCs w:val="18"/>
          <w:color w:val="auto"/>
        </w:rPr>
        <w:t>The autonomous driving-ADAS interplay, which is borne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279" w:lineRule="exact"/>
        <w:rPr>
          <w:rFonts w:ascii="Times New Roman" w:cs="Times New Roman" w:eastAsia="Times New Roman" w:hAnsi="Times New Roman"/>
          <w:sz w:val="18"/>
          <w:szCs w:val="18"/>
          <w:color w:val="auto"/>
        </w:rPr>
      </w:pPr>
    </w:p>
    <w:p>
      <w:pPr>
        <w:ind w:left="1800" w:right="439" w:hanging="180"/>
        <w:spacing w:after="0" w:line="22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creates a powerful network effect and long-term competitive advantage — </w:t>
      </w: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is a crucial ingredient that we believe allows for: (1) defining a new category of cloud-enhanced ADAS that we call Cloud-Enhanced Driver Assist, where information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computationally intensive processing in the cloud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billions of data packets sent from millions of vehicles —  all automatically.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benefits from a powerful network effect, where more vehicles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spacing w:after="0" w:line="282" w:lineRule="auto"/>
        <w:rPr>
          <w:sz w:val="20"/>
          <w:szCs w:val="20"/>
          <w:color w:val="auto"/>
        </w:rPr>
      </w:pPr>
      <w:r>
        <w:rPr>
          <w:rFonts w:ascii="Times New Roman" w:cs="Times New Roman" w:eastAsia="Times New Roman" w:hAnsi="Times New Roman"/>
          <w:sz w:val="18"/>
          <w:szCs w:val="18"/>
          <w:color w:val="auto"/>
        </w:rPr>
        <w:t>Munich and Tel Aviv together with Moovit in addition to our current testing sites in China, Israel, Detroit, Miami, Munich, Paris, Stuttgart and Tokyo.</w:t>
      </w:r>
    </w:p>
    <w:p>
      <w:pPr>
        <w:spacing w:after="0" w:line="36" w:lineRule="exact"/>
        <w:rPr>
          <w:sz w:val="20"/>
          <w:szCs w:val="20"/>
          <w:color w:val="auto"/>
        </w:rPr>
      </w:pPr>
    </w:p>
    <w:p>
      <w:pPr>
        <w:ind w:left="1800" w:right="419" w:hanging="180"/>
        <w:spacing w:after="0" w:line="25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and technology advantage — </w:t>
      </w:r>
      <w:r>
        <w:rPr>
          <w:rFonts w:ascii="Times New Roman" w:cs="Times New Roman" w:eastAsia="Times New Roman" w:hAnsi="Times New Roman"/>
          <w:sz w:val="18"/>
          <w:szCs w:val="18"/>
          <w:color w:val="auto"/>
        </w:rPr>
        <w:t>Developing effective ADAS technology is technologically complex,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over 23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w:t>
      </w:r>
    </w:p>
    <w:p>
      <w:pPr>
        <w:spacing w:after="0" w:line="5" w:lineRule="exact"/>
        <w:rPr>
          <w:rFonts w:ascii="Times New Roman" w:cs="Times New Roman" w:eastAsia="Times New Roman" w:hAnsi="Times New Roman"/>
          <w:sz w:val="18"/>
          <w:szCs w:val="18"/>
          <w:color w:val="auto"/>
        </w:rPr>
      </w:pPr>
    </w:p>
    <w:p>
      <w:pPr>
        <w:ind w:left="180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billion miles of roads driven as of July 2, 2022 from, based on our estimates, approximately 1.5 million REM™-enabled vehicles worldwide. Our dataset creates a powerful network effect as we seek to continually improve our solutions as more vehicles are deployed with our technology.</w:t>
      </w:r>
    </w:p>
    <w:p>
      <w:pPr>
        <w:spacing w:after="0" w:line="60"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RSS and driving policy are designed for global deployment — </w:t>
      </w:r>
      <w:r>
        <w:rPr>
          <w:rFonts w:ascii="Times New Roman" w:cs="Times New Roman" w:eastAsia="Times New Roman" w:hAnsi="Times New Roman"/>
          <w:sz w:val="18"/>
          <w:szCs w:val="18"/>
          <w:color w:val="auto"/>
        </w:rPr>
        <w:t>We published our RSS model in 2017,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current testing sites in China, Israel, Detroit, Miami, Munich, Paris, Stuttgart and Tokyo.</w:t>
      </w:r>
    </w:p>
    <w:p>
      <w:pPr>
        <w:spacing w:after="0" w:line="77" w:lineRule="exact"/>
        <w:rPr>
          <w:rFonts w:ascii="Times New Roman" w:cs="Times New Roman" w:eastAsia="Times New Roman" w:hAnsi="Times New Roman"/>
          <w:sz w:val="18"/>
          <w:szCs w:val="18"/>
          <w:color w:val="auto"/>
        </w:rPr>
      </w:pPr>
    </w:p>
    <w:p>
      <w:pPr>
        <w:ind w:left="1800" w:right="439" w:hanging="180"/>
        <w:spacing w:after="0" w:line="239"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80"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collaborative ecosystem relationships</w:t>
      </w:r>
      <w:r>
        <w:rPr>
          <w:rFonts w:ascii="Times New Roman" w:cs="Times New Roman" w:eastAsia="Times New Roman" w:hAnsi="Times New Roman"/>
          <w:sz w:val="18"/>
          <w:szCs w:val="18"/>
          <w:color w:val="auto"/>
        </w:rPr>
        <w:t> — 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00" w:lineRule="exact"/>
        <w:rPr>
          <w:sz w:val="20"/>
          <w:szCs w:val="20"/>
          <w:color w:val="auto"/>
        </w:rPr>
      </w:pPr>
    </w:p>
    <w:p>
      <w:pPr>
        <w:ind w:left="1800" w:right="459" w:hanging="180"/>
        <w:spacing w:after="0" w:line="28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52" w:lineRule="auto"/>
        <w:rPr>
          <w:sz w:val="20"/>
          <w:szCs w:val="20"/>
          <w:color w:val="auto"/>
        </w:rPr>
      </w:pPr>
      <w:r>
        <w:rPr>
          <w:rFonts w:ascii="Times New Roman" w:cs="Times New Roman" w:eastAsia="Times New Roman" w:hAnsi="Times New Roman"/>
          <w:sz w:val="18"/>
          <w:szCs w:val="18"/>
          <w:color w:val="auto"/>
        </w:rPr>
        <w:t>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July 2, 2022, our solutions had been installed in approximately 800 vehicle models (including local country, year, and other vehicle model variations), and our SoCs had been deployed in over 117 million vehicles. We are actively working with more than 50 OEMs worldwide on the implementation of our 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w:t>
      </w:r>
    </w:p>
    <w:p>
      <w:pPr>
        <w:spacing w:after="0" w:line="4" w:lineRule="exact"/>
        <w:rPr>
          <w:sz w:val="20"/>
          <w:szCs w:val="20"/>
          <w:color w:val="auto"/>
        </w:rPr>
      </w:pPr>
    </w:p>
    <w:p>
      <w:pPr>
        <w:ind w:left="1800" w:right="479"/>
        <w:spacing w:after="0" w:line="252" w:lineRule="auto"/>
        <w:rPr>
          <w:sz w:val="20"/>
          <w:szCs w:val="20"/>
          <w:color w:val="auto"/>
        </w:rPr>
      </w:pPr>
      <w:r>
        <w:rPr>
          <w:rFonts w:ascii="Times New Roman" w:cs="Times New Roman" w:eastAsia="Times New Roman" w:hAnsi="Times New Roman"/>
          <w:sz w:val="18"/>
          <w:szCs w:val="18"/>
          <w:color w:val="auto"/>
        </w:rPr>
        <w:t>37 million vehicles based on our first half 2022 design wins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July 2, 2022. We believe that our comprehensive stack of solutions and proven success at scale will enable us to further solidify our industry leadership.</w:t>
      </w:r>
    </w:p>
    <w:p>
      <w:pPr>
        <w:spacing w:after="0" w:line="90" w:lineRule="exact"/>
        <w:rPr>
          <w:sz w:val="20"/>
          <w:szCs w:val="20"/>
          <w:color w:val="auto"/>
        </w:rPr>
      </w:pPr>
    </w:p>
    <w:p>
      <w:pPr>
        <w:ind w:left="1800" w:right="419" w:hanging="180"/>
        <w:spacing w:after="0" w:line="227"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Our Cloud-Enhanced Driver Assist solution is capable of utilizing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which currently include 8.6 billion miles of mapped roads as of July 2, 2022 from, based on our estimates, approximately 1.5 million REM™-enabled vehicles worldwide in order to deliver leading ADAS capabilities. In the future, we plan to create revenue streams from our OTA capabilities and AV maps through solution upgrades.</w:t>
      </w:r>
    </w:p>
    <w:p>
      <w:pPr>
        <w:spacing w:after="0" w:line="89" w:lineRule="exact"/>
        <w:rPr>
          <w:rFonts w:ascii="Times New Roman" w:cs="Times New Roman" w:eastAsia="Times New Roman" w:hAnsi="Times New Roman"/>
          <w:sz w:val="18"/>
          <w:szCs w:val="18"/>
          <w:color w:val="auto"/>
        </w:rPr>
      </w:pPr>
    </w:p>
    <w:p>
      <w:pPr>
        <w:ind w:left="1800" w:right="499" w:hanging="180"/>
        <w:spacing w:after="0" w:line="213"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enhance and drive adoption of our Premium Driver Assist solution — </w:t>
      </w:r>
      <w:r>
        <w:rPr>
          <w:rFonts w:ascii="Times New Roman" w:cs="Times New Roman" w:eastAsia="Times New Roman" w:hAnsi="Times New Roman"/>
          <w:sz w:val="18"/>
          <w:szCs w:val="18"/>
          <w:color w:val="auto"/>
        </w:rPr>
        <w:t>Our Mobileye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represents a comprehensive “eyes-on/hands-free” ADAS solution. It was recently launched by Geely Group for its Zeekr premium electric vehicle brand, and has secured additional design wins with the Geely Group for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believe that the high value-add, our continuous efforts to add capabilities, as well as the competitive price point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allow it to gain strong market traction in the coming years. In addition,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w:t>
      </w:r>
    </w:p>
    <w:p>
      <w:pPr>
        <w:spacing w:after="0" w:line="86" w:lineRule="exact"/>
        <w:rPr>
          <w:rFonts w:ascii="Times New Roman" w:cs="Times New Roman" w:eastAsia="Times New Roman" w:hAnsi="Times New Roman"/>
          <w:sz w:val="18"/>
          <w:szCs w:val="18"/>
          <w:color w:val="auto"/>
        </w:rPr>
      </w:pPr>
    </w:p>
    <w:p>
      <w:pPr>
        <w:ind w:left="1800" w:right="419" w:hanging="180"/>
        <w:spacing w:after="0" w:line="221"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the introduction of our premium ADAS capabilities with our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Level 4 capabilities with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39" w:hanging="180"/>
        <w:spacing w:after="0" w:line="24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driver monitoring systems, parking functions, and visualization features. In addition, our SDKs enable OEMs to innovate on top of our platform, augmenting and differentiating their offerings, while benefiting from our cutting-edge, verified and validated core ADAS capabilities.</w:t>
      </w:r>
    </w:p>
    <w:p>
      <w:pPr>
        <w:spacing w:after="0" w:line="310"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w:t>
      </w:r>
    </w:p>
    <w:p>
      <w:pPr>
        <w:ind w:left="180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247" w:lineRule="exact"/>
        <w:rPr>
          <w:rFonts w:ascii="Times New Roman" w:cs="Times New Roman" w:eastAsia="Times New Roman" w:hAnsi="Times New Roman"/>
          <w:sz w:val="18"/>
          <w:szCs w:val="18"/>
          <w:color w:val="auto"/>
        </w:rPr>
      </w:pPr>
    </w:p>
    <w:p>
      <w:pPr>
        <w:ind w:left="1800" w:right="539" w:hanging="180"/>
        <w:spacing w:after="0" w:line="228"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We believe that we have created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standard for processors focused on computer vision.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78" w:lineRule="exact"/>
        <w:rPr>
          <w:rFonts w:ascii="Times New Roman" w:cs="Times New Roman" w:eastAsia="Times New Roman" w:hAnsi="Times New Roman"/>
          <w:sz w:val="18"/>
          <w:szCs w:val="18"/>
          <w:color w:val="auto"/>
        </w:rPr>
      </w:pPr>
    </w:p>
    <w:p>
      <w:pPr>
        <w:ind w:left="1800" w:right="519" w:hanging="180"/>
        <w:spacing w:after="0" w:line="229"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 — </w:t>
      </w:r>
      <w:r>
        <w:rPr>
          <w:rFonts w:ascii="Times New Roman" w:cs="Times New Roman" w:eastAsia="Times New Roman" w:hAnsi="Times New Roman"/>
          <w:sz w:val="18"/>
          <w:szCs w:val="18"/>
          <w:color w:val="auto"/>
        </w:rPr>
        <w:t>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 2022, encompassed over 200 petabytes of data and 8.6 billion miles of AV mapped roads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believe that our ability to use this data to create, maintain, and improve our high-precision AV maps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will enable us to further improve our ADAS offerings and position us well for autonomous driving.</w:t>
      </w:r>
    </w:p>
    <w:p>
      <w:pPr>
        <w:spacing w:after="0" w:line="58" w:lineRule="exact"/>
        <w:rPr>
          <w:rFonts w:ascii="Times New Roman" w:cs="Times New Roman" w:eastAsia="Times New Roman" w:hAnsi="Times New Roman"/>
          <w:sz w:val="18"/>
          <w:szCs w:val="18"/>
          <w:color w:val="auto"/>
        </w:rPr>
      </w:pPr>
    </w:p>
    <w:p>
      <w:pPr>
        <w:ind w:left="1800" w:right="639" w:hanging="180"/>
        <w:spacing w:after="0" w:line="23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 — </w:t>
      </w:r>
      <w:r>
        <w:rPr>
          <w:rFonts w:ascii="Times New Roman" w:cs="Times New Roman" w:eastAsia="Times New Roman" w:hAnsi="Times New Roman"/>
          <w:sz w:val="18"/>
          <w:szCs w:val="18"/>
          <w:color w:val="auto"/>
        </w:rPr>
        <w:t>We believe that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86" w:lineRule="exact"/>
        <w:rPr>
          <w:rFonts w:ascii="Times New Roman" w:cs="Times New Roman" w:eastAsia="Times New Roman" w:hAnsi="Times New Roman"/>
          <w:sz w:val="18"/>
          <w:szCs w:val="18"/>
          <w:color w:val="auto"/>
        </w:rPr>
      </w:pPr>
    </w:p>
    <w:p>
      <w:pPr>
        <w:ind w:left="1800" w:right="439" w:hanging="180"/>
        <w:spacing w:after="0" w:line="24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 — </w:t>
      </w:r>
      <w:r>
        <w:rPr>
          <w:rFonts w:ascii="Times New Roman" w:cs="Times New Roman" w:eastAsia="Times New Roman" w:hAnsi="Times New Roman"/>
          <w:sz w:val="18"/>
          <w:szCs w:val="18"/>
          <w:color w:val="auto"/>
        </w:rPr>
        <w:t>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In India, Mahindra &amp; Mahindra, one of the country’s largest automakers, has recently launched the first vehicle made locally to offer ADAS capabilities — the XUV700 powered by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Our customers include leading OEMs, which we sell to through Tier 1 automotive suppliers that implement our product into automotive vehicles, as well as fleet owners and operators.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OEMs</w:t>
      </w:r>
    </w:p>
    <w:p>
      <w:pPr>
        <w:spacing w:after="0" w:line="121"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color w:val="auto"/>
        </w:rPr>
        <w:t>As of July 2, 2022, our solutions had been installed in approximately 800 vehicle models (including local country, year, and other vehicle model variations), and our SoCs had been deployed in over</w:t>
      </w:r>
    </w:p>
    <w:p>
      <w:pPr>
        <w:spacing w:after="0" w:line="2" w:lineRule="exact"/>
        <w:rPr>
          <w:sz w:val="20"/>
          <w:szCs w:val="20"/>
          <w:color w:val="auto"/>
        </w:rPr>
      </w:pPr>
    </w:p>
    <w:p>
      <w:pPr>
        <w:ind w:left="1260" w:right="479"/>
        <w:spacing w:after="0" w:line="265" w:lineRule="auto"/>
        <w:rPr>
          <w:sz w:val="20"/>
          <w:szCs w:val="20"/>
          <w:color w:val="auto"/>
        </w:rPr>
      </w:pPr>
      <w:r>
        <w:rPr>
          <w:rFonts w:ascii="Times New Roman" w:cs="Times New Roman" w:eastAsia="Times New Roman" w:hAnsi="Times New Roman"/>
          <w:sz w:val="18"/>
          <w:szCs w:val="18"/>
          <w:color w:val="auto"/>
        </w:rPr>
        <w:t>117 million vehicles. We are actively working with more than 50 OEMs worldwide on the implementation of our ADAS solutions, and we announced over 40 new design wins in 2021 alone. In the first half of 2022, we shipped approximately 16 million of our SoCs. We estimate, based on our existing design wins through July 2, 2022, that our ADAS solutions will be deployed in more than an additional 266 million vehicles by 2030, including approximately 37 million vehicles based on our first half 2022 design wins and approximately 50 million vehicles based on our 2021 design wins.</w:t>
      </w:r>
    </w:p>
    <w:p>
      <w:pPr>
        <w:spacing w:after="0" w:line="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120015</wp:posOffset>
            </wp:positionV>
            <wp:extent cx="4954905" cy="19970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5490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Tier 1 Automotive Suppliers</w:t>
      </w:r>
    </w:p>
    <w:p>
      <w:pPr>
        <w:spacing w:after="0" w:line="127"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We supply certain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through our arrangements with automotive system integrators, known as Tier 1 automotive suppliers, which are direct suppliers to OEMs. Our Tier 1 customers include Aptiv, Magna, Valeo, Wabco, ZF, and others.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Mobility-as-a-Service</w:t>
      </w:r>
    </w:p>
    <w:p>
      <w:pPr>
        <w:spacing w:after="0" w:line="127" w:lineRule="exact"/>
        <w:rPr>
          <w:sz w:val="20"/>
          <w:szCs w:val="20"/>
          <w:color w:val="auto"/>
        </w:rPr>
      </w:pPr>
    </w:p>
    <w:p>
      <w:pPr>
        <w:ind w:left="1260" w:right="439" w:firstLine="360"/>
        <w:spacing w:after="0" w:line="230" w:lineRule="auto"/>
        <w:rPr>
          <w:sz w:val="20"/>
          <w:szCs w:val="20"/>
          <w:color w:val="auto"/>
        </w:rPr>
      </w:pPr>
      <w:r>
        <w:rPr>
          <w:rFonts w:ascii="Times New Roman" w:cs="Times New Roman" w:eastAsia="Times New Roman" w:hAnsi="Times New Roman"/>
          <w:sz w:val="18"/>
          <w:szCs w:val="18"/>
          <w:color w:val="auto"/>
        </w:rPr>
        <w:t>We expect to sell the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self-driving vehicles to a range of shuttle network operators and vehicle OEMs which intend to operate a variety of services (e.g., consumer-facing AMaaS, transportation on demand, delivery). These partners could produce vehicles themselves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our assistance and include Benteler, Lohr, Marubeni, RATP Group, Schaeffler, Udelv, and Willer.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569595</wp:posOffset>
            </wp:positionV>
            <wp:extent cx="5109210" cy="2674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092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System-on-Chip Architecture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EyeQ</w:t>
      </w:r>
      <w:r>
        <w:rPr>
          <w:rFonts w:ascii="Times New Roman" w:cs="Times New Roman" w:eastAsia="Times New Roman" w:hAnsi="Times New Roman"/>
          <w:sz w:val="26"/>
          <w:szCs w:val="26"/>
          <w:b w:val="1"/>
          <w:bCs w:val="1"/>
          <w:i w:val="1"/>
          <w:iCs w:val="1"/>
          <w:color w:val="auto"/>
          <w:vertAlign w:val="superscript"/>
        </w:rPr>
        <w:t>®</w:t>
      </w:r>
    </w:p>
    <w:p>
      <w:pPr>
        <w:spacing w:after="0" w:line="79" w:lineRule="exact"/>
        <w:rPr>
          <w:sz w:val="20"/>
          <w:szCs w:val="20"/>
          <w:color w:val="auto"/>
        </w:rPr>
      </w:pPr>
    </w:p>
    <w:p>
      <w:pPr>
        <w:ind w:left="1260" w:right="499" w:firstLine="360"/>
        <w:spacing w:after="0" w:line="232" w:lineRule="auto"/>
        <w:rPr>
          <w:sz w:val="20"/>
          <w:szCs w:val="20"/>
          <w:color w:val="auto"/>
        </w:rPr>
      </w:pPr>
      <w:r>
        <w:rPr>
          <w:rFonts w:ascii="Times New Roman" w:cs="Times New Roman" w:eastAsia="Times New Roman" w:hAnsi="Times New Roman"/>
          <w:sz w:val="18"/>
          <w:szCs w:val="18"/>
          <w:color w:val="auto"/>
        </w:rPr>
        <w:t>Each new generation of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is many times faster than its predecessor and tightly integrated 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96" w:lineRule="exact"/>
        <w:rPr>
          <w:sz w:val="20"/>
          <w:szCs w:val="20"/>
          <w:color w:val="auto"/>
        </w:rPr>
      </w:pPr>
    </w:p>
    <w:p>
      <w:pPr>
        <w:ind w:left="1260" w:right="599" w:firstLine="360"/>
        <w:spacing w:after="0" w:line="238" w:lineRule="auto"/>
        <w:rPr>
          <w:sz w:val="20"/>
          <w:szCs w:val="20"/>
          <w:color w:val="auto"/>
        </w:rPr>
      </w:pPr>
      <w:r>
        <w:rPr>
          <w:rFonts w:ascii="Times New Roman" w:cs="Times New Roman" w:eastAsia="Times New Roman" w:hAnsi="Times New Roman"/>
          <w:sz w:val="18"/>
          <w:szCs w:val="18"/>
          <w:color w:val="auto"/>
        </w:rPr>
        <w:t>For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112395</wp:posOffset>
            </wp:positionV>
            <wp:extent cx="5109210" cy="22028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deployment mix of these accelerators varies by product line based on the functions each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supports. Our accelerator architecture allows us to achieve high compute performance with power efficiency.</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95250</wp:posOffset>
            </wp:positionV>
            <wp:extent cx="4688840" cy="1791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6888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0" w:right="699" w:hanging="180"/>
        <w:spacing w:after="0" w:line="22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 launched in 2007, supported two bundle types: (1) Lane Departure Warning (“LDW”),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Traffic Sign Recognition (“TSR”) and Intelligent High-beam Control (“IHC”); and (2) LDW and Vehicle Automatic Emergency Braking (“AEB”) fusion with radar.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was an industry first supporting camera/radar ACC.</w:t>
      </w:r>
    </w:p>
    <w:p>
      <w:pPr>
        <w:spacing w:after="0" w:line="54" w:lineRule="exact"/>
        <w:rPr>
          <w:rFonts w:ascii="Times New Roman" w:cs="Times New Roman" w:eastAsia="Times New Roman" w:hAnsi="Times New Roman"/>
          <w:sz w:val="18"/>
          <w:szCs w:val="18"/>
          <w:color w:val="auto"/>
        </w:rPr>
      </w:pPr>
    </w:p>
    <w:p>
      <w:pPr>
        <w:ind w:left="1800" w:right="559" w:hanging="180"/>
        <w:spacing w:after="0" w:line="23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 launched in 2010, supported a variety of functional bundles, including LDW, TSR, IHC,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Collision Warning (“FCW”) and AEB for vehicles and pedestrians (partial braking).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2 was an industry first with Pedestrian AEB, and Adaptive Cruise Control (“ACC”).</w:t>
      </w:r>
    </w:p>
    <w:p>
      <w:pPr>
        <w:spacing w:after="0" w:line="2" w:lineRule="exact"/>
        <w:rPr>
          <w:rFonts w:ascii="Times New Roman" w:cs="Times New Roman" w:eastAsia="Times New Roman" w:hAnsi="Times New Roman"/>
          <w:sz w:val="18"/>
          <w:szCs w:val="18"/>
          <w:color w:val="auto"/>
        </w:rPr>
      </w:pPr>
    </w:p>
    <w:p>
      <w:pPr>
        <w:ind w:left="1800" w:right="599" w:hanging="180"/>
        <w:spacing w:after="0" w:line="197"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 launched in the fourth quarter of 2014. In addition to significant upgrades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functions,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supports full braking AEB, structure from motion functionalities, road profile reconstruction, debris detection, general object detection, traffic light detection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was an industry first with Highway Autopilot, Camera-only AEB and full in path assisted driving.</w:t>
      </w:r>
    </w:p>
    <w:p>
      <w:pPr>
        <w:spacing w:after="0" w:line="55" w:lineRule="exact"/>
        <w:rPr>
          <w:rFonts w:ascii="Times New Roman" w:cs="Times New Roman" w:eastAsia="Times New Roman" w:hAnsi="Times New Roman"/>
          <w:sz w:val="18"/>
          <w:szCs w:val="18"/>
          <w:color w:val="auto"/>
        </w:rPr>
      </w:pPr>
    </w:p>
    <w:p>
      <w:pPr>
        <w:ind w:left="1800" w:right="439" w:hanging="180"/>
        <w:spacing w:after="0" w:line="21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High</w:t>
      </w:r>
      <w:r>
        <w:rPr>
          <w:rFonts w:ascii="Times New Roman" w:cs="Times New Roman" w:eastAsia="Times New Roman" w:hAnsi="Times New Roman"/>
          <w:sz w:val="18"/>
          <w:szCs w:val="18"/>
          <w:color w:val="auto"/>
        </w:rPr>
        <w:t> — launched in early 2018.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supports processing from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cameras (including multi-focal or ultra-high-resolution front facing and side/rear), as well as other sensor perception modalities through two models: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is a one-box windshield solution that offers around 1.1 tera operations per second (“TOPS”) supporting up to Level 2 functionality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offers 2 TOPS supporting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and localization to provide Level 2+ functionalities.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was the first SoC to support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 Harvesting and an industry first supporting 100-degree cameras.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0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5 High </w:t>
      </w:r>
      <w:r>
        <w:rPr>
          <w:rFonts w:ascii="Times New Roman" w:cs="Times New Roman" w:eastAsia="Times New Roman" w:hAnsi="Times New Roman"/>
          <w:sz w:val="18"/>
          <w:szCs w:val="18"/>
          <w:color w:val="auto"/>
        </w:rPr>
        <w:t>— designed to act as the central computing processor to enable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driving vehicles,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comes in two forms: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is a one-box windshield solution designed to support up to Level 2+ functionality.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supports Premium ADAS and up to Level 4 functionality powering both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solutions. Volume production began in 2021.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is designed on the 7nm fin field-effect transistor (“FinFET”) technology node and offers around 15 TOPS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and more than 4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we are supporting a complete SDK to allow customers to differentiate their solutions by deploying their algorithms on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pacing w:after="0" w:line="61" w:lineRule="exact"/>
        <w:rPr>
          <w:rFonts w:ascii="Times New Roman" w:cs="Times New Roman" w:eastAsia="Times New Roman" w:hAnsi="Times New Roman"/>
          <w:sz w:val="18"/>
          <w:szCs w:val="18"/>
          <w:color w:val="auto"/>
        </w:rPr>
      </w:pPr>
    </w:p>
    <w:p>
      <w:pPr>
        <w:ind w:left="1800" w:right="419"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High</w:t>
      </w:r>
      <w:r>
        <w:rPr>
          <w:rFonts w:ascii="Times New Roman" w:cs="Times New Roman" w:eastAsia="Times New Roman" w:hAnsi="Times New Roman"/>
          <w:sz w:val="18"/>
          <w:szCs w:val="18"/>
          <w:color w:val="auto"/>
        </w:rPr>
        <w:t> —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 one-box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windshield optimized solution, is designed to deliver entry and premium Level 2 ADAS functionality at ultra-low power and high efficiency. Also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will support premium ADAS or partial AV capabilities with full surround and support for visualization and heavy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13" w:lineRule="auto"/>
        <w:rPr>
          <w:sz w:val="20"/>
          <w:szCs w:val="20"/>
          <w:color w:val="auto"/>
        </w:rPr>
      </w:pPr>
      <w:r>
        <w:rPr>
          <w:rFonts w:ascii="Times New Roman" w:cs="Times New Roman" w:eastAsia="Times New Roman" w:hAnsi="Times New Roman"/>
          <w:sz w:val="18"/>
          <w:szCs w:val="18"/>
          <w:color w:val="auto"/>
        </w:rPr>
        <w:t>AI workloads with 34 TOPS in 40 watts representing lean compute. This centralized solution will provide all ADAS Level 2 functionalities, multi-camera processing (including parking cameras), and will host third-party apps such as parking visualization and driver monitoring. Both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are designed on the 7nm FinFET process technology node. We expect to release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Lite/High in 2023 or 2024 and begin production by the end of 2024.</w:t>
      </w:r>
    </w:p>
    <w:p>
      <w:pPr>
        <w:spacing w:after="0" w:line="4" w:lineRule="exact"/>
        <w:rPr>
          <w:sz w:val="20"/>
          <w:szCs w:val="20"/>
          <w:color w:val="auto"/>
        </w:rPr>
      </w:pPr>
    </w:p>
    <w:p>
      <w:pPr>
        <w:ind w:left="1800" w:right="559" w:hanging="180"/>
        <w:spacing w:after="0" w:line="219"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announced in January 2022,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maximize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and efficiency at 176 TOPS.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with full automotive-grade production in 2025.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to address the needs of Level 4 AV without the power and cost to integrate multiple SoCs together.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on the 5nm FinFET process technology node.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and we expect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be ready for production in 2025.</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Partnerships with STMicroelectronics and Intel</w:t>
      </w:r>
    </w:p>
    <w:p>
      <w:pPr>
        <w:spacing w:after="0" w:line="148" w:lineRule="exact"/>
        <w:rPr>
          <w:sz w:val="20"/>
          <w:szCs w:val="20"/>
          <w:color w:val="auto"/>
        </w:rPr>
      </w:pPr>
    </w:p>
    <w:p>
      <w:pPr>
        <w:ind w:left="1260" w:right="459" w:firstLine="360"/>
        <w:spacing w:after="0" w:line="209" w:lineRule="auto"/>
        <w:rPr>
          <w:sz w:val="20"/>
          <w:szCs w:val="20"/>
          <w:color w:val="auto"/>
        </w:rPr>
      </w:pPr>
      <w:r>
        <w:rPr>
          <w:rFonts w:ascii="Times New Roman" w:cs="Times New Roman" w:eastAsia="Times New Roman" w:hAnsi="Times New Roman"/>
          <w:sz w:val="18"/>
          <w:szCs w:val="18"/>
          <w:color w:val="auto"/>
        </w:rPr>
        <w:t>Our long-standing relationship with STMicroelectronics continues to strengthen with the complexity of our solutions. Our partnership includes close collaboration in product development, design, and manufacturing. For example, we have co-developed the seven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generations, including the recently launched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also benefit from STMicroelectronics’ advanced packaging</w:t>
      </w:r>
    </w:p>
    <w:p>
      <w:pPr>
        <w:spacing w:after="0" w:line="3" w:lineRule="exact"/>
        <w:rPr>
          <w:sz w:val="20"/>
          <w:szCs w:val="20"/>
          <w:color w:val="auto"/>
        </w:rPr>
      </w:pPr>
    </w:p>
    <w:p>
      <w:pPr>
        <w:ind w:left="1260" w:right="759"/>
        <w:spacing w:after="0" w:line="239" w:lineRule="auto"/>
        <w:rPr>
          <w:sz w:val="20"/>
          <w:szCs w:val="20"/>
          <w:color w:val="auto"/>
        </w:rPr>
      </w:pPr>
      <w:r>
        <w:rPr>
          <w:rFonts w:ascii="Times New Roman" w:cs="Times New Roman" w:eastAsia="Times New Roman" w:hAnsi="Times New Roman"/>
          <w:sz w:val="18"/>
          <w:szCs w:val="18"/>
          <w:color w:val="auto"/>
        </w:rPr>
        <w:t>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1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products are designed and manufactured specifically for automotive applications after extensive validation tests under stringent automotive environmental conditions.</w:t>
      </w:r>
    </w:p>
    <w:p>
      <w:pPr>
        <w:spacing w:after="0" w:line="95" w:lineRule="exact"/>
        <w:rPr>
          <w:sz w:val="20"/>
          <w:szCs w:val="20"/>
          <w:color w:val="auto"/>
        </w:rPr>
      </w:pPr>
    </w:p>
    <w:p>
      <w:pPr>
        <w:ind w:left="1260" w:right="579" w:firstLine="360"/>
        <w:spacing w:after="0" w:line="239"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with STMicroelectronics including EyeQ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integrated circuits are manufactured by or outsourced to a partner foundry by STMicroelectronics.</w:t>
      </w:r>
    </w:p>
    <w:p>
      <w:pPr>
        <w:spacing w:after="0" w:line="122" w:lineRule="exact"/>
        <w:rPr>
          <w:sz w:val="20"/>
          <w:szCs w:val="20"/>
          <w:color w:val="auto"/>
        </w:rPr>
      </w:pPr>
    </w:p>
    <w:p>
      <w:pPr>
        <w:ind w:left="1260" w:right="579" w:firstLine="360"/>
        <w:spacing w:after="0" w:line="214"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to develop and assemble our ECUs including our reference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STMicroelectronics.</w:t>
      </w:r>
    </w:p>
    <w:p>
      <w:pPr>
        <w:spacing w:after="0" w:line="12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As a result of our relationship with Intel, we have access to unique and differentiating technologies such as proprietary silicon photonics fabrication technologies, capable of putting active and passive optical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and Ratings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2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Europe, certain vehicle safety regulations apply to self- 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2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order for us to operate in international markets outside the United States, we must comply with relevant legal regulations regarding autonomous vehicles as well as technology export control, data security,</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cybersecurity and other related regulations that apply to global technology companies. We have developed robust compliance processes and procedures related to these regulatory requirements and believe that we are in compliance with such requirements. We do not believe there are any regulatory restrictions that would materially restrict our ability to operate in our key markets of the United States, Israel, China or Europe. We are in regular dialogue with the relevant regulatory policy bodies globally and intend to continue to comply with these regulations or any updates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12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327"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340"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0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 are extremely hard to replicate.</w:t>
      </w:r>
    </w:p>
    <w:p>
      <w:pPr>
        <w:spacing w:after="0" w:line="133"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impacting the market for our solutions include:</w:t>
      </w:r>
    </w:p>
    <w:p>
      <w:pPr>
        <w:spacing w:after="0" w:line="117" w:lineRule="exact"/>
        <w:rPr>
          <w:sz w:val="20"/>
          <w:szCs w:val="20"/>
          <w:color w:val="auto"/>
        </w:rPr>
      </w:pPr>
    </w:p>
    <w:p>
      <w:pPr>
        <w:ind w:left="1800" w:right="53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our technology platform including SoCs, sensing and perception technologies, sensor fusion architecture, high-precision mapping system, and supporting software and algorithms;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and develop ADAS and autonomous driving solutions that meet our customers’ needs;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quality standards, compliance, and performance in all areas of ADAS and autonomous driving;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software validation and robust product release discipline;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cost efficiency of our solutions;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capabilities, the ability to innovate and continuously improve our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support for our customers;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reliability and the ability to make on-time delivery of appropriate quantities of product at a consistent level of quality;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regulatory requirements;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and</w:t>
      </w:r>
    </w:p>
    <w:p>
      <w:pPr>
        <w:spacing w:after="0" w:line="7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 including the ability to market new offerings.</w:t>
      </w:r>
    </w:p>
    <w:p>
      <w:pPr>
        <w:spacing w:after="0" w:line="1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13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6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9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As of July 2, 2022, we had approximately 3,100 employees operating across eight countries, with approximately 80% of such employees involved in research and development and approximately 2,900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75565</wp:posOffset>
            </wp:positionV>
            <wp:extent cx="5212080" cy="23399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28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27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and Shanghai, which include on Intel’s sites. We are currently making investments and are building a new campus in Jerusalem, Israel, which is expected to be completed in 2022. We have also signed a lease for additional new office space near Tel Aviv that we expect to begin utilizing in 2023 and are working to enter into additional leases for more office space in various locations around the world.</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For example, on July 2, 2020, plaintiffs filed a complaint seeking monetary damages and class certification against our Israeli subsidiary in the District Court in Lod, Israel for an alleged defect in the display of one of our aftermarket products sold in Israel. Mobileye responded to the claim and the parties informed the court on January 3, 2022 that they have agreed to refer the suit to mediation. Additionally, on February 24, 2021, a plaintiff filed a complaint against Intel’s Italian subsidiary in the Court of Milan, Italy, Enterprises Section, alleging patent infringement relating to driver assistance systems. On May 19, 2021, Intel’s Italian subsidiary filed a statement of defense claiming that it is not the appropriate entity to be named as a defendant and that the plaintiff’s patent is invalid. The disputed technology is currently under review by a technical consultant appointed by the court, and we have not been named a defendant. As the likelihood of the ultimate outcome of these proceedings is not currently determinable, no amounts in respect of these matters have been accrued in our financial statements. We intend to vigorously defend each of these matters. We do not believe that these matters, and we are not a party to any other legal proceedings that we believe, if determined adversely to us, would have a material adverse effect on our business, financial condition or results of operations.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Set forth below are the names, ages and positions as of the date hereof of our executive officers, directors, and our director nominees who are expected to join our board of directors upon completion of this offering.</w:t>
      </w:r>
    </w:p>
    <w:p>
      <w:pPr>
        <w:spacing w:after="0" w:line="19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42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Chair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2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3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Gavriel Hayon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Executive Vice President, Research and Development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Shai Shalev-Shwartz</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Technology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Eyal Desheh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Jon M. Huntsman, Jr.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Christine Pambianchi</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5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Saf Yeboah-Amankwah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Nominee</w:t>
            </w:r>
          </w:p>
        </w:tc>
        <w:tc>
          <w:tcPr>
            <w:tcW w:w="23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39" w:firstLine="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Amnon Shashua </w:t>
      </w:r>
      <w:r>
        <w:rPr>
          <w:rFonts w:ascii="Times New Roman" w:cs="Times New Roman" w:eastAsia="Times New Roman" w:hAnsi="Times New Roman"/>
          <w:sz w:val="18"/>
          <w:szCs w:val="18"/>
          <w:color w:val="auto"/>
        </w:rPr>
        <w:t>is our co-founder and has been serving as our Chief Executive Officer and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2017 and as our director since our founding in 1999. He has also been serving as a Senior Vice President at Intel since 2017. Professor Shashua is expected to resign from his position at Intel in connection with the consummation of this offering and our continuation as a separate company.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33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Patrick P. Gelsinger </w:t>
      </w:r>
      <w:r>
        <w:rPr>
          <w:rFonts w:ascii="Times New Roman" w:cs="Times New Roman" w:eastAsia="Times New Roman" w:hAnsi="Times New Roman"/>
          <w:sz w:val="18"/>
          <w:szCs w:val="18"/>
          <w:color w:val="auto"/>
        </w:rPr>
        <w:t>has been the chair of our board of directors since           , 2022. He has been serving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w:t>
      </w:r>
    </w:p>
    <w:p>
      <w:pPr>
        <w:spacing w:after="0" w:line="3"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Senior Vice President and Co-General Manager of the Digital Enterprise Group from 2005 to</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324"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Anat Heller </w:t>
      </w:r>
      <w:r>
        <w:rPr>
          <w:rFonts w:ascii="Times New Roman" w:cs="Times New Roman" w:eastAsia="Times New Roman" w:hAnsi="Times New Roman"/>
          <w:sz w:val="18"/>
          <w:szCs w:val="18"/>
          <w:color w:val="auto"/>
        </w:rPr>
        <w:t>has been serving as our Chief Financial Officer since 2018. Prior to her current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0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Gavriel Hayon </w:t>
      </w:r>
      <w:r>
        <w:rPr>
          <w:rFonts w:ascii="Times New Roman" w:cs="Times New Roman" w:eastAsia="Times New Roman" w:hAnsi="Times New Roman"/>
          <w:sz w:val="18"/>
          <w:szCs w:val="18"/>
          <w:color w:val="auto"/>
        </w:rPr>
        <w:t>has been serving as our Executive Vice President, Research and Development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Dr. Hayon joined Mobileye in 1999 as an algorithm developer and had since led teams responsible for computer vision algorithms and led the algorithms department. In 2004, Dr. Hayon became the Vice President of Research and Development, leading the development and bringing to production multiple ADAS products. In 2017, in connection with our acquisition by Intel, Dr. Hayon became a Vice President of Intel. Mr. Hayon is expected to resign from his position at Intel in connection with the consummation of this offering and our continuation as a separate company. Prior to his work at Mobileye, Dr. Hayon was an algorithms developer at Applied Materials (Nasdaq: AMAT) . Dr. Hayon received his Ph.D. in AI from the Hebrew University, his M.Sc. in physics from the Weitzman Institute and his B.Sc. degree in physics from the Technion Israel Institute of Technology.</w:t>
      </w:r>
    </w:p>
    <w:p>
      <w:pPr>
        <w:spacing w:after="0" w:line="3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Shai Shalev-Shwartz </w:t>
      </w:r>
      <w:r>
        <w:rPr>
          <w:rFonts w:ascii="Times New Roman" w:cs="Times New Roman" w:eastAsia="Times New Roman" w:hAnsi="Times New Roman"/>
          <w:sz w:val="18"/>
          <w:szCs w:val="18"/>
          <w:color w:val="auto"/>
        </w:rPr>
        <w:t>has been serving as our Chief Technology Officer since 2018. In 2017,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our acquisition by Intel, Professor Shalev-Shwartz became a Senior Fellow of Intel. Professor Shalev-Shwartz is expected to resign from his position at Intel in connection with the consummation of this offering and our continuation as a separate company.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33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Eyal Desheh </w:t>
      </w:r>
      <w:r>
        <w:rPr>
          <w:rFonts w:ascii="Times New Roman" w:cs="Times New Roman" w:eastAsia="Times New Roman" w:hAnsi="Times New Roman"/>
          <w:sz w:val="18"/>
          <w:szCs w:val="18"/>
          <w:color w:val="auto"/>
        </w:rPr>
        <w:t>is expected to join our board of directors upon the completion of this offering. Mr. Desheh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32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Jon M. Huntsman, Jr.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Governor Huntsman has been serving as Vice Chair, Policy at Ford Motor Company (NYSE: F) (“Ford”) since 2021 and as a director of Ford since 2020. He previously also served as a director of Ford from 2012 to 2017. We currently supply our solutions to Ford through our Tier 1 customers. As disclosed elsewhere in this prospectus,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323"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Claire C. McCaskill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11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Christine Pambianchi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w:t>
      </w:r>
    </w:p>
    <w:p>
      <w:pPr>
        <w:spacing w:after="0" w:line="2"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Frank D. Yeary </w:t>
      </w:r>
      <w:r>
        <w:rPr>
          <w:rFonts w:ascii="Times New Roman" w:cs="Times New Roman" w:eastAsia="Times New Roman" w:hAnsi="Times New Roman"/>
          <w:sz w:val="18"/>
          <w:szCs w:val="18"/>
          <w:color w:val="auto"/>
        </w:rPr>
        <w:t>is expected to join our board of directors upon the completion of this offering.</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Yeary has been serving as Principal at Darwin Capital Advisors LLC, a private investment firm, since</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Intel. Mr. Yeary earned his B.A. from the University of California, Berkeley. Mr. Yeary was selected to serve on our board of directors due to his financial strategy and global M&amp;A expertise, including expertise in financial reporting.</w:t>
      </w:r>
    </w:p>
    <w:p>
      <w:pPr>
        <w:spacing w:after="0" w:line="33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Saf Yeboah-Amankwah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Yeboah-Amankwah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Mr. Yeboah-Amankwah was selected to serve on our board of directors due to his extensive experience advising tech companies on transformation, growth and operations and his experience with mergers and acquisitions.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and upon the completion of this offering, we will amend and restate our certificate of incorporation and bylaws. Our amended and restated certificate of incorporation will provide that the number of directors on our board of directors shall be no less than five and established from time to time by our board of directors. Immediately after this offering, our board of directors will be composed of eight members, as set forth above. Mr. Gelsinger will serve as the chair of our board of directors. Each director will continue to serve until the election and qualification of his, her or their successor, or until the earliest of his, her or their death, resignation, or removal.</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will be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discussed below.</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rules of Nasdaq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Through its control of shares of common stock representing a majority of the votes entitled to be cast in the election of directors, Intel will have the ability to control the vote to elect all of our directors. Accordingly, we will qualify as a “controlled company” under the listing requirements of Nasdaq and will be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compensation of less than $120,000.</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we will establish the following committees of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61" w:lineRule="exact"/>
        <w:rPr>
          <w:sz w:val="20"/>
          <w:szCs w:val="20"/>
          <w:color w:val="auto"/>
        </w:rPr>
      </w:pPr>
    </w:p>
    <w:p>
      <w:pPr>
        <w:ind w:left="1800" w:right="77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Upon the completion of this offering, the members of our audit committee will be Mr. Desheh, Senator McCaskill, and Mr. Yeary. Mr. Desheh will serve as the chair of our audit committee. Rule 10A-3 of the Exchange Act and the corporate governance standards of Nasdaq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Mr. Desheh, Senator McCaskill, and Mr. Yeary meet the definition of “independent director” for purposes of serving on our audit committee under Rule 10A-3 of the Exchange Act and the corporate governance standards of Nasdaq. Our board of directors has determined that each director appointed to our audit committee is financially literate. Our board of directors has determined that Mr. Desheh is an “audit committee financial expert” as such term is defined in Item 407(d)(5) of Regulation S-K.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of directors approve, the compensation of our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equity grants under the 2022 Plan (as defined below) to employees and consultants and recommend such grants to directors for approval by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of directors with respect to, incentive compensation and equity plans;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overall compensation philosophy.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completion of this offering, the members of our compensation committee will be</w:t>
      </w:r>
    </w:p>
    <w:p>
      <w:pPr>
        <w:spacing w:after="0" w:line="27"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Mr. Deshseh, Ms. Pambianchi, and Mr. Yeary. Ms. Pambianchi will serve as the chair of our compensation committee.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2" w:lineRule="exact"/>
        <w:rPr>
          <w:sz w:val="20"/>
          <w:szCs w:val="20"/>
          <w:color w:val="auto"/>
        </w:rPr>
      </w:pPr>
    </w:p>
    <w:p>
      <w:pPr>
        <w:ind w:left="1800" w:right="95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select as nominees individuals qualified to become new directors, consistent with criteria approved by our board of directors;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appoint those directors that are qualified to serve on any committee of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corporate governance principles applicable to us;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w:t>
      </w:r>
    </w:p>
    <w:p>
      <w:pPr>
        <w:spacing w:after="0" w:line="144" w:lineRule="exact"/>
        <w:rPr>
          <w:sz w:val="20"/>
          <w:szCs w:val="20"/>
          <w:color w:val="auto"/>
        </w:rPr>
      </w:pPr>
    </w:p>
    <w:p>
      <w:pPr>
        <w:jc w:val="both"/>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members of our nominating and corporate governance committee will be Governor Huntsman, Ms. Pambianchi, and Mr. Yeboah-Amankwah. Mr. Yeboah-Amankwah will serve as the chair of our nominating and corporate governance committee.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adopt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 ended December 25, 2021. Except as otherwise indicated, the information in this section relates to the compensation of our NEOs, and the principles underlying our executive compensation policies, in respect of fiscal year 2021. Our NEOs for the year ended December 25, 2021 were as follows:</w:t>
      </w:r>
    </w:p>
    <w:p>
      <w:pPr>
        <w:spacing w:after="0" w:line="72"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Chief Executive Officer;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Anat Heller, Chief Financial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Shai Shalev-Shwartz,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Gaby Hayon, Executive Vice President, Research &amp; Development; and</w:t>
      </w:r>
    </w:p>
    <w:p>
      <w:pPr>
        <w:spacing w:after="0" w:line="90"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Erez Dagan, Executive Vice President, Products &amp; Strategy. 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11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in the “Summary Compensation Table,” as well as the overall principles underlying our executive compensation policies as we move toward becoming a public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69" w:lineRule="exact"/>
        <w:rPr>
          <w:sz w:val="20"/>
          <w:szCs w:val="20"/>
          <w:color w:val="auto"/>
        </w:rPr>
      </w:pPr>
    </w:p>
    <w:p>
      <w:pPr>
        <w:ind w:left="1800" w:right="459" w:hanging="180"/>
        <w:spacing w:after="0" w:line="275"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opportunities in order to attract and retain talented, high performing and experienced executive officers, whose knowledge, skills and performance are critical to our success;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achieve our business and financial objectives;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compensation and governance with regular review of external market best practices.</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we transition from being a privately held company to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which may become relevant once we are a publicly traded company.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of our NEOs includes two primary elements: (i) base salary and (ii) equity</w:t>
      </w:r>
    </w:p>
    <w:p>
      <w:pPr>
        <w:spacing w:after="0" w:line="27"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compensation. Our model focuses on equity compensation as the key element of total compensation. A meaningful portion of executive pay is tied directly to stockholder outcomes and value creation through annual RSU grants.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Base salary is provided as a fixed source of compensation for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NEOs. Adjustments to base salaries are expected to be determined annually and base salaries may be increased based on the executive officer’s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106"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Other Cash Compensation</w:t>
      </w:r>
      <w:r>
        <w:rPr>
          <w:rFonts w:ascii="Times New Roman" w:cs="Times New Roman" w:eastAsia="Times New Roman" w:hAnsi="Times New Roman"/>
          <w:sz w:val="18"/>
          <w:szCs w:val="18"/>
          <w:color w:val="auto"/>
        </w:rPr>
        <w:t>. We do not currently provide our NEOs with annual cash incentives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regular cash bonuses or sales commissions.</w:t>
      </w:r>
    </w:p>
    <w:p>
      <w:pPr>
        <w:spacing w:after="0" w:line="9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Equity based compensation is provided to our NEOs to align their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is a significant component of our compensation program. Annual equity awards are generally made through time- and on occasion, performance-based restricted stock units, providing long-term incentives differentiated based on talent assessment, level of contribution and performance. The key features of our equity compensation program are described below under “— Equity-Based Compensation Prior to the Offering.” We adopted a new equity incentive plan in connection with the Offering, as described below under “— Equity-Based Compensation Following the Offering.”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fiscal year 2021 and generally in prior years, the appropriate levels of annual salary and equity compensation for our NEOs (other than our CEO) were determined by our CEO, who provided his determinations to Intel’s human resources department, which communicated such determinations for consideration and final approval by the compensation committee of Intel’s board of directors. Such determinations took into account each NEO’s experience and roles as well the compensation practices of similar companies in our industry. Our CEO’s compensation has generally been determined by the compensation committee of Intel’s board of directors upon recommendations from Intel’s human resources department.</w:t>
      </w:r>
    </w:p>
    <w:p>
      <w:pPr>
        <w:spacing w:after="0" w:line="11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Following our transition to being a publicly traded company, our compensation committee will be responsible for, or will assist our board of directors, in fulfilling its governance and supervisory responsibilities, and overseeing our human resources, succession planning, and compensation policies, processes and practices. Our compensation committee will also be responsible for ensuring that our compensation policies and practices appropriately balance of risk and reward consistent with our risk profile and do not encourage excessive risk-taking behavior by our executive officers, including our NEOs.</w:t>
      </w:r>
    </w:p>
    <w:p>
      <w:pPr>
        <w:spacing w:after="0" w:line="11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our board of directors will adopt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will include reviewing compensation objectives, evaluating performance, and ensuring that total compensation paid to executive officers, including our NEOs, is reasonable, and consistent with the objectives and philosophy of our compensation program.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Generally, initial salaries of our NEOs were established through arm’s length negotiation at the time the individual executive officer was hired. Following the determination of initial salaries, over the years we have been conducting annual reviews of each NEO’s base salary and have adjusted as necessary to reflect individual contributions and responsibilities and to maintain market competitiveness.</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base salaries in accordance with the policies described above:</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2021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2020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60" w:type="dxa"/>
            <w:vAlign w:val="bottom"/>
          </w:tcPr>
          <w:p>
            <w:pPr>
              <w:spacing w:after="0"/>
              <w:rPr>
                <w:sz w:val="17"/>
                <w:szCs w:val="17"/>
                <w:color w:val="auto"/>
              </w:rPr>
            </w:pPr>
          </w:p>
        </w:tc>
      </w:tr>
      <w:tr>
        <w:trPr>
          <w:trHeight w:val="214"/>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263,417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198,674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261,960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-856615</wp:posOffset>
            </wp:positionV>
            <wp:extent cx="137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-856615</wp:posOffset>
            </wp:positionV>
            <wp:extent cx="1371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-856615</wp:posOffset>
            </wp:positionV>
            <wp:extent cx="137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79" w:hanging="360"/>
        <w:spacing w:after="0" w:line="261"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figures include an amount reflecting global overtime and a high-tech addition, which is a fixed salary component for each NEO, as applicable. Such component was cancelled in March 2022, to all of the Company's employees, and the component amount was divided between the base salary and global overtime component.</w:t>
      </w:r>
    </w:p>
    <w:p>
      <w:pPr>
        <w:spacing w:after="0" w:line="31"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Shashua’s monthly salary was increased in August 2020 to $21,951.41 in order to align his salary with the salaries of the Company's executive vice presidents. The amounts in the table represent the adjusted salary and percentage increase to reflect the mid-year salary increase.</w:t>
      </w:r>
    </w:p>
    <w:p>
      <w:pPr>
        <w:spacing w:after="0" w:line="27"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Mr. Dagan’s 2020 salary and his 2021 salary is the result of unpaid absence days taken in 2021 rather than a determination of a smaller base salary.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 Retirement and Welfare Benefits</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73" w:lineRule="exact"/>
        <w:rPr>
          <w:sz w:val="20"/>
          <w:szCs w:val="20"/>
          <w:color w:val="auto"/>
        </w:rPr>
      </w:pPr>
    </w:p>
    <w:p>
      <w:pPr>
        <w:ind w:left="1800" w:right="579" w:hanging="180"/>
        <w:spacing w:after="0" w:line="254"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Pension and Severance Benefits</w:t>
      </w:r>
      <w:r>
        <w:rPr>
          <w:rFonts w:ascii="Times New Roman" w:cs="Times New Roman" w:eastAsia="Times New Roman" w:hAnsi="Times New Roman"/>
          <w:sz w:val="18"/>
          <w:szCs w:val="18"/>
          <w:color w:val="auto"/>
        </w:rPr>
        <w:t>. In Israel, we generally provide our executives,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82"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Generally, benefits available to our Israel-based employees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w:t>
      </w:r>
    </w:p>
    <w:p>
      <w:pPr>
        <w:ind w:left="180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also include payments for national health insurance. The payments to the National Insurance Institute amount to approximately 19.6% of wages (up to monthly wages of approx. NIS 45,075, approximately $14,314), of which the employee contributes approximately 7%</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spacing w:after="0" w:line="282" w:lineRule="auto"/>
        <w:rPr>
          <w:sz w:val="20"/>
          <w:szCs w:val="20"/>
          <w:color w:val="auto"/>
        </w:rPr>
      </w:pPr>
      <w:r>
        <w:rPr>
          <w:rFonts w:ascii="Times New Roman" w:cs="Times New Roman" w:eastAsia="Times New Roman" w:hAnsi="Times New Roman"/>
          <w:sz w:val="18"/>
          <w:szCs w:val="18"/>
          <w:color w:val="auto"/>
        </w:rPr>
        <w:t>toward natural insurance and 5% toward national health insurance and the employer contributes approximately 7.6% toward national insurance.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33" w:lineRule="exact"/>
        <w:rPr>
          <w:sz w:val="20"/>
          <w:szCs w:val="20"/>
          <w:color w:val="auto"/>
        </w:rPr>
      </w:pPr>
    </w:p>
    <w:p>
      <w:pPr>
        <w:ind w:left="1800" w:right="419" w:hanging="180"/>
        <w:spacing w:after="0" w:line="258"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 of Automobiles</w:t>
      </w:r>
      <w:r>
        <w:rPr>
          <w:rFonts w:ascii="Times New Roman" w:cs="Times New Roman" w:eastAsia="Times New Roman" w:hAnsi="Times New Roman"/>
          <w:sz w:val="18"/>
          <w:szCs w:val="18"/>
          <w:color w:val="auto"/>
        </w:rPr>
        <w:t>. As is customary in Israel, we lease automobiles for certain of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Anat Heller and Shai Shalev-Shwartz. The lease amount and the applicable taxes are deducted from Ms. Heller’s salary on a monthly basis (NIS 4,900, approximately $1,556, per month). Prof. Shwartz’s automobile lease is paid for by the Company and Prof. Shwartz pays for the taxes incurred in connection with this benefit.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Prior to the Offering</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Until the date of this offering, executive officers of the Company have been incentivized and rewarded through the grant of Intel equity awards under the Intel Corporation 2006 Equity Incentive Plan (the “</w:t>
      </w:r>
      <w:r>
        <w:rPr>
          <w:rFonts w:ascii="Times New Roman" w:cs="Times New Roman" w:eastAsia="Times New Roman" w:hAnsi="Times New Roman"/>
          <w:sz w:val="18"/>
          <w:szCs w:val="18"/>
          <w:u w:val="single" w:color="auto"/>
          <w:color w:val="auto"/>
        </w:rPr>
        <w:t>Intel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Equity awards were granted under the Intel Plan to our executive officers, including our NEOs, based upon the recommendation of our CEO and subject to the approval of the compensation committee of Intel’s board of directors. The CEO recommends the grant of equity awards based on the value and contributions of each executive to the Company as well as market conditions and the equity compensation of high technology talent in Israel. Our CEO’s compensation has generally been determined by the compensation committee of Intel’s board of directors upon recommendations from Intel’s human resources department.</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prior years, including in fiscal year 2021, the key component of our equity-based compensation program has been the grant of restricted stock units. All outstanding equity awards awarded under the Intel Plan that were granted prior to the offering will continue to vest and remain outstanding under the Intel Plan following the offering. Equity awards outstanding as of December 25, 2021 are set forth in the “Outstanding Equity Awards at Fiscal Year-End Table” below. It is anticipated that new equity awards in the form of restricted stock units, or other forms of awards that may be approved by our compensation committee from time to time following the offering, will be granted pursuant to the Company’s 2022 Equity Incentive Plan, as described in further detail below.</w:t>
      </w:r>
    </w:p>
    <w:p>
      <w:pPr>
        <w:spacing w:after="0" w:line="12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equity award grants in accordance with the process and policies described above: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Intel RSUs </w:t>
            </w:r>
            <w:r>
              <w:rPr>
                <w:rFonts w:ascii="Times New Roman" w:cs="Times New Roman" w:eastAsia="Times New Roman" w:hAnsi="Times New Roman"/>
                <w:sz w:val="24"/>
                <w:szCs w:val="24"/>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23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​11,121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3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​66,724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p>
        </w:tc>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-830580</wp:posOffset>
            </wp:positionV>
            <wp:extent cx="137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Restricted stock units have been granted under the Intel Plan to our executive officers annually, typically in October. Our CEO evaluates the awards to be granted to the management team, including our NEOs, and recommends such awards to Intel’s human resources department, who then seeks the approval of Intel’s compensation committee. The CEO evaluates performance as well as prior year targets when making recommendations. The restricted stock unit awards typically vest annually over a three-year period, subject to continued employment with the Company. In October 2021, the compensation committee of Intel’s board of directors approved grants of restricted stock units to our executive officers as set forth in the “Summary Compensation Table” and “Grants of Plan-Based Awards Table in the Fiscal Year Ended December 25, 2021,” below.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2017, when Mobileye was acquired by Intel, certain option awards held by then-current executives were converted into Intel option awards (the “</w:t>
      </w:r>
      <w:r>
        <w:rPr>
          <w:rFonts w:ascii="Times New Roman" w:cs="Times New Roman" w:eastAsia="Times New Roman" w:hAnsi="Times New Roman"/>
          <w:sz w:val="18"/>
          <w:szCs w:val="18"/>
          <w:u w:val="single" w:color="auto"/>
          <w:color w:val="auto"/>
        </w:rPr>
        <w:t>2017 Options</w:t>
      </w:r>
      <w:r>
        <w:rPr>
          <w:rFonts w:ascii="Times New Roman" w:cs="Times New Roman" w:eastAsia="Times New Roman" w:hAnsi="Times New Roman"/>
          <w:sz w:val="18"/>
          <w:szCs w:val="18"/>
          <w:color w:val="auto"/>
        </w:rPr>
        <w:t>”). As of 2021 fiscal year end, all 2017 Options that were granted to our NEOs are fully vested. The option awards exercised in fiscal year 2021 are set forth in the “Option Exercises and Stock Vested Table” below. The 2017 Options that remain outstanding are reflected in the “Outstanding Equity Awards at Fiscal Year-End Table” below. Since Mobileye was acquired by Intel in 2017, executives have been granted only time-based restricted stock units, except for the performance-based awards granted to Erez Dagan, as summarized below.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6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Performance awards may be granted to our NEOs on occasion. When granted, they are intended to align interests of executives with those of stockholders through the use of measures the Company believes drives its long-term success. The compensation committee of Intel’s board of directors granted a performance-based equity award to our NEO, Erez Dagan, who is currently the only NEO who holds a performance-based equity award, as further described below. We may also consider performance based equity to our CEO from time to time.</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performance-based equity awards granted to Mr. Dagan are reflected in the “Outstanding Equity Awards at Fiscal Year-End Table” below. In fiscal year 2021, we did not grant any performance-based awards to our NEOs.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Following the Offering</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Following the offering, we will establish a compensation committee that will be responsible for making recommendations for equity awards to be granted to our executive officers. In connection with the offering, the Company has adopted the Mobileye Holdings Inc. 2022 Equity Incentive Plan, which will be renamed and approved as the Mobileye Global Inc. 2022 Equity Incentive Plan prior to the offering (the “2022 Plan”), which was adopted by our board of directors on January 30, 2022 and approved by our stockholders on               , 2022. The 2022 Plan will allow the compensation committee to make equity-based incentive awards to our employees, consultants and outside directors.</w:t>
      </w:r>
    </w:p>
    <w:p>
      <w:pPr>
        <w:spacing w:after="0" w:line="112" w:lineRule="exact"/>
        <w:rPr>
          <w:sz w:val="20"/>
          <w:szCs w:val="20"/>
          <w:color w:val="auto"/>
        </w:rPr>
      </w:pPr>
    </w:p>
    <w:p>
      <w:pPr>
        <w:ind w:left="1620"/>
        <w:spacing w:after="0"/>
        <w:tabs>
          <w:tab w:leader="none" w:pos="3180" w:val="left"/>
        </w:tabs>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maximum number of shares that may be issued under the 2022 Plan will be</w:t>
      </w:r>
    </w:p>
    <w:p>
      <w:pPr>
        <w:spacing w:after="0" w:line="18" w:lineRule="exact"/>
        <w:rPr>
          <w:sz w:val="20"/>
          <w:szCs w:val="20"/>
          <w:color w:val="auto"/>
        </w:rPr>
      </w:pPr>
    </w:p>
    <w:p>
      <w:pPr>
        <w:ind w:left="1260" w:right="719"/>
        <w:spacing w:after="0" w:line="246" w:lineRule="auto"/>
        <w:tabs>
          <w:tab w:leader="none" w:pos="13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subject to adjustment upon certain changes in the Company’s capitalization. The shares issued under the 2022 Plan may be authorized and unissued shares, or reacquired common stock, including shares purchased by the Company on the open market for purposes of the plan.</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share reserve under the 2022 Plan will be subject to adjustment in the event of a stock dividend, stock split, combination of shares, extraordinary dividend of cash and/or assets, recapitalization, reorganization or any similar equity restructuring transacting affecting shares. Any shares subject to an award which for any reason expires or terminates unexercised or is not earned in full may again be made subject to an award under the plan; however,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 The maximum number of shares that may be issued as incentive stock options under the 2022 Plan may not exceed               shares.</w:t>
      </w:r>
    </w:p>
    <w:p>
      <w:pPr>
        <w:spacing w:after="0" w:line="335" w:lineRule="exact"/>
        <w:rPr>
          <w:sz w:val="20"/>
          <w:szCs w:val="20"/>
          <w:color w:val="auto"/>
        </w:rPr>
      </w:pPr>
    </w:p>
    <w:p>
      <w:pPr>
        <w:ind w:left="1260" w:right="53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2022 Plan will be administered by our compensation committee.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will have full power to take the following actions, subject to the provisions of the 2022 Plan:</w:t>
      </w:r>
    </w:p>
    <w:p>
      <w:pPr>
        <w:spacing w:after="0" w:line="282" w:lineRule="exact"/>
        <w:rPr>
          <w:sz w:val="20"/>
          <w:szCs w:val="20"/>
          <w:color w:val="auto"/>
        </w:rPr>
      </w:pPr>
    </w:p>
    <w:p>
      <w:pPr>
        <w:ind w:left="1800" w:right="55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2022 Plan, including the forms of award agreement and manner of acceptance of an award, and to take or approve such further actions as it determines necessary or appropriate to the administration of the 2022 Plan and awards;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to receive awards and to grant awards to such persons;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vary the extent of satisfaction of any performance goals or other conditions applicable to the grant, issuance, exercisability, vesting and/or ability to retain any award;</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agreements or other documents evidencing awards made under the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the extent to which, adjustments are required;</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any award, without consideration, and without requirement of the consent of the participant;</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the plan and any rules and regulations under the 2022 Plan and award granted thereunder;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the 2022 Plan.</w:t>
      </w:r>
    </w:p>
    <w:p>
      <w:pPr>
        <w:spacing w:after="0" w:line="92"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2022 Plan will be those employees, outside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consultants, as selected from time to time by our compensation committee in its discretion.</w:t>
      </w:r>
    </w:p>
    <w:p>
      <w:pPr>
        <w:spacing w:after="0" w:line="91"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2022 Plan permits the granting of both options to purchase common stock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incentive stock options under Section 422 of the Code and options that do not so qualify.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0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Our compensation committee will be able to award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subject to such conditions and restrictions as it may 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Our compensation committee will be able to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of common stock and RSUs to participants subject to such conditions and restrictions as it may determine. These conditions and restrictions may include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Subject to certain restrictions, our board of directors may amend, alter or discontinue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No amendment or alteration which would impair the rights of any participant, will be made without the participant’s consent, provided, no such consent is required if the compensation committee otherwise determines in its sole discretion that such amendment or alteration either</w:t>
      </w:r>
    </w:p>
    <w:p>
      <w:pPr>
        <w:spacing w:after="0" w:line="5" w:lineRule="exact"/>
        <w:rPr>
          <w:sz w:val="20"/>
          <w:szCs w:val="20"/>
          <w:color w:val="auto"/>
        </w:rPr>
      </w:pPr>
    </w:p>
    <w:p>
      <w:pPr>
        <w:ind w:left="1260" w:right="519"/>
        <w:spacing w:after="0" w:line="253" w:lineRule="auto"/>
        <w:tabs>
          <w:tab w:leader="none" w:pos="14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10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No awards may be granted under the 2022 Plan after the date that is ten years from the date immediately preceding the registration date and no incentive stock options may be granted under the 2022 Plan after the date that is ten years from the date the 2022 Plan was approved by the board of directors. No awards under the 2022 Plan have been made prior to the date hereof.</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Equity Awards and Other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offering, we are making the following additional equity grants to our NEOs: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 Amnon Shashua:</w:t>
      </w:r>
    </w:p>
    <w:p>
      <w:pPr>
        <w:spacing w:after="0" w:line="144" w:lineRule="exact"/>
        <w:rPr>
          <w:sz w:val="20"/>
          <w:szCs w:val="20"/>
          <w:color w:val="auto"/>
        </w:rPr>
      </w:pPr>
    </w:p>
    <w:p>
      <w:pPr>
        <w:jc w:val="both"/>
        <w:ind w:left="1260" w:right="1580" w:firstLine="360"/>
        <w:spacing w:after="0" w:line="247" w:lineRule="auto"/>
        <w:rPr>
          <w:sz w:val="20"/>
          <w:szCs w:val="20"/>
          <w:color w:val="auto"/>
        </w:rPr>
      </w:pPr>
      <w:r>
        <w:rPr>
          <w:rFonts w:ascii="Times New Roman" w:cs="Times New Roman" w:eastAsia="Times New Roman" w:hAnsi="Times New Roman"/>
          <w:sz w:val="18"/>
          <w:szCs w:val="18"/>
          <w:color w:val="auto"/>
        </w:rPr>
        <w:t>Upon successful completion of the IPO, Prof. Shashua will be eligible to receive: (i) an annual base salary of $800,000, which we anticipate will be retroactive to January 1, 2022; and (ii) an annual equity award representing approximately $14,200,000, with specific terms of the award to be determined.</w:t>
      </w:r>
    </w:p>
    <w:p>
      <w:pPr>
        <w:spacing w:after="0" w:line="2" w:lineRule="exact"/>
        <w:rPr>
          <w:sz w:val="20"/>
          <w:szCs w:val="20"/>
          <w:color w:val="auto"/>
        </w:rPr>
      </w:pPr>
    </w:p>
    <w:p>
      <w:pPr>
        <w:ind w:left="1260" w:right="1420"/>
        <w:spacing w:after="0" w:line="242" w:lineRule="auto"/>
        <w:rPr>
          <w:sz w:val="20"/>
          <w:szCs w:val="20"/>
          <w:color w:val="auto"/>
        </w:rPr>
      </w:pPr>
      <w:r>
        <w:rPr>
          <w:rFonts w:ascii="Times New Roman" w:cs="Times New Roman" w:eastAsia="Times New Roman" w:hAnsi="Times New Roman"/>
          <w:sz w:val="18"/>
          <w:szCs w:val="18"/>
          <w:color w:val="auto"/>
        </w:rPr>
        <w:t>Additionally, Prof. Shashua has the option to invest up to $10,000,000 of his own capital in Mobileye, and such investment may be made, if Prof. Shashua so elects, by purchasing shares of our Class A common stock in this offering. Furthermore, if such investment is made, it will be matched on a three-to -one basis through grants of additional awards of our equity, vesting 50% in the fourth year following the completion of this offering and 50% in the fifth year following the completion of this offering, with specific terms of the grant to be determined.</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NEOs: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Grant</w:t>
            </w:r>
          </w:p>
        </w:tc>
        <w:tc>
          <w:tcPr>
            <w:tcW w:w="6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RSUs</w:t>
            </w:r>
          </w:p>
        </w:tc>
        <w:tc>
          <w:tcPr>
            <w:tcW w:w="60" w:type="dxa"/>
            <w:vAlign w:val="bottom"/>
          </w:tcPr>
          <w:p>
            <w:pPr>
              <w:spacing w:after="0"/>
              <w:rPr>
                <w:sz w:val="14"/>
                <w:szCs w:val="14"/>
                <w:color w:val="auto"/>
              </w:rPr>
            </w:pPr>
          </w:p>
        </w:tc>
      </w:tr>
      <w:tr>
        <w:trPr>
          <w:trHeight w:val="214"/>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17"/>
                <w:szCs w:val="17"/>
                <w:b w:val="1"/>
                <w:bCs w:val="1"/>
                <w:color w:val="auto"/>
                <w:vertAlign w:val="superscript"/>
              </w:rPr>
              <w:t>(1)</w:t>
            </w:r>
          </w:p>
        </w:tc>
        <w:tc>
          <w:tcPr>
            <w:tcW w:w="112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Grant Year </w:t>
            </w:r>
            <w:r>
              <w:rPr>
                <w:rFonts w:ascii="Times New Roman" w:cs="Times New Roman" w:eastAsia="Times New Roman" w:hAnsi="Times New Roman"/>
                <w:sz w:val="24"/>
                <w:szCs w:val="24"/>
                <w:b w:val="1"/>
                <w:bCs w:val="1"/>
                <w:color w:val="auto"/>
                <w:vertAlign w:val="subscript"/>
              </w:rPr>
              <w:t>​ ​</w:t>
            </w: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3,284,565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​​13,006,708​</w:t>
            </w:r>
          </w:p>
        </w:tc>
      </w:tr>
      <w:tr>
        <w:trPr>
          <w:trHeight w:val="25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 Development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11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5,677,389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-496570</wp:posOffset>
            </wp:positionV>
            <wp:extent cx="137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-496570</wp:posOffset>
            </wp:positionV>
            <wp:extent cx="137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1780" w:hanging="360"/>
        <w:spacing w:after="0" w:line="282"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in July 2022, Mr. Dagan resigned from his position as an executive officer. Accordingly, he will not receive an executive officer RSU award in connection with the offering.</w:t>
      </w:r>
    </w:p>
    <w:p>
      <w:pPr>
        <w:spacing w:after="0" w:line="13" w:lineRule="exact"/>
        <w:rPr>
          <w:rFonts w:ascii="Times New Roman" w:cs="Times New Roman" w:eastAsia="Times New Roman" w:hAnsi="Times New Roman"/>
          <w:sz w:val="18"/>
          <w:szCs w:val="18"/>
          <w:color w:val="auto"/>
        </w:rPr>
      </w:pPr>
    </w:p>
    <w:p>
      <w:pPr>
        <w:ind w:left="1620" w:right="1420" w:hanging="360"/>
        <w:spacing w:after="0" w:line="261"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grants to the other NEOs will be in the form of RSUs and will be granted upon successful completion of the offering. The number of shares subject to each of the RSU grants will be determined at or around the time of the offering based on the total target amount reflected in the table and the share price on the date of grant. The RSUs are expected to be vested over a three-year period.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Compensation/Benefit Programs Following this Offering</w:t>
      </w:r>
    </w:p>
    <w:p>
      <w:pPr>
        <w:spacing w:after="0" w:line="148" w:lineRule="exact"/>
        <w:rPr>
          <w:sz w:val="20"/>
          <w:szCs w:val="20"/>
          <w:color w:val="auto"/>
        </w:rPr>
      </w:pPr>
    </w:p>
    <w:p>
      <w:pPr>
        <w:ind w:left="1260" w:right="1580"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we have not established for our NEOs any additional compensation plans and programs other than the 2022 Plan and the awards granted thereunder.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on Executive Compensation</w:t>
      </w:r>
    </w:p>
    <w:p>
      <w:pPr>
        <w:spacing w:after="0" w:line="162" w:lineRule="exact"/>
        <w:rPr>
          <w:sz w:val="20"/>
          <w:szCs w:val="20"/>
          <w:color w:val="auto"/>
        </w:rPr>
      </w:pPr>
    </w:p>
    <w:p>
      <w:pPr>
        <w:ind w:left="1260" w:right="1940"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has reviewed and discussed the “Executive Compensation — Compensation Discussion and Analysis” section with our management. Based upon this review and discussion, it was recommended to include the Compensation Discussion and Analysis in this S-1.</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5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3"/>
                <w:vertAlign w:val="subscript"/>
              </w:rPr>
              <w:t>($)</w:t>
            </w:r>
            <w:r>
              <w:rPr>
                <w:rFonts w:ascii="Times New Roman" w:cs="Times New Roman" w:eastAsia="Times New Roman" w:hAnsi="Times New Roman"/>
                <w:sz w:val="8"/>
                <w:szCs w:val="8"/>
                <w:b w:val="1"/>
                <w:bCs w:val="1"/>
                <w:color w:val="auto"/>
                <w:w w:val="93"/>
              </w:rPr>
              <w:t>(3)1</w:t>
            </w:r>
          </w:p>
        </w:tc>
        <w:tc>
          <w:tcPr>
            <w:tcW w:w="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16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263,417​​ ​ </w:t>
            </w: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00" w:type="dxa"/>
            <w:vAlign w:val="bottom"/>
            <w:gridSpan w:val="4"/>
            <w:shd w:val="clear" w:color="auto" w:fill="CCEEFF"/>
          </w:tcPr>
          <w:p>
            <w:pPr>
              <w:jc w:val="right"/>
              <w:ind w:right="60"/>
              <w:spacing w:after="0" w:line="23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68,952</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265,780​​ ​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511,897​​ ​</w:t>
            </w: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57,317</w:t>
            </w:r>
            <w:r>
              <w:rPr>
                <w:rFonts w:ascii="Times New Roman" w:cs="Times New Roman" w:eastAsia="Times New Roman" w:hAnsi="Times New Roman"/>
                <w:sz w:val="23"/>
                <w:szCs w:val="23"/>
                <w:color w:val="auto"/>
                <w:vertAlign w:val="superscript"/>
              </w:rPr>
              <w:t>(5)</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834,994​</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31,441</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3,863,903​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761,175​​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3,071,287 ​​ ​</w:t>
            </w:r>
          </w:p>
        </w:tc>
        <w:tc>
          <w:tcPr>
            <w:tcW w:w="1820" w:type="dxa"/>
            <w:vAlign w:val="bottom"/>
            <w:gridSpan w:val="5"/>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 Executive Vice President,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gridSpan w:val="6"/>
            <w:vMerge w:val="restart"/>
          </w:tcPr>
          <w:p>
            <w:pPr>
              <w:jc w:val="right"/>
              <w:ind w:right="112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62,686</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2,244,315​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5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263,893​​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 ​</w:t>
            </w:r>
          </w:p>
        </w:tc>
        <w:tc>
          <w:tcPr>
            <w:tcW w:w="30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63,170</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2,242,866​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261,960​​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 ​</w:t>
            </w:r>
          </w:p>
        </w:tc>
        <w:tc>
          <w:tcPr>
            <w:tcW w:w="1820" w:type="dxa"/>
            <w:vAlign w:val="bottom"/>
            <w:gridSpan w:val="5"/>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-1885315</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-1885315</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-1885315</wp:posOffset>
            </wp:positionV>
            <wp:extent cx="1200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-1885315</wp:posOffset>
            </wp:positionV>
            <wp:extent cx="1200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-1885315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620" w:right="1180" w:hanging="360"/>
        <w:spacing w:after="0" w:line="26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paid in NIS. The amounts are converted according to the closing foreign exchange rate U.S. dollar/​NIS for December 25, 2021 at $3.149. The salary figure includes the NEO’s base salary and global overtime.</w:t>
      </w:r>
    </w:p>
    <w:p>
      <w:pPr>
        <w:spacing w:after="0" w:line="40" w:lineRule="exact"/>
        <w:rPr>
          <w:rFonts w:ascii="Times New Roman" w:cs="Times New Roman" w:eastAsia="Times New Roman" w:hAnsi="Times New Roman"/>
          <w:sz w:val="18"/>
          <w:szCs w:val="18"/>
          <w:color w:val="auto"/>
        </w:rPr>
      </w:pPr>
    </w:p>
    <w:p>
      <w:pPr>
        <w:ind w:left="1620" w:right="820" w:hanging="360"/>
        <w:spacing w:after="0" w:line="258"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34" w:lineRule="exact"/>
        <w:rPr>
          <w:rFonts w:ascii="Times New Roman" w:cs="Times New Roman" w:eastAsia="Times New Roman" w:hAnsi="Times New Roman"/>
          <w:sz w:val="18"/>
          <w:szCs w:val="18"/>
          <w:color w:val="auto"/>
        </w:rPr>
      </w:pPr>
    </w:p>
    <w:p>
      <w:pPr>
        <w:ind w:left="1620" w:right="920" w:hanging="360"/>
        <w:spacing w:after="0" w:line="261"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Israeli law.</w:t>
      </w:r>
    </w:p>
    <w:p>
      <w:pPr>
        <w:spacing w:after="0" w:line="274" w:lineRule="exact"/>
        <w:rPr>
          <w:rFonts w:ascii="Times New Roman" w:cs="Times New Roman" w:eastAsia="Times New Roman" w:hAnsi="Times New Roman"/>
          <w:sz w:val="18"/>
          <w:szCs w:val="18"/>
          <w:color w:val="auto"/>
        </w:rPr>
      </w:pPr>
    </w:p>
    <w:p>
      <w:pPr>
        <w:ind w:left="1620" w:right="940" w:hanging="360"/>
        <w:spacing w:after="0" w:line="26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Amnon Shashua represents pension benefit contributions of $39,188, an Advanced Study Fund contribution of $15,805, a patent grant cash award of $7,302,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Anat Heller represents pension benefit contributions of $37,823, an Advanced Study Fund contribution of $14,984, and other miscellaneous benefits.</w:t>
      </w:r>
    </w:p>
    <w:p>
      <w:pPr>
        <w:spacing w:after="0" w:line="241" w:lineRule="exact"/>
        <w:rPr>
          <w:rFonts w:ascii="Times New Roman" w:cs="Times New Roman" w:eastAsia="Times New Roman" w:hAnsi="Times New Roman"/>
          <w:sz w:val="18"/>
          <w:szCs w:val="18"/>
          <w:color w:val="auto"/>
        </w:rPr>
      </w:pPr>
    </w:p>
    <w:p>
      <w:pPr>
        <w:ind w:left="1620" w:right="960" w:hanging="360"/>
        <w:spacing w:after="0" w:line="26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Shai Shalev represents a pension benefit contribution of $6,782, a patent grant cash award of $6,968, an automobile allowance of $11,813, and other miscellaneous benefits.</w:t>
      </w:r>
    </w:p>
    <w:p>
      <w:pPr>
        <w:spacing w:after="0" w:line="27" w:lineRule="exact"/>
        <w:rPr>
          <w:rFonts w:ascii="Times New Roman" w:cs="Times New Roman" w:eastAsia="Times New Roman" w:hAnsi="Times New Roman"/>
          <w:sz w:val="18"/>
          <w:szCs w:val="18"/>
          <w:color w:val="auto"/>
        </w:rPr>
      </w:pPr>
    </w:p>
    <w:p>
      <w:pPr>
        <w:ind w:left="1620" w:right="1020" w:hanging="360"/>
        <w:spacing w:after="0" w:line="26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Dr. Gaby Hayon represents pension benefit contributions of $40,587, an Advanced Study Fund contribution of $16,033,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Erez Dagan represents pension benefit contributions of $39,856, an Advanced Study Fund contribution of $15,903, and other miscellaneous benefits.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the Year Ended December 25, 2021</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8"/>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Estimated Future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9"/>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8"/>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9"/>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9"/>
          </w:tcPr>
          <w:p>
            <w:pPr>
              <w:ind w:left="140"/>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8"/>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8"/>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62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Option</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5"/>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5"/>
                <w:szCs w:val="25"/>
                <w:b w:val="1"/>
                <w:bCs w:val="1"/>
                <w:color w:val="auto"/>
                <w:vertAlign w:val="subscript"/>
              </w:rPr>
              <w:t>​​</w:t>
            </w:r>
          </w:p>
        </w:tc>
        <w:tc>
          <w:tcPr>
            <w:tcW w:w="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500" w:type="dxa"/>
            <w:vAlign w:val="bottom"/>
          </w:tcPr>
          <w:p>
            <w:pPr>
              <w:jc w:val="center"/>
              <w:ind w:right="55"/>
              <w:spacing w:after="0" w:line="216" w:lineRule="exact"/>
              <w:rPr>
                <w:sz w:val="20"/>
                <w:szCs w:val="20"/>
                <w:color w:val="auto"/>
              </w:rPr>
            </w:pPr>
            <w:r>
              <w:rPr>
                <w:rFonts w:ascii="Times New Roman" w:cs="Times New Roman" w:eastAsia="Times New Roman" w:hAnsi="Times New Roman"/>
                <w:sz w:val="25"/>
                <w:szCs w:val="25"/>
                <w:b w:val="1"/>
                <w:bCs w:val="1"/>
                <w:color w:val="auto"/>
                <w:w w:val="90"/>
                <w:vertAlign w:val="subscript"/>
              </w:rPr>
              <w:t>(#)</w:t>
            </w:r>
            <w:r>
              <w:rPr>
                <w:rFonts w:ascii="Times New Roman" w:cs="Times New Roman" w:eastAsia="Times New Roman" w:hAnsi="Times New Roman"/>
                <w:sz w:val="8"/>
                <w:szCs w:val="8"/>
                <w:b w:val="1"/>
                <w:bCs w:val="1"/>
                <w:color w:val="auto"/>
                <w:w w:val="90"/>
              </w:rPr>
              <w:t>(1)</w:t>
            </w: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6"/>
                <w:szCs w:val="16"/>
                <w:b w:val="1"/>
                <w:bCs w:val="1"/>
                <w:color w:val="auto"/>
                <w:vertAlign w:val="superscript"/>
              </w:rPr>
              <w:t>(2)</w:t>
            </w:r>
          </w:p>
        </w:tc>
        <w:tc>
          <w:tcPr>
            <w:tcW w:w="20" w:type="dxa"/>
            <w:vAlign w:val="bottom"/>
          </w:tcPr>
          <w:p>
            <w:pPr>
              <w:spacing w:after="0"/>
              <w:rPr>
                <w:sz w:val="18"/>
                <w:szCs w:val="18"/>
                <w:color w:val="auto"/>
              </w:rPr>
            </w:pPr>
          </w:p>
        </w:tc>
        <w:tc>
          <w:tcPr>
            <w:tcW w:w="840" w:type="dxa"/>
            <w:vAlign w:val="bottom"/>
            <w:gridSpan w:val="4"/>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187"/>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Amnon Shashua, Chief</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Executive Officer</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Anat Heller, Chief Financial</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Officer</w:t>
            </w:r>
          </w:p>
        </w:tc>
        <w:tc>
          <w:tcPr>
            <w:tcW w:w="9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11,121</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511,897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Shai Shalev-Shwartz, Chief</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Officer</w:t>
            </w:r>
          </w:p>
        </w:tc>
        <w:tc>
          <w:tcPr>
            <w:tcW w:w="96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66,724</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3,071,287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Dr. Gaby Hayon, Executive Vice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Research &amp;</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9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1,917,736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Products &amp; Strategy</w:t>
            </w:r>
          </w:p>
        </w:tc>
        <w:tc>
          <w:tcPr>
            <w:tcW w:w="96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1,917,736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-1370965</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-1370965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-1370965</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-1370965</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-1370965</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-1370965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-1370965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-1370965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-1370965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-1370965</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-1370965</wp:posOffset>
            </wp:positionV>
            <wp:extent cx="342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880" w:hanging="360"/>
        <w:spacing w:after="0" w:line="257"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each of Anat Heller, Prof. Shai Shalev, Dr. Gaby Hayon and Erez Dagan, received a grant of restricted stock units under the Intel Plan in the amounts shown, as described in the Compensation Discussion and Analysis, under the caption “Equity-Based Compensation — Equity-Based Compensation Prior to the Offering — Restricted Stock Units.” Unless otherwise noted in the footnotes, these restricted stock units vest in annual installments over three years following the vesting commencement date.</w:t>
      </w:r>
    </w:p>
    <w:p>
      <w:pPr>
        <w:spacing w:after="0" w:line="200" w:lineRule="exact"/>
        <w:rPr>
          <w:sz w:val="20"/>
          <w:szCs w:val="20"/>
          <w:color w:val="auto"/>
        </w:rPr>
      </w:pPr>
    </w:p>
    <w:p>
      <w:pPr>
        <w:spacing w:after="0" w:line="3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on the date of grant of a share of Intel common stock.</w:t>
      </w:r>
    </w:p>
    <w:p>
      <w:pPr>
        <w:spacing w:after="0" w:line="76"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restricted stock units granted during 2021 calculated in accordance with ASC 718.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35" w:lineRule="exact"/>
        <w:rPr>
          <w:sz w:val="20"/>
          <w:szCs w:val="20"/>
          <w:color w:val="auto"/>
        </w:rPr>
      </w:pPr>
    </w:p>
    <w:p>
      <w:pPr>
        <w:ind w:left="1260" w:right="599" w:firstLine="360"/>
        <w:spacing w:after="0" w:line="239" w:lineRule="auto"/>
        <w:rPr>
          <w:sz w:val="20"/>
          <w:szCs w:val="20"/>
          <w:color w:val="auto"/>
        </w:rPr>
      </w:pPr>
      <w:r>
        <w:rPr>
          <w:rFonts w:ascii="Times New Roman" w:cs="Times New Roman" w:eastAsia="Times New Roman" w:hAnsi="Times New Roman"/>
          <w:sz w:val="18"/>
          <w:szCs w:val="18"/>
          <w:color w:val="auto"/>
        </w:rPr>
        <w:t>We have entered into employment agreements with Messrs. Shashua, Shwartz, Hayon and Dagan and Ms. Heller, which are summarized below. Each agreement is governed by Israeli law and provides for customary non -competition and non-solicitation provisions during the term of the agreements and for twelve months after termination of their employment for any reason (except for Prof. Shashua whose non-competition and non-solicitation provisions continue for eighteen months).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Shashua</w:t>
      </w:r>
    </w:p>
    <w:p>
      <w:pPr>
        <w:spacing w:after="0" w:line="148" w:lineRule="exact"/>
        <w:rPr>
          <w:sz w:val="20"/>
          <w:szCs w:val="20"/>
          <w:color w:val="auto"/>
        </w:rPr>
      </w:pPr>
    </w:p>
    <w:p>
      <w:pPr>
        <w:ind w:left="1260" w:right="1019" w:firstLine="360"/>
        <w:spacing w:after="0" w:line="254" w:lineRule="auto"/>
        <w:rPr>
          <w:sz w:val="20"/>
          <w:szCs w:val="20"/>
          <w:color w:val="auto"/>
        </w:rPr>
      </w:pPr>
      <w:r>
        <w:rPr>
          <w:rFonts w:ascii="Times New Roman" w:cs="Times New Roman" w:eastAsia="Times New Roman" w:hAnsi="Times New Roman"/>
          <w:sz w:val="18"/>
          <w:szCs w:val="18"/>
          <w:color w:val="auto"/>
        </w:rPr>
        <w:t>Prof. Shashua is the founder and Chief Executive Officer of the Company and has been with the Company since 1999. On July 24, 2014, we entered into an amended employment agreement with</w:t>
      </w:r>
    </w:p>
    <w:p>
      <w:pPr>
        <w:ind w:left="1260" w:right="439"/>
        <w:spacing w:after="0"/>
        <w:rPr>
          <w:sz w:val="20"/>
          <w:szCs w:val="20"/>
          <w:color w:val="auto"/>
        </w:rPr>
      </w:pPr>
      <w:r>
        <w:rPr>
          <w:rFonts w:ascii="Times New Roman" w:cs="Times New Roman" w:eastAsia="Times New Roman" w:hAnsi="Times New Roman"/>
          <w:sz w:val="18"/>
          <w:szCs w:val="18"/>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ind w:left="1260" w:right="679"/>
        <w:spacing w:after="0" w:line="246" w:lineRule="auto"/>
        <w:rPr>
          <w:sz w:val="20"/>
          <w:szCs w:val="20"/>
          <w:color w:val="auto"/>
        </w:rPr>
      </w:pPr>
      <w:r>
        <w:rPr>
          <w:rFonts w:ascii="Times New Roman" w:cs="Times New Roman" w:eastAsia="Times New Roman" w:hAnsi="Times New Roman"/>
          <w:sz w:val="18"/>
          <w:szCs w:val="18"/>
          <w:color w:val="auto"/>
        </w:rPr>
        <w:t>Prof. Shashua’s employment is terminated for reasons other than for “cause” or he resigns from the Company by “deemed dismissal” in connection with a “change in control” (as​ defined in his employment agreement), he is entitled to receive such benefits and entitlements for a period of twelve months.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Shwartz</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120"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5723-1963.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Hayon</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August 1, 1999, we entered into an employment agreement with Dr. Hayon, our Executive Vice President of Research &amp; Development. The employment agreement sets forth his annual salary, vacation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pacing w:after="0" w:line="11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5723-1963.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Mr. Dagan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Mr. Dagan joined the Company in February 2003. On October 1, 2016, we entered into the current employment agreement with Mr. Dagan. The employment agreement sets forth his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Provident Fund: a sum equal to 8.33% of his salary for severance purposes, 6.5% of his salary for pension purposes (Mr. Dagan also contributes 6% of his salary toward such fund) and up to 0.55% of his salary towards disability insurance. Mr. Dagan’s employment agreement also ensures certain payments to an Advance Study Fund, under which the Company contributes an amount equal to 7.5% of his gross salary (representing 80% of the sum of salary, travel expense and convalesce) on a monthly basis, and Mr. Dagan contributes 2.5% of his gross salary on a monthly basis.</w:t>
      </w:r>
    </w:p>
    <w:p>
      <w:pPr>
        <w:spacing w:after="0" w:line="3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Company and Mr. Dagan may terminate his employment agreement for any reason by providing thirty days’ prior written notice or pay in lieu of notice. Mr. Dagan is entitled to the transfer of the funds in his severance fund, only if his termination would entitle him to severance under the Severance Pay Law 5723-1963.</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As noted above, in July 2022, Mr. Dagan resigned from his position as Executive Vice President, Products and Strategy to take on an advisory role and continues to be an employee of the Company for a temporary period of transition of his responsibilities. He continues to be employed under his employment agreement for this period but is no longer deemed to be an executive officer of the Company.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Ms. Heller</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3" w:lineRule="exact"/>
        <w:rPr>
          <w:sz w:val="20"/>
          <w:szCs w:val="20"/>
          <w:color w:val="auto"/>
        </w:rPr>
      </w:pPr>
    </w:p>
    <w:p>
      <w:pPr>
        <w:ind w:left="1260" w:right="579"/>
        <w:spacing w:after="0" w:line="241" w:lineRule="auto"/>
        <w:rPr>
          <w:sz w:val="20"/>
          <w:szCs w:val="20"/>
          <w:color w:val="auto"/>
        </w:rPr>
      </w:pPr>
      <w:r>
        <w:rPr>
          <w:rFonts w:ascii="Times New Roman" w:cs="Times New Roman" w:eastAsia="Times New Roman" w:hAnsi="Times New Roman"/>
          <w:sz w:val="18"/>
          <w:szCs w:val="18"/>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1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5723-1963.</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Nonqualified Deferred Compensation</w:t>
      </w:r>
    </w:p>
    <w:p>
      <w:pPr>
        <w:spacing w:after="0" w:line="162" w:lineRule="exact"/>
        <w:rPr>
          <w:sz w:val="20"/>
          <w:szCs w:val="20"/>
          <w:color w:val="auto"/>
        </w:rPr>
      </w:pPr>
    </w:p>
    <w:p>
      <w:pPr>
        <w:jc w:val="both"/>
        <w:ind w:left="1260" w:right="1240" w:firstLine="360"/>
        <w:spacing w:after="0" w:line="282" w:lineRule="auto"/>
        <w:rPr>
          <w:sz w:val="20"/>
          <w:szCs w:val="20"/>
          <w:color w:val="auto"/>
        </w:rPr>
      </w:pPr>
      <w:r>
        <w:rPr>
          <w:rFonts w:ascii="Times New Roman" w:cs="Times New Roman" w:eastAsia="Times New Roman" w:hAnsi="Times New Roman"/>
          <w:sz w:val="18"/>
          <w:szCs w:val="18"/>
          <w:color w:val="auto"/>
        </w:rPr>
        <w:t>The Company does not maintain a non-qualified deferred compensation plan for the benefit of the NEOs and none of the NEOs participate in a defined benefit pension plan maintained by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9"/>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1"/>
                <w:szCs w:val="11"/>
                <w:color w:val="auto"/>
              </w:rPr>
            </w:pPr>
          </w:p>
        </w:tc>
        <w:tc>
          <w:tcPr>
            <w:tcW w:w="5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center"/>
              <w:ind w:left="58"/>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960" w:type="dxa"/>
            <w:vAlign w:val="bottom"/>
            <w:gridSpan w:val="10"/>
          </w:tcPr>
          <w:p>
            <w:pPr>
              <w:jc w:val="right"/>
              <w:spacing w:after="0" w:line="193"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Exercisable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Unexercisable </w:t>
            </w:r>
            <w:r>
              <w:rPr>
                <w:rFonts w:ascii="Times New Roman" w:cs="Times New Roman" w:eastAsia="Times New Roman" w:hAnsi="Times New Roman"/>
                <w:sz w:val="22"/>
                <w:szCs w:val="22"/>
                <w:b w:val="1"/>
                <w:bCs w:val="1"/>
                <w:color w:val="auto"/>
                <w:vertAlign w:val="subscript"/>
              </w:rPr>
              <w:t>​​</w:t>
            </w:r>
          </w:p>
        </w:tc>
        <w:tc>
          <w:tcPr>
            <w:tcW w:w="1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Amnon Shashua,</w:t>
            </w:r>
          </w:p>
        </w:tc>
        <w:tc>
          <w:tcPr>
            <w:tcW w:w="40" w:type="dxa"/>
            <w:vAlign w:val="bottom"/>
          </w:tcPr>
          <w:p>
            <w:pPr>
              <w:spacing w:after="0"/>
              <w:rPr>
                <w:sz w:val="8"/>
                <w:szCs w:val="8"/>
                <w:color w:val="auto"/>
              </w:rPr>
            </w:pPr>
          </w:p>
        </w:tc>
        <w:tc>
          <w:tcPr>
            <w:tcW w:w="100" w:type="dxa"/>
            <w:vAlign w:val="bottom"/>
            <w:gridSpan w:val="2"/>
            <w:shd w:val="clear" w:color="auto" w:fill="CCEEFF"/>
          </w:tcPr>
          <w:p>
            <w:pPr>
              <w:jc w:val="right"/>
              <w:ind w:righ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20" w:type="dxa"/>
            <w:vAlign w:val="bottom"/>
            <w:shd w:val="clear" w:color="auto" w:fill="CCEEFF"/>
          </w:tcPr>
          <w:p>
            <w:pPr>
              <w:ind w:left="3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CCEEFF"/>
            </w:tcBorders>
            <w:gridSpan w:val="3"/>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8/8/2017</w:t>
            </w: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1"/>
                <w:szCs w:val="11"/>
                <w:color w:val="auto"/>
              </w:rPr>
              <w:t>​1,278,053</w:t>
            </w: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ind w:left="320"/>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 33.03</w:t>
            </w: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ind w:left="10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Executive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0"/>
                <w:szCs w:val="10"/>
                <w:color w:val="auto"/>
              </w:rPr>
            </w:pP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8/8/2017</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8"/>
                <w:szCs w:val="8"/>
                <w:color w:val="auto"/>
              </w:rPr>
              <w:t>​2,098,578</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26.89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tcPr>
          <w:p>
            <w:pPr>
              <w:ind w:left="40"/>
              <w:spacing w:after="0" w:line="72" w:lineRule="exact"/>
              <w:rPr>
                <w:sz w:val="20"/>
                <w:szCs w:val="20"/>
                <w:color w:val="auto"/>
              </w:rPr>
            </w:pPr>
            <w:r>
              <w:rPr>
                <w:rFonts w:ascii="Times New Roman" w:cs="Times New Roman" w:eastAsia="Times New Roman" w:hAnsi="Times New Roman"/>
                <w:sz w:val="8"/>
                <w:szCs w:val="8"/>
                <w:color w:val="auto"/>
              </w:rPr>
              <w:t>​ 8/15/23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Anat Heller, Chief</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(5)</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1700" w:type="dxa"/>
            <w:vAlign w:val="bottom"/>
            <w:gridSpan w:val="2"/>
            <w:vMerge w:val="continue"/>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10/30/2020</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 8,063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413,713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color w:val="auto"/>
              </w:rPr>
              <w:t>Financial Officer</w:t>
            </w:r>
          </w:p>
        </w:tc>
        <w:tc>
          <w:tcPr>
            <w:tcW w:w="40" w:type="dxa"/>
            <w:vAlign w:val="bottom"/>
          </w:tcPr>
          <w:p>
            <w:pPr>
              <w:spacing w:after="0"/>
              <w:rPr>
                <w:sz w:val="13"/>
                <w:szCs w:val="13"/>
                <w:color w:val="auto"/>
              </w:rPr>
            </w:pPr>
          </w:p>
        </w:tc>
        <w:tc>
          <w:tcPr>
            <w:tcW w:w="10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2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36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4"/>
          </w:tcPr>
          <w:p>
            <w:pPr>
              <w:ind w:left="80"/>
              <w:spacing w:after="0" w:line="108" w:lineRule="exact"/>
              <w:rPr>
                <w:sz w:val="20"/>
                <w:szCs w:val="20"/>
                <w:color w:val="auto"/>
              </w:rPr>
            </w:pPr>
            <w:r>
              <w:rPr>
                <w:rFonts w:ascii="Times New Roman" w:cs="Times New Roman" w:eastAsia="Times New Roman" w:hAnsi="Times New Roman"/>
                <w:sz w:val="12"/>
                <w:szCs w:val="12"/>
                <w:color w:val="auto"/>
              </w:rPr>
              <w:t>10/30/2021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2"/>
                <w:szCs w:val="12"/>
                <w:color w:val="auto"/>
              </w:rPr>
              <w:t>​11,121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570,619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Shai Shalev-Shwartz,</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rPr>
              <w:t>(7)</w:t>
            </w: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​48,373</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​2,482,019</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Technology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3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(8) </w:t>
            </w: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10/30/2021</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​66,724</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​3,423,609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Dr. Gaby Hayon, Executive</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(9)</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1700" w:type="dxa"/>
            <w:vAlign w:val="bottom"/>
            <w:gridSpan w:val="2"/>
            <w:vMerge w:val="continue"/>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gridSpan w:val="2"/>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Vice President, Research</w:t>
            </w:r>
          </w:p>
        </w:tc>
        <w:tc>
          <w:tcPr>
            <w:tcW w:w="40" w:type="dxa"/>
            <w:vAlign w:val="bottom"/>
          </w:tcPr>
          <w:p>
            <w:pPr>
              <w:spacing w:after="0"/>
              <w:rPr>
                <w:sz w:val="16"/>
                <w:szCs w:val="16"/>
                <w:color w:val="auto"/>
              </w:rPr>
            </w:pPr>
          </w:p>
        </w:tc>
        <w:tc>
          <w:tcPr>
            <w:tcW w:w="86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10/30/2021 </w:t>
            </w:r>
            <w:r>
              <w:rPr>
                <w:rFonts w:ascii="Times New Roman" w:cs="Times New Roman" w:eastAsia="Times New Roman" w:hAnsi="Times New Roman"/>
                <w:sz w:val="21"/>
                <w:szCs w:val="21"/>
                <w:color w:val="auto"/>
                <w:vertAlign w:val="superscript"/>
              </w:rPr>
              <w:t>​​</w:t>
            </w:r>
          </w:p>
        </w:tc>
        <w:tc>
          <w:tcPr>
            <w:tcW w:w="100" w:type="dxa"/>
            <w:vAlign w:val="bottom"/>
          </w:tcPr>
          <w:p>
            <w:pPr>
              <w:ind w:left="40"/>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22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bscript"/>
              </w:rPr>
              <w:t>​</w:t>
            </w:r>
          </w:p>
        </w:tc>
        <w:tc>
          <w:tcPr>
            <w:tcW w:w="660" w:type="dxa"/>
            <w:vAlign w:val="bottom"/>
            <w:gridSpan w:val="5"/>
          </w:tcPr>
          <w:p>
            <w:pPr>
              <w:ind w:left="220"/>
              <w:spacing w:after="0" w:line="185"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1"/>
                <w:szCs w:val="21"/>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9"/>
          </w:tcPr>
          <w:p>
            <w:pPr>
              <w:ind w:left="14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​41,663</w:t>
            </w:r>
            <w:r>
              <w:rPr>
                <w:rFonts w:ascii="Times New Roman" w:cs="Times New Roman" w:eastAsia="Times New Roman" w:hAnsi="Times New Roman"/>
                <w:sz w:val="14"/>
                <w:szCs w:val="14"/>
                <w:color w:val="auto"/>
                <w:vertAlign w:val="superscript"/>
              </w:rPr>
              <w:t>(10)</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​2,137,729 </w:t>
            </w:r>
            <w:r>
              <w:rPr>
                <w:rFonts w:ascii="Times New Roman" w:cs="Times New Roman" w:eastAsia="Times New Roman" w:hAnsi="Times New Roman"/>
                <w:sz w:val="21"/>
                <w:szCs w:val="21"/>
                <w:color w:val="auto"/>
                <w:vertAlign w:val="superscript"/>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&amp; Development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75"/>
              </w:rPr>
              <w:t>(1)</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0"/>
                <w:szCs w:val="10"/>
                <w:color w:val="auto"/>
              </w:rPr>
            </w:pP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4/9/2019</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​67,500</w:t>
            </w: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​55.165</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gridSpan w:val="2"/>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​4/9/2029</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President, Products &amp;</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Strategy</w:t>
            </w: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4/9/2019</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tcPr>
          <w:p>
            <w:pPr>
              <w:ind w:left="100"/>
              <w:spacing w:after="0" w:line="72" w:lineRule="exact"/>
              <w:rPr>
                <w:sz w:val="20"/>
                <w:szCs w:val="20"/>
                <w:color w:val="auto"/>
              </w:rPr>
            </w:pPr>
            <w:r>
              <w:rPr>
                <w:rFonts w:ascii="Times New Roman" w:cs="Times New Roman" w:eastAsia="Times New Roman" w:hAnsi="Times New Roman"/>
                <w:sz w:val="8"/>
                <w:szCs w:val="8"/>
                <w:color w:val="auto"/>
              </w:rPr>
              <w:t>​22,500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​1,154,475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7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vMerge w:val="restart"/>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9"/>
                <w:szCs w:val="9"/>
                <w:color w:val="auto"/>
              </w:rPr>
            </w:pPr>
          </w:p>
        </w:tc>
        <w:tc>
          <w:tcPr>
            <w:tcW w:w="360" w:type="dxa"/>
            <w:vAlign w:val="bottom"/>
            <w:gridSpan w:val="4"/>
            <w:shd w:val="clear" w:color="auto" w:fill="CCEEFF"/>
          </w:tcPr>
          <w:p>
            <w:pPr>
              <w:jc w:val="right"/>
              <w:spacing w:after="0" w:line="108" w:lineRule="exact"/>
              <w:rPr>
                <w:sz w:val="20"/>
                <w:szCs w:val="20"/>
                <w:color w:val="auto"/>
              </w:rPr>
            </w:pPr>
            <w:r>
              <w:rPr>
                <w:rFonts w:ascii="Times New Roman" w:cs="Times New Roman" w:eastAsia="Times New Roman" w:hAnsi="Times New Roman"/>
                <w:sz w:val="8"/>
                <w:szCs w:val="8"/>
                <w:color w:val="auto"/>
              </w:rPr>
              <w:t>(11)</w:t>
            </w:r>
            <w:r>
              <w:rPr>
                <w:rFonts w:ascii="Times New Roman" w:cs="Times New Roman" w:eastAsia="Times New Roman" w:hAnsi="Times New Roman"/>
                <w:sz w:val="12"/>
                <w:szCs w:val="12"/>
                <w:color w:val="auto"/>
              </w:rPr>
              <w:t>​​​ ​</w:t>
            </w:r>
          </w:p>
        </w:tc>
        <w:tc>
          <w:tcPr>
            <w:tcW w:w="5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20" w:type="dxa"/>
            <w:vAlign w:val="bottom"/>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(12)</w:t>
            </w: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10/30/2021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​41,663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​2,137,729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-2039620</wp:posOffset>
            </wp:positionV>
            <wp:extent cx="6180455" cy="18942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180455" cy="1894205"/>
                    </a:xfrm>
                    <a:prstGeom prst="rect">
                      <a:avLst/>
                    </a:prstGeom>
                    <a:noFill/>
                  </pic:spPr>
                </pic:pic>
              </a:graphicData>
            </a:graphic>
          </wp:anchor>
        </w:drawing>
      </w:r>
    </w:p>
    <w:p>
      <w:pPr>
        <w:spacing w:after="0" w:line="110" w:lineRule="exact"/>
        <w:rPr>
          <w:sz w:val="20"/>
          <w:szCs w:val="20"/>
          <w:color w:val="auto"/>
        </w:rPr>
      </w:pPr>
    </w:p>
    <w:p>
      <w:pPr>
        <w:ind w:left="1620" w:right="800" w:hanging="360"/>
        <w:spacing w:after="0" w:line="253"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granted to Erez Dagan under the Intel Plan that are subject to both time- and performance-based vesting requirements. The options granted may vest (if at all) in three equal installments on the following dates: February 1, 2021, February 1, 2022, and February 1, 2023, subject to satisfying certain stock price performance hurdles prior to February 1, 2024. The performance-based vesting terms are based on achieving stock price performance hurdles prior to February 1, 2024. The stock price performance hurdle is a period of thirty (30) consecutive trading days in which the closing price of a share of the Intel common stock reported on Nasdaq is at least the greater of (1) 30% over the closing price of the Intel common stock on February 1, 2019, or (2) 15% over the closing price of Intel common stock on the grant date. If the stock price performance hurdles are not achieved prior to February 1, 2024, the option will expire and will be canceled.</w:t>
      </w:r>
    </w:p>
    <w:p>
      <w:pPr>
        <w:spacing w:after="0" w:line="45" w:lineRule="exact"/>
        <w:rPr>
          <w:rFonts w:ascii="Times New Roman" w:cs="Times New Roman" w:eastAsia="Times New Roman" w:hAnsi="Times New Roman"/>
          <w:sz w:val="18"/>
          <w:szCs w:val="18"/>
          <w:color w:val="auto"/>
        </w:rPr>
      </w:pPr>
    </w:p>
    <w:p>
      <w:pPr>
        <w:ind w:left="1620" w:right="980" w:hanging="360"/>
        <w:spacing w:after="0" w:line="282"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granted under the Intel Plan. Restricted stock units vest in annual installments over three years on each anniversary of the grant date, subject to continued employment.</w:t>
      </w:r>
    </w:p>
    <w:p>
      <w:pPr>
        <w:spacing w:after="0" w:line="26"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with reference to $51.31, the closing price of a share of Intel common stock on the last trading day before December 25, 2021.</w:t>
      </w:r>
    </w:p>
    <w:p>
      <w:pPr>
        <w:spacing w:after="0" w:line="13" w:lineRule="exact"/>
        <w:rPr>
          <w:rFonts w:ascii="Times New Roman" w:cs="Times New Roman" w:eastAsia="Times New Roman" w:hAnsi="Times New Roman"/>
          <w:sz w:val="18"/>
          <w:szCs w:val="18"/>
          <w:color w:val="auto"/>
        </w:rPr>
      </w:pPr>
    </w:p>
    <w:p>
      <w:pPr>
        <w:ind w:left="1620" w:right="840" w:hanging="360"/>
        <w:spacing w:after="0" w:line="25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restricted stock units granted to Erez Dagan under the Intel Plan on April 9, 2019. Half of the units time vested on February 1, 2022, and the remaining units will time-vest on February 1, 2024, subject to satisfying certain stock price performance hurdles prior to February 1, 2024. The number of restricted stock units that will ultimately vest are subject to satisfying certain stock price performance hurdles with a threshold of 50%, target of 100% and maximum of 200%. The stock price performance hurdle is based on achieving specified hurdles for any consecutive thirty (30)</w:t>
      </w:r>
    </w:p>
    <w:p>
      <w:pPr>
        <w:sectPr>
          <w:pgSz w:w="11900" w:h="16838" w:orient="portrait"/>
          <w:cols w:equalWidth="0" w:num="1">
            <w:col w:w="10260"/>
          </w:cols>
          <w:pgMar w:left="580" w:top="97" w:right="1059" w:bottom="1440" w:gutter="0" w:footer="0" w:header="0"/>
        </w:sectPr>
      </w:pPr>
    </w:p>
    <w:p>
      <w:pPr>
        <w:spacing w:after="0" w:line="36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trading days, ending on or prior to February 1, 2024. The stock price performance hurdles are as follows: (i) if the threshold of $63.349 per share of common stock is achieved then 50% of the units will vest and become payable, (ii) if the target of $73.095 is achieved, then 100% of the units will vest and become payable and (iii) if the maximum of $97.460 is achieved, then 200% of the units will vest and become payable.</w:t>
      </w:r>
    </w:p>
    <w:p>
      <w:pPr>
        <w:spacing w:after="0" w:line="48" w:lineRule="exact"/>
        <w:rPr>
          <w:sz w:val="20"/>
          <w:szCs w:val="20"/>
          <w:color w:val="auto"/>
        </w:rPr>
      </w:pPr>
    </w:p>
    <w:p>
      <w:pPr>
        <w:ind w:left="1620" w:right="839" w:hanging="360"/>
        <w:spacing w:after="0" w:line="266"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17,916 RSUs were granted with the following vesting schedule: October 30, 2021 — 9,853 RSUs; October 30, 2022 — 4,838 RSUs and October 30, 2023 — 3,225 RSUs.</w:t>
      </w:r>
    </w:p>
    <w:p>
      <w:pPr>
        <w:spacing w:after="0" w:line="40" w:lineRule="exact"/>
        <w:rPr>
          <w:rFonts w:ascii="Times New Roman" w:cs="Times New Roman" w:eastAsia="Times New Roman" w:hAnsi="Times New Roman"/>
          <w:sz w:val="18"/>
          <w:szCs w:val="18"/>
          <w:color w:val="auto"/>
        </w:rPr>
      </w:pPr>
    </w:p>
    <w:p>
      <w:pPr>
        <w:ind w:left="1620" w:right="779" w:hanging="360"/>
        <w:spacing w:after="0" w:line="266"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11,121 RSUs were granted with the following vesting schedule: October 30, 2022 — 4,782 RSUs; October 30, 2023 — 3,169 RSUs; and October 30, 2024 — 3,170 RSUs.</w:t>
      </w:r>
    </w:p>
    <w:p>
      <w:pPr>
        <w:spacing w:after="0" w:line="40"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107,495 RSUs were granted with the following vesting schedule: October 30, 2021 — 59,122 RSUs; October 30, 2022 — 29,023 RSUs; and October 30, 2023 — 19,350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66,724 RSUs were granted with the following vesting schedule: October 30, 2022 — 28,691 RSUs; October 30, 2023 — 19,016 RSUs; and October 30, 2024 — 19,017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68"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54"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00" w:type="dxa"/>
            <w:vAlign w:val="bottom"/>
            <w:gridSpan w:val="4"/>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on</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4"/>
                <w:szCs w:val="14"/>
                <w:color w:val="auto"/>
              </w:rPr>
            </w:pPr>
          </w:p>
        </w:tc>
      </w:tr>
      <w:tr>
        <w:trPr>
          <w:trHeight w:val="214"/>
        </w:trPr>
        <w:tc>
          <w:tcPr>
            <w:tcW w:w="4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22"/>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2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23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​​2,666,660​​ ​​78,430,176​​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485,753​</w:t>
            </w:r>
          </w:p>
        </w:tc>
      </w:tr>
      <w:tr>
        <w:trPr>
          <w:trHeight w:val="25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102,643</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​​5,107,999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7,244.00​​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216,967​​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r>
      <w:tr>
        <w:trPr>
          <w:trHeight w:val="23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6,974.00​​ ​</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242,278​​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40" w:type="dxa"/>
            <w:vAlign w:val="bottom"/>
            <w:tcBorders>
              <w:bottom w:val="single" w:sz="8" w:color="auto"/>
            </w:tcBorders>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-1259205</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-1259205</wp:posOffset>
            </wp:positionV>
            <wp:extent cx="1282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-1259205</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-1259205</wp:posOffset>
            </wp:positionV>
            <wp:extent cx="1200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left="1620" w:right="539" w:hanging="360"/>
        <w:spacing w:after="0" w:line="266"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40"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is the Intel market value (average of high and low price of a share of Intel common stock on the Nasdaq) on the date of release multiplied by the number of shares that vested.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ind w:left="1260" w:right="960" w:firstLine="360"/>
        <w:spacing w:after="0" w:line="266"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our CEO if his employment had terminated on December 25, 2021, as a result of each of the termination scenarios set forth in the table.</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4"/>
                <w:szCs w:val="14"/>
                <w:b w:val="1"/>
                <w:bCs w:val="1"/>
                <w:color w:val="auto"/>
                <w:w w:val="94"/>
              </w:rPr>
              <w:t>Severance</w:t>
            </w:r>
            <w:r>
              <w:rPr>
                <w:rFonts w:ascii="Times New Roman" w:cs="Times New Roman" w:eastAsia="Times New Roman" w:hAnsi="Times New Roman"/>
                <w:sz w:val="17"/>
                <w:szCs w:val="17"/>
                <w:b w:val="1"/>
                <w:bCs w:val="1"/>
                <w:color w:val="auto"/>
                <w:w w:val="94"/>
                <w:vertAlign w:val="superscript"/>
              </w:rPr>
              <w:t>(1)</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 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55,395</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Deemed Dismissal</w:t>
            </w:r>
          </w:p>
        </w:tc>
        <w:tc>
          <w:tcPr>
            <w:tcW w:w="8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​158,705</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​214,100</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Termination as a result of</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​332,369</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​158,705</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continue"/>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​491,074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-591820</wp:posOffset>
            </wp:positionV>
            <wp:extent cx="1543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-591820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-591820</wp:posOffset>
            </wp:positionV>
            <wp:extent cx="514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-591820</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-591820</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-591820</wp:posOffset>
            </wp:positionV>
            <wp:extent cx="514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ind w:left="1620" w:right="880" w:hanging="360"/>
        <w:spacing w:after="0" w:line="261"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this column reflect the supplement payment the Company will be required to pay in case the termination is initiated by the Company. Such supplement amounts, together with the amounts accumulated in the severance funds, reflect the entire severance amount Prof. Shashua would have been entitled to in case of termination on the relevant date.</w:t>
      </w:r>
    </w:p>
    <w:p>
      <w:pPr>
        <w:spacing w:after="0" w:line="31" w:lineRule="exact"/>
        <w:rPr>
          <w:rFonts w:ascii="Times New Roman" w:cs="Times New Roman" w:eastAsia="Times New Roman" w:hAnsi="Times New Roman"/>
          <w:sz w:val="18"/>
          <w:szCs w:val="18"/>
          <w:color w:val="auto"/>
        </w:rPr>
      </w:pPr>
    </w:p>
    <w:p>
      <w:pPr>
        <w:ind w:left="1620" w:right="900" w:hanging="360"/>
        <w:spacing w:after="0" w:line="254"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payable under these termination circumstances for a twelve-month period.</w:t>
      </w:r>
    </w:p>
    <w:p>
      <w:pPr>
        <w:spacing w:after="0" w:line="53" w:lineRule="exact"/>
        <w:rPr>
          <w:rFonts w:ascii="Times New Roman" w:cs="Times New Roman" w:eastAsia="Times New Roman" w:hAnsi="Times New Roman"/>
          <w:sz w:val="18"/>
          <w:szCs w:val="18"/>
          <w:color w:val="auto"/>
        </w:rPr>
      </w:pPr>
    </w:p>
    <w:p>
      <w:pPr>
        <w:ind w:left="1620" w:right="820" w:hanging="360"/>
        <w:spacing w:after="0" w:line="254"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but payable under these termination circumstances for only the two-month period.</w:t>
      </w:r>
    </w:p>
    <w:p>
      <w:pPr>
        <w:spacing w:after="0" w:line="111" w:lineRule="exact"/>
        <w:rPr>
          <w:sz w:val="20"/>
          <w:szCs w:val="20"/>
          <w:color w:val="auto"/>
        </w:rPr>
      </w:pPr>
    </w:p>
    <w:p>
      <w:pPr>
        <w:ind w:left="1260" w:right="820" w:firstLine="360"/>
        <w:spacing w:after="0" w:line="254" w:lineRule="auto"/>
        <w:rPr>
          <w:sz w:val="20"/>
          <w:szCs w:val="20"/>
          <w:color w:val="auto"/>
        </w:rPr>
      </w:pPr>
      <w:r>
        <w:rPr>
          <w:rFonts w:ascii="Times New Roman" w:cs="Times New Roman" w:eastAsia="Times New Roman" w:hAnsi="Times New Roman"/>
          <w:sz w:val="18"/>
          <w:szCs w:val="18"/>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and Messrs. Shalev-Shwartz, Hayon or Dagan had terminated on December 25, 2021, under circumstances that entitle them to severance under the Severance Pay Law, they would have received a payout for severance in the amount of $71,431, $470,549, $186,712 and $104,987, respectively, which amounts do not include those amounts that would be transferred to such NEO from the NEO’s severance and other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we expect to implement a director compensation program, which will be designed to attract and retain the most qualified individuals to serve on our board of directors. We expect our board of directors, through our compensation committee, to be responsible for reviewing and approving any changes to directors’ compensation arrangements. We expect that our outside directors will be compensated with RSUs in the Company on an annual basis, or a combination of cash and RSUs in the Company on an annual basis, in either case, consistent with market practice. Our directors will also be reimbursed for their reasonable out of pocket expenses incurred in connection with their roles as directors. In addition, we do not expect that directors will be entitled to receive compensation for services rendered to us in any other capacity. Directors who are employees of Mobileye and who receive a salary from us as our employees or receive a salary from one of our subsidiaries as their employees, will not be entitled to receive any additional compensation for their services in acting as directors, but would be entitled to reimbursement of their reasonable out of pocket expenses incurred in acting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above in the section entitled “Executive and Director Compensation,” this section describes transactions, or series of related transactions, during our last three fiscal years or as currently proposed, to which we were a party or will be a party, in which:</w:t>
      </w:r>
    </w:p>
    <w:p>
      <w:pPr>
        <w:spacing w:after="0" w:line="69" w:lineRule="exact"/>
        <w:rPr>
          <w:sz w:val="20"/>
          <w:szCs w:val="20"/>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Related Party Transactions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Prior to this offering, we have operated as part of Intel’s broader corporate organization rather than as a stand -alone public company. Intel has performed or supported various corporate services for us, and we have engaged in various transactions with Intel. The previous arrangements we had with Intel and/or other related persons are described below.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Conversion Arrangements for Purposes of Funding Acquisitions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w:t>
      </w:r>
    </w:p>
    <w:p>
      <w:pPr>
        <w:spacing w:after="0" w:line="16"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2020. Interest expense recognized by us totaled $0 million, $1 million, and $257 million for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 rate.</w:t>
      </w:r>
    </w:p>
    <w:p>
      <w:pPr>
        <w:spacing w:after="0" w:line="109"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1”) to make available to either party up to an aggregate principal amount of $1.5 billion. Arrangement 1 has a mechanism of automatic renewal for additional periods of one year each. In 2021, Arrangement 1 was amended to increase the capacity from $1.5 billion to $1.8 billion, and the maturity date was extended to December 2022.</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 each.</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2021, we and Intel entered into a bilateral lending/borrowing arrangement (“Arrangement 3”) to make cash available to either party up to an aggregate principal amount of $ 100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Intel elects to increase the applicable margin, the spread adjustment would be reflective of the difference between three-month LIBOR and the term Secured Overnight Financing Rate (“SOFR”). In March 2022, Arrangement 2 and Arrangement 3 were amended to increase the aggregate principal amount available to draw from $750 million</w:t>
      </w: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82" w:lineRule="auto"/>
        <w:rPr>
          <w:sz w:val="20"/>
          <w:szCs w:val="20"/>
          <w:color w:val="auto"/>
        </w:rPr>
      </w:pPr>
      <w:r>
        <w:rPr>
          <w:rFonts w:ascii="Times New Roman" w:cs="Times New Roman" w:eastAsia="Times New Roman" w:hAnsi="Times New Roman"/>
          <w:sz w:val="18"/>
          <w:szCs w:val="18"/>
          <w:color w:val="auto"/>
        </w:rPr>
        <w:t>to $1 billion and from $100 million to $500 million, respectively. In addition, due to reference rate reform, Arrangement 1 and Arrangement 2 were amended to change the interest rate from LIBOR to SOFR based.</w:t>
      </w:r>
    </w:p>
    <w:p>
      <w:pPr>
        <w:spacing w:after="0" w:line="9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of the aforementioned loan arrangements is approximately $901 million and $1.3 billion as of July 2, 2022 and December 25, 2021, respectively. Interest income recognized by us totaled $4 million and $2 million for the six months ended July 2, 2022 and June 26, 2021, respectively. We expect that the balances of these loans will be paid off and these arrangements will be terminated prior to the completion of this offering.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Note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on April 21, 2022, we distributed to Intel the Dividend Note, a promissory note agreeing to pay Intel an aggregate principal amount of $3.5 billion.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we have the right, at our option, on any business day, to prepay the loan, including principal and any accrued interest thereon, in whole or in part without premium or penalty. We intend to use a portion of the net proceeds that we receive from this offering to repay indebtedness under the Dividend Note. See “Use of Proceeds.”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4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Reorganization, on May 12, 2022, we declared and paid the Dividend in an aggregate amount of $336 million to Intel, net of $14 million of cash paid to tax authorities to settle related tax obligations.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62" w:lineRule="exact"/>
        <w:rPr>
          <w:sz w:val="20"/>
          <w:szCs w:val="20"/>
          <w:color w:val="auto"/>
        </w:rPr>
      </w:pPr>
    </w:p>
    <w:p>
      <w:pPr>
        <w:jc w:val="both"/>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spacing w:after="0" w:line="1" w:lineRule="exact"/>
        <w:rPr>
          <w:sz w:val="20"/>
          <w:szCs w:val="20"/>
          <w:color w:val="auto"/>
        </w:rPr>
      </w:pPr>
    </w:p>
    <w:p>
      <w:pPr>
        <w:ind w:left="1260" w:right="759"/>
        <w:spacing w:after="0" w:line="260" w:lineRule="auto"/>
        <w:rPr>
          <w:sz w:val="20"/>
          <w:szCs w:val="20"/>
          <w:color w:val="auto"/>
        </w:rPr>
      </w:pPr>
      <w:r>
        <w:rPr>
          <w:rFonts w:ascii="Times New Roman" w:cs="Times New Roman" w:eastAsia="Times New Roman" w:hAnsi="Times New Roman"/>
          <w:sz w:val="18"/>
          <w:szCs w:val="18"/>
          <w:color w:val="auto"/>
        </w:rPr>
        <w:t>$78 million and $75 million for 2021, 2020 and 2019, respectively. The reimbursement amount was $48 million for the six months ended July 2, 2022.</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Hedging Services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Development Services and Lease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Travel Related Expenses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our company. For 2021, 2020 and 2019, travel related reimbursements were $1.1 million, $0.5 million and $1.2 million, respectively. For the six months ended each of July 2, 2022 and June 26, 2021, travel-related reimbursements totaled $0.3 million.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to be Entered into in Connection with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Transfers of Assets</w:t>
      </w:r>
    </w:p>
    <w:p>
      <w:pPr>
        <w:spacing w:after="0" w:line="16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Reorganization, we acquired from Intel in a series of transfers in 2022 certain assets related to our business for an aggregate amount of approximately $                     and recruited from Intel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approximately $900 million that is payable in cash to Intel.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Facilities Arrangements</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Prior to the completion of this offering, we plan to enter into lease arrangements with Intel for certain facilities in Israel, including in Jerusalem (which includes a data center and workshop), Petah Tikva, and Haifa, for aggregate monthly rent of $            and into use and access arrangements with Intel for certain facilities in the United States, Germany, and China for an aggregate monthly payment of $            .</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the following Intercompany Agreements with Intel that will provide a framework for our ongoing relationship with Intel.</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Master Transaction Agreement</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Master Transaction Agreement, which will become effective as of the completion of this offering,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This Offering. </w:t>
      </w:r>
      <w:r>
        <w:rPr>
          <w:rFonts w:ascii="Times New Roman" w:cs="Times New Roman" w:eastAsia="Times New Roman" w:hAnsi="Times New Roman"/>
          <w:sz w:val="18"/>
          <w:szCs w:val="18"/>
          <w:color w:val="auto"/>
        </w:rPr>
        <w:t>We will use our reasonable commercial efforts to satisfy certain conditions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this offering, which conditions include, among others, that (i) this registration statement shall have been declared effective by the SEC, and there shall be no stop order in effect with respect thereto, (ii) actions and filings with regard to applicable securities and blue sky laws of any state (and any comparable laws under any foreign jurisdictions) shall have been taken and, where applicable, have become effective or been accepted, (iii) our Class A common stock to be issued in this offering shall have been accepted for listing on the Nasdaq, subject only to official notice of issuance, (iv) we shall have entered into the underwriting agreement for this offering and all conditions to the obligations of Mobileye and the underwriters shall have been satisfied or waived by the party that is entitled to the benefit thereof, (v) Intel shall be satisfied, in its sole discretion, that it will have an ownership percentage of at least 80.1% immediately following the consummation of this offering, and we will have no class of our capital stock other than the Class A and Class B common stock outstanding, immediately following this offering, and (vi) no order, injunction or decree issued by any court or agency of competent jurisdiction or other legal restraint or prohibition preventing the consummation of this offering or any of the other transactions contemplated by the Master Transaction Agreement or any Intercompany Agreement shall be in effect. Intel may, in its sole and absolute discretion, choose to proceed with or abandon this offering. All costs and expenses of Mobileye and Intel relating to this offering will be paid by us.</w:t>
      </w:r>
    </w:p>
    <w:p>
      <w:pPr>
        <w:spacing w:after="0" w:line="333"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Registration Rights. </w:t>
      </w:r>
      <w:r>
        <w:rPr>
          <w:rFonts w:ascii="Times New Roman" w:cs="Times New Roman" w:eastAsia="Times New Roman" w:hAnsi="Times New Roman"/>
          <w:sz w:val="18"/>
          <w:szCs w:val="18"/>
          <w:color w:val="auto"/>
        </w:rPr>
        <w:t>We will provide Intel, after the date that is 180 days after the closing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or such earlier date as provided in the Master Transaction Agreement, with certain registration rights to register our common stock, because the shares of our common stock held by Intel after this offering will be deemed “restricted securities” as defined in Rule 144 under the Securities Act. Accordingly, Intel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this offering, or subsequently acquired, for public sale under the Securities Act on a registration statement on Form S-1 or any similar long form registration statement (a“Long-Form Registration”) or on a registration statement on Form S-3 or any similar short form registration statement at such time Mobileye qualifies to use such short from 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 -3.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 -affiliated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33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Future Distributions. </w:t>
      </w:r>
      <w:r>
        <w:rPr>
          <w:rFonts w:ascii="Times New Roman" w:cs="Times New Roman" w:eastAsia="Times New Roman" w:hAnsi="Times New Roman"/>
          <w:sz w:val="18"/>
          <w:szCs w:val="18"/>
          <w:color w:val="auto"/>
        </w:rPr>
        <w:t>We will cooperate with Intel to accomplish a distribution by Intel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20" w:lineRule="exact"/>
        <w:rPr>
          <w:sz w:val="20"/>
          <w:szCs w:val="20"/>
          <w:color w:val="auto"/>
        </w:rPr>
      </w:pPr>
    </w:p>
    <w:p>
      <w:pPr>
        <w:ind w:left="1260" w:right="459" w:firstLine="360"/>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Most Favored Status. </w:t>
      </w:r>
      <w:r>
        <w:rPr>
          <w:rFonts w:ascii="Times New Roman" w:cs="Times New Roman" w:eastAsia="Times New Roman" w:hAnsi="Times New Roman"/>
          <w:sz w:val="18"/>
          <w:szCs w:val="18"/>
          <w:color w:val="auto"/>
        </w:rPr>
        <w:t>So long as Intel beneficially owns at least 20% of our common stock,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2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Anti -Dilution Option. </w:t>
      </w:r>
      <w:r>
        <w:rPr>
          <w:rFonts w:ascii="Times New Roman" w:cs="Times New Roman" w:eastAsia="Times New Roman" w:hAnsi="Times New Roman"/>
          <w:sz w:val="18"/>
          <w:szCs w:val="18"/>
          <w:color w:val="auto"/>
        </w:rPr>
        <w:t>We will grant Intel a continuing right to purchase from us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Class B common stock as is necessary for Intel to maintain an aggregate ownership interest of our common stock representing at least 80.1% of our common stock outstanding following the completion of this offering. This option may be exercised by Intel in connection with any issuance by us of common stock other than pursuant to this offering (including the exercise of the underwriters’ option to purchase additional shares in this offering)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 to a stock option or executive compensation plan that causes Intel’s percentage ownership of common stock to fall below 80.1%, upon exercise of the option,</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Intel will pay a price per share of Class A common stock equal to the closing price of our common stock as quoted on the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We and Intel will have cross-indemnities that generally place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this prospectus or the registration statement of which it is a part, except for misstatements or omissions of material fact relating to information that Intel provided to us specifically for inclusion in this prospectus or the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this offering,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this prospectus or the registration statement of which it forms a part, to the extent that such information pertains to Intel or Intel’s business. Intel will also indemnify us against liabilities arising from information Intel provides to us specifically for inclusion in our annual or quarterly reports following the completion of this offering,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2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Release. </w:t>
      </w:r>
      <w:r>
        <w:rPr>
          <w:rFonts w:ascii="Times New Roman" w:cs="Times New Roman" w:eastAsia="Times New Roman" w:hAnsi="Times New Roman"/>
          <w:sz w:val="18"/>
          <w:szCs w:val="18"/>
          <w:color w:val="auto"/>
        </w:rPr>
        <w:t>For liabilities arising from events occurring on or before the time of this offering, the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contains a general release. Under this provision, we will release Intel and its subsidiaries, successors and assigns, and Intel will release us and our subsidiaries, successors and assigns, from any liabilities arising from past events between us on the one hand, and Intel on the other hand, occurring on or before the time of this offering, including in connection with the activities to implement this offering. The general release does not apply to liabilities allocated between the parties under the Master Transaction Agreement or other Intercompany Agreements or to specified ongoing contractual arrangements.</w:t>
      </w:r>
    </w:p>
    <w:p>
      <w:pPr>
        <w:spacing w:after="0" w:line="33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Accounting Matters. </w:t>
      </w:r>
      <w:r>
        <w:rPr>
          <w:rFonts w:ascii="Times New Roman" w:cs="Times New Roman" w:eastAsia="Times New Roman" w:hAnsi="Times New Roman"/>
          <w:sz w:val="18"/>
          <w:szCs w:val="18"/>
          <w:color w:val="auto"/>
        </w:rPr>
        <w:t>For so long as Intel provides us with accounting and financial services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Services Agreement,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04"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Policies. </w:t>
      </w:r>
      <w:r>
        <w:rPr>
          <w:rFonts w:ascii="Times New Roman" w:cs="Times New Roman" w:eastAsia="Times New Roman" w:hAnsi="Times New Roman"/>
          <w:sz w:val="18"/>
          <w:szCs w:val="18"/>
          <w:color w:val="auto"/>
        </w:rPr>
        <w:t>Until the later of Intel ceasing to be a “controlling person” of us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Non-Solicitation: </w:t>
      </w:r>
      <w:r>
        <w:rPr>
          <w:rFonts w:ascii="Times New Roman" w:cs="Times New Roman" w:eastAsia="Times New Roman" w:hAnsi="Times New Roman"/>
          <w:sz w:val="18"/>
          <w:szCs w:val="18"/>
          <w:color w:val="auto"/>
        </w:rPr>
        <w:t>For a period of two years following the closing of this offering, we and Intel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pacing w:after="0" w:line="10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Remaining Intel Awards: </w:t>
      </w:r>
      <w:r>
        <w:rPr>
          <w:rFonts w:ascii="Times New Roman" w:cs="Times New Roman" w:eastAsia="Times New Roman" w:hAnsi="Times New Roman"/>
          <w:sz w:val="18"/>
          <w:szCs w:val="18"/>
          <w:color w:val="auto"/>
        </w:rPr>
        <w:t>All outstanding options to purchase shares of Intel and all other Intel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held by Mobileye Group employees at the time of the initial public offering will continue to be outstanding until the earlier of (i) the date the award is exchanged pursuant to any issuer exchange offer undertaken by us and Intel, (ii) the date the award is exercised or expires under the terms of the applicable award agreement or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14"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Minimum Cash Requirement: </w:t>
      </w:r>
      <w:r>
        <w:rPr>
          <w:rFonts w:ascii="Times New Roman" w:cs="Times New Roman" w:eastAsia="Times New Roman" w:hAnsi="Times New Roman"/>
          <w:sz w:val="18"/>
          <w:szCs w:val="18"/>
          <w:color w:val="auto"/>
        </w:rPr>
        <w:t>Immediately after completion of this offering and on a pro forma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322"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Notifiable Transactions: </w:t>
      </w:r>
      <w:r>
        <w:rPr>
          <w:rFonts w:ascii="Times New Roman" w:cs="Times New Roman" w:eastAsia="Times New Roman" w:hAnsi="Times New Roman"/>
          <w:sz w:val="18"/>
          <w:szCs w:val="18"/>
          <w:color w:val="auto"/>
        </w:rPr>
        <w:t>Intel will use commercially reasonable efforts to provide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Under the Administrative Services Agreement, which will become effective as of the completion of this offering, Intel will provide us with services, including administrative, financial, legal, tax, and other services. Intel will provide such services to us with substantially the same degree of skill and care as such services have been provided to us during the twelve months prior to the date of this offering. We will pay fees to Intel for the services rendered based on pricing per service agreed between us and Intel.</w:t>
      </w:r>
    </w:p>
    <w:p>
      <w:pPr>
        <w:spacing w:after="0" w:line="11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initial term of the Administrative Services Agreement will expire two years from the effective date of the agreement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32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Employee Matters Agreement</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Employee Matters Agreement, which will become effective as of the completion of this offering, will allocate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146"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Technology and Services Agreement with Intel, pursuant to which we and Intel will collaborate to develop certain technologies, including relating to radar and lidar components for our solutions.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Lidar Commercial Terms Agreement</w:t>
      </w:r>
    </w:p>
    <w:p>
      <w:pPr>
        <w:spacing w:after="0" w:line="16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Lidar Commercial Terms Agreement with Intel, pursuant to which Intel will supply certain products relating to lidar technology to us.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146"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have been previously included in the Consolidated Group and in certain other Combined Groups. Pursuant to the Tax Sharing Agreement, which will become effective as of the completion of this offering,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pro forma tax returns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1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pacing w:after="0" w:line="10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been included in the Consolidated Group for the most recent annual period. It is expected that we will be included in the Consolidated Group following this offering.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1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As of the date of this prospectus, Intel does not intend or plan to undertake a spin-off of our stock to Intel stockholders. Nevertheless, we and Intel have agreed to set forth our respective rights, responsibilities and obligations with respect to any possible spin-off in the Tax Sharing Agreement. If Intel were to decide to pursue a possible spin-off,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(i) any taxes resulting from the failure of a spin-off to qualify as a tax-free transaction to the extent such taxes are attributable to, or result from, any action or failure to act by us or certain transactions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involving us following a spin-off and (ii) a percentage of such taxes to the extent such taxes are not attributable to, or do not result from, any action or failure to act by either us or Intel.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written statement of policy regarding transactions with related persons (the “Related Person Policy”).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will provide that we will indemnify our directors and officers to the fullest extent permitted by the DGCL. In addition, our amended and restated certificate of incorporation will provide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immediately prior to and following the completion of this offering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4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number of shares of common stock outstanding before this offering and the corresponding percentage of beneficial ownership are based on          shares of our Class A common stock and          shares of our Class B common stock outstanding as of          , 2022. The number of shares of common stock outstanding after this offering and the corresponding percentage of beneficial ownership are based on the number of shares of common stock issued and outstanding as of          , 2022 after giving effect to the offering, assuming no exercise of the underwriters’ option to purchase additional shares.</w:t>
      </w:r>
    </w:p>
    <w:p>
      <w:pPr>
        <w:spacing w:after="0" w:line="11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w:t>
      </w:r>
    </w:p>
    <w:p>
      <w:pPr>
        <w:spacing w:after="0" w:line="5" w:lineRule="exact"/>
        <w:rPr>
          <w:sz w:val="20"/>
          <w:szCs w:val="20"/>
          <w:color w:val="auto"/>
        </w:rPr>
      </w:pPr>
    </w:p>
    <w:p>
      <w:pPr>
        <w:ind w:left="1260" w:right="519"/>
        <w:spacing w:after="0" w:line="241" w:lineRule="auto"/>
        <w:tabs>
          <w:tab w:leader="none" w:pos="13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Name of Beneficial Owner</w:t>
      </w:r>
    </w:p>
    <w:p>
      <w:pPr>
        <w:spacing w:after="0" w:line="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Intel Corporation</w:t>
      </w:r>
      <w:r>
        <w:rPr>
          <w:rFonts w:ascii="Times New Roman" w:cs="Times New Roman" w:eastAsia="Times New Roman" w:hAnsi="Times New Roman"/>
          <w:sz w:val="17"/>
          <w:szCs w:val="17"/>
          <w:color w:val="auto"/>
          <w:vertAlign w:val="superscript"/>
        </w:rPr>
        <w:t>(1)</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w:t>
      </w:r>
    </w:p>
    <w:p>
      <w:pPr>
        <w:ind w:left="1400"/>
        <w:spacing w:after="0" w:line="192" w:lineRule="auto"/>
        <w:rPr>
          <w:sz w:val="20"/>
          <w:szCs w:val="20"/>
          <w:color w:val="auto"/>
        </w:rPr>
      </w:pPr>
      <w:r>
        <w:rPr>
          <w:rFonts w:ascii="Times New Roman" w:cs="Times New Roman" w:eastAsia="Times New Roman" w:hAnsi="Times New Roman"/>
          <w:sz w:val="14"/>
          <w:szCs w:val="14"/>
          <w:b w:val="1"/>
          <w:bCs w:val="1"/>
          <w:i w:val="1"/>
          <w:iCs w:val="1"/>
          <w:color w:val="auto"/>
        </w:rPr>
        <w:t>Directors and Director</w:t>
      </w: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Nominees</w:t>
      </w:r>
      <w:r>
        <w:rPr>
          <w:rFonts w:ascii="Times New Roman" w:cs="Times New Roman" w:eastAsia="Times New Roman" w:hAnsi="Times New Roman"/>
          <w:sz w:val="17"/>
          <w:szCs w:val="17"/>
          <w:b w:val="1"/>
          <w:bCs w:val="1"/>
          <w:i w:val="1"/>
          <w:iCs w:val="1"/>
          <w:color w:val="auto"/>
          <w:vertAlign w:val="superscript"/>
        </w:rPr>
        <w:t>(2)</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Amnon Shashua</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Patrick P. Gelsinger</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Anat Heller</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Erez Dagan</w:t>
      </w:r>
      <w:r>
        <w:rPr>
          <w:rFonts w:ascii="Times New Roman" w:cs="Times New Roman" w:eastAsia="Times New Roman" w:hAnsi="Times New Roman"/>
          <w:sz w:val="17"/>
          <w:szCs w:val="17"/>
          <w:color w:val="auto"/>
          <w:vertAlign w:val="superscript"/>
        </w:rPr>
        <w:t>(3)</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Gavriel Hayon</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Shai Shalev-Shwartz</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Eyal Desheh</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Jon M. Huntsman Jr.</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Claire McCaskill</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Chrsitine Pambianchi</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Frank D. Yeary</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Saf Yeboah-Amankwah</w:t>
      </w:r>
    </w:p>
    <w:p>
      <w:pPr>
        <w:spacing w:after="0" w:line="69" w:lineRule="exact"/>
        <w:rPr>
          <w:sz w:val="20"/>
          <w:szCs w:val="20"/>
          <w:color w:val="auto"/>
        </w:rPr>
      </w:pPr>
    </w:p>
    <w:p>
      <w:pPr>
        <w:ind w:left="1400" w:hanging="143"/>
        <w:spacing w:after="0" w:line="223" w:lineRule="auto"/>
        <w:rPr>
          <w:sz w:val="20"/>
          <w:szCs w:val="20"/>
          <w:color w:val="auto"/>
        </w:rPr>
      </w:pPr>
      <w:r>
        <w:rPr>
          <w:rFonts w:ascii="Times New Roman" w:cs="Times New Roman" w:eastAsia="Times New Roman" w:hAnsi="Times New Roman"/>
          <w:sz w:val="14"/>
          <w:szCs w:val="14"/>
          <w:color w:val="auto"/>
        </w:rPr>
        <w:t>All executive officers, directors, and director nominees</w:t>
      </w:r>
    </w:p>
    <w:p>
      <w:pPr>
        <w:ind w:left="1400"/>
        <w:spacing w:after="0"/>
        <w:rPr>
          <w:sz w:val="20"/>
          <w:szCs w:val="20"/>
          <w:color w:val="auto"/>
        </w:rPr>
      </w:pPr>
      <w:r>
        <w:rPr>
          <w:rFonts w:ascii="Times New Roman" w:cs="Times New Roman" w:eastAsia="Times New Roman" w:hAnsi="Times New Roman"/>
          <w:sz w:val="14"/>
          <w:szCs w:val="14"/>
          <w:color w:val="auto"/>
        </w:rPr>
        <w:t>as a group (12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159385</wp:posOffset>
            </wp:positionV>
            <wp:extent cx="123444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13"/>
          </w:tcPr>
          <w:p>
            <w:pPr>
              <w:ind w:left="60"/>
              <w:spacing w:after="0"/>
              <w:rPr>
                <w:sz w:val="20"/>
                <w:szCs w:val="20"/>
                <w:color w:val="auto"/>
              </w:rPr>
            </w:pPr>
            <w:r>
              <w:rPr>
                <w:rFonts w:ascii="Times New Roman" w:cs="Times New Roman" w:eastAsia="Times New Roman" w:hAnsi="Times New Roman"/>
                <w:sz w:val="13"/>
                <w:szCs w:val="13"/>
                <w:b w:val="1"/>
                <w:bCs w:val="1"/>
                <w:color w:val="auto"/>
              </w:rPr>
              <w:t>Shares of Common Stock Beneficially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12"/>
          </w:tcPr>
          <w:p>
            <w:pPr>
              <w:ind w:left="80"/>
              <w:spacing w:after="0"/>
              <w:rPr>
                <w:sz w:val="20"/>
                <w:szCs w:val="20"/>
                <w:color w:val="auto"/>
              </w:rPr>
            </w:pPr>
            <w:r>
              <w:rPr>
                <w:rFonts w:ascii="Times New Roman" w:cs="Times New Roman" w:eastAsia="Times New Roman" w:hAnsi="Times New Roman"/>
                <w:sz w:val="13"/>
                <w:szCs w:val="13"/>
                <w:b w:val="1"/>
                <w:bCs w:val="1"/>
                <w:color w:val="auto"/>
              </w:rPr>
              <w:t>Shares of Common Stock Beneficially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Owned Before this Offering</w:t>
            </w:r>
          </w:p>
        </w:tc>
        <w:tc>
          <w:tcPr>
            <w:tcW w:w="640" w:type="dxa"/>
            <w:vAlign w:val="bottom"/>
          </w:tcPr>
          <w:p>
            <w:pPr>
              <w:spacing w:after="0"/>
              <w:rPr>
                <w:sz w:val="14"/>
                <w:szCs w:val="14"/>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9"/>
          </w:tcPr>
          <w:p>
            <w:pPr>
              <w:ind w:left="100"/>
              <w:spacing w:after="0"/>
              <w:rPr>
                <w:sz w:val="20"/>
                <w:szCs w:val="20"/>
                <w:color w:val="auto"/>
              </w:rPr>
            </w:pPr>
            <w:r>
              <w:rPr>
                <w:rFonts w:ascii="Times New Roman" w:cs="Times New Roman" w:eastAsia="Times New Roman" w:hAnsi="Times New Roman"/>
                <w:sz w:val="13"/>
                <w:szCs w:val="13"/>
                <w:b w:val="1"/>
                <w:bCs w:val="1"/>
                <w:color w:val="auto"/>
                <w:w w:val="91"/>
              </w:rPr>
              <w:t>Owned After this Offering</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50"/>
        </w:trPr>
        <w:tc>
          <w:tcPr>
            <w:tcW w:w="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2"/>
                <w:szCs w:val="12"/>
                <w:color w:val="auto"/>
              </w:rPr>
            </w:pPr>
          </w:p>
        </w:tc>
        <w:tc>
          <w:tcPr>
            <w:tcW w:w="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3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Voting</w:t>
            </w: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Voting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Power</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Power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40" w:type="dxa"/>
            <w:vAlign w:val="bottom"/>
            <w:gridSpan w:val="18"/>
          </w:tcPr>
          <w:p>
            <w:pP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Pre-Offering</w:t>
            </w:r>
          </w:p>
        </w:tc>
        <w:tc>
          <w:tcPr>
            <w:tcW w:w="3160" w:type="dxa"/>
            <w:vAlign w:val="bottom"/>
            <w:gridSpan w:val="18"/>
          </w:tcPr>
          <w:p>
            <w:pPr>
              <w:jc w:val="right"/>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Post-Offering</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243"/>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27"/>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229"/>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13"/>
        </w:trPr>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-2418715</wp:posOffset>
            </wp:positionV>
            <wp:extent cx="5212080" cy="3346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33464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-1938655</wp:posOffset>
            </wp:positionV>
            <wp:extent cx="5212080" cy="1454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-1647190</wp:posOffset>
            </wp:positionV>
            <wp:extent cx="5212080"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-1347470</wp:posOffset>
            </wp:positionV>
            <wp:extent cx="5212080"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-1056005</wp:posOffset>
            </wp:positionV>
            <wp:extent cx="5212080" cy="1460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-764540</wp:posOffset>
            </wp:positionV>
            <wp:extent cx="5212080" cy="1454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-473075</wp:posOffset>
            </wp:positionV>
            <wp:extent cx="5212080" cy="146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-2727325</wp:posOffset>
            </wp:positionV>
            <wp:extent cx="5212080" cy="154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80"/>
            <w:col w:w="6579"/>
          </w:cols>
          <w:pgMar w:left="580" w:top="97" w:right="1440" w:bottom="1440" w:gutter="0" w:footer="0" w:header="0"/>
          <w:type w:val="continuous"/>
        </w:sectPr>
      </w:pPr>
    </w:p>
    <w:p>
      <w:pPr>
        <w:spacing w:after="0" w:line="2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shares of our Class B common stock held directly by Intel Overseas Funding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61" w:lineRule="auto"/>
        <w:rPr>
          <w:sz w:val="20"/>
          <w:szCs w:val="20"/>
          <w:color w:val="auto"/>
        </w:rPr>
      </w:pPr>
      <w:r>
        <w:rPr>
          <w:rFonts w:ascii="Times New Roman" w:cs="Times New Roman" w:eastAsia="Times New Roman" w:hAnsi="Times New Roman"/>
          <w:sz w:val="18"/>
          <w:szCs w:val="18"/>
          <w:color w:val="auto"/>
        </w:rPr>
        <w:t>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112" w:lineRule="exact"/>
        <w:rPr>
          <w:sz w:val="20"/>
          <w:szCs w:val="20"/>
          <w:color w:val="auto"/>
        </w:rPr>
      </w:pPr>
    </w:p>
    <w:p>
      <w:pPr>
        <w:ind w:left="1620" w:right="559" w:hanging="360"/>
        <w:spacing w:after="0" w:line="282"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Global Inc., Har Hotzvim, 13 Hartom Street P.O. Box 45157 Jerusalem 9777513, Israel.</w:t>
      </w:r>
    </w:p>
    <w:p>
      <w:pPr>
        <w:spacing w:after="0" w:line="94" w:lineRule="exact"/>
        <w:rPr>
          <w:rFonts w:ascii="Times New Roman" w:cs="Times New Roman" w:eastAsia="Times New Roman" w:hAnsi="Times New Roman"/>
          <w:sz w:val="18"/>
          <w:szCs w:val="18"/>
          <w:color w:val="auto"/>
        </w:rPr>
      </w:pPr>
    </w:p>
    <w:p>
      <w:pPr>
        <w:jc w:val="both"/>
        <w:ind w:left="1620" w:right="499" w:hanging="360"/>
        <w:spacing w:after="0" w:line="266"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our authorized capital stock will consist of             shares of capital stock, par value $0.01 per share, of which:</w:t>
      </w:r>
    </w:p>
    <w:p>
      <w:pPr>
        <w:spacing w:after="0" w:line="40" w:lineRule="exact"/>
        <w:rPr>
          <w:sz w:val="20"/>
          <w:szCs w:val="20"/>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preferred stock.</w:t>
      </w:r>
    </w:p>
    <w:p>
      <w:pPr>
        <w:spacing w:after="0" w:line="14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After the completion of this offering, we will be a “controlled company” within the meaning of the corporate governance standards of Nasdaq. See “Management — Controlled Company Exemption.” Unless our board of directors determines otherwise, we will issue all shares of our capital stock in uncertificated form.</w:t>
      </w:r>
    </w:p>
    <w:p>
      <w:pPr>
        <w:spacing w:after="0" w:line="323" w:lineRule="exact"/>
        <w:rPr>
          <w:sz w:val="20"/>
          <w:szCs w:val="20"/>
          <w:color w:val="auto"/>
        </w:rPr>
      </w:pPr>
    </w:p>
    <w:p>
      <w:pPr>
        <w:ind w:left="1260" w:right="8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our amended and restated certificate of incorporation, we will be authorized to issue up to             shares of common stock, including             shares of our Class A common stock and            </w:t>
      </w:r>
    </w:p>
    <w:p>
      <w:pPr>
        <w:ind w:left="126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Holders of our Class A common stock will be entitled to one vote for each share held of record on all matters submitted to a vote of stockholders. Holders of our Class B common stock will be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283" w:lineRule="exact"/>
        <w:rPr>
          <w:sz w:val="20"/>
          <w:szCs w:val="20"/>
          <w:color w:val="auto"/>
        </w:rPr>
      </w:pPr>
    </w:p>
    <w:p>
      <w:pPr>
        <w:ind w:left="1800" w:right="839" w:hanging="180"/>
        <w:spacing w:after="0" w:line="26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9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become effective immediately prior to the effective time of this registration statement will provide that stockholders are not entitled to cumulative voting for the election of directors. As a result, the holders of a majority of our voting shares can elect all of the directors then standing for election.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this offering, investors purchasing shares of our Class A common stock in this offering will hold approximately            % of the voting power of our outstanding common stock (or approximately            % if the underwriters exercise their option to purchase additional</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shares of our Class A common stock in full). Intel, which will beneficially own all of the outstanding shares of our Class B common stock, will beneficially own approximately            % of the voting power our common stock (or approximately            %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2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Each share of our Class B common stock will be convertible into one share of Class A common stock at the option of the holder, provided that if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Approval Rights of Holders of Class B Common Stock</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69" w:lineRule="exact"/>
        <w:rPr>
          <w:sz w:val="20"/>
          <w:szCs w:val="20"/>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takeover defense measure;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any other entity;</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of our subsidiaries to consolidate or merge with or into any other entity, with certain exceptions;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stock or assets of another entity for consideration in excess of $250,000,000 other than transactions in which we and one or more of our wholly owned subsidiaries are the only parties;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stock or other equity securities except to our subsidiaries, pursuant to this offering, or pursuant to our employee benefit plans limited to a share reserve of 5% of the outstanding number of shares of our common stock on the immediately preceding December 31;</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individual or series of related capital or other expenditures in excess of $250,000,000;</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permit to exist any indebtedness or guarantee any indebtedness in excess of $250,000,000;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to or purchase any debt securities of any person in excess of $250,000,000;</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to dissolve, liquidate, or wind-up our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on our stock;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terminate or adopt any provision inconsistent with our amended and restated certificate of incorporation or amended and restated bylaws.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will be authorized to issue up</w:t>
      </w:r>
    </w:p>
    <w:p>
      <w:pPr>
        <w:spacing w:after="0" w:line="27"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to 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68" w:lineRule="exact"/>
        <w:rPr>
          <w:sz w:val="20"/>
          <w:szCs w:val="20"/>
          <w:color w:val="auto"/>
        </w:rPr>
      </w:pPr>
    </w:p>
    <w:p>
      <w:pPr>
        <w:ind w:left="1800" w:right="53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5"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04" w:lineRule="exact"/>
        <w:rPr>
          <w:sz w:val="20"/>
          <w:szCs w:val="20"/>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2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will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below are provisions that will be included in our amended and restated certificate of incorporation and our amended and restated bylaws that could deter hostile takeovers or delay or prevent changes in control of our management team.</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As described above in “— Common Stock — Voting Rights,” our amended and restated certificate of incorporation will provide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Board of director vacancies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Classified board of directors and removal of directors</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will also provide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 of the stockholders</w:t>
      </w:r>
    </w:p>
    <w:p>
      <w:pPr>
        <w:spacing w:after="0" w:line="14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will further provide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amended and restated bylaws may be altered, amended, or repealed by (i) our board of directors (without the need for consent by our stockholders) and (ii) our stockholders (without the need for consent by our board of directors).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to the fullest extent permitted by law, will provide that, unless we consent in writing to the selection of an alternative forum, the Court of Chancery of the State of Delaware will be the sole and exclusive forum for (1) any derivative action or proceeding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certificate of incorporation will provide that the federal district courts of the U.S. will, to the fullest extent permitted by law, be the sole and exclusive forum for resolving any complaint asserting a cause of action arising under the Securities Act. Our amended and restated certificate of incorporation will provide that neither the exclusive forum provision nor our federal forum provision applies to suits brought to enforce any duty or liability created by the Exchange Act.</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also provide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13"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 —  Risks Related to this Offering and Our Class A Common Stock — 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32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32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employees, or agents for which indemnification is sought.</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10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8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Amended and Restated Certificate of Incorporation Relating to Related Person Transactions and Corporate Opportunities</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32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301" w:lineRule="exact"/>
        <w:rPr>
          <w:sz w:val="20"/>
          <w:szCs w:val="20"/>
          <w:color w:val="auto"/>
        </w:rPr>
      </w:pPr>
    </w:p>
    <w:p>
      <w:pPr>
        <w:ind w:left="1800" w:right="4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fully satisfied and fulfilled any duties to us and our stockholders with respect to such contract, agreement, arrangement, or transaction;</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liable to us or our stockholders for any breach of fiduciary duty by reason of the entering into, performance or consummation of any such contract, agreement, arrangement, or transaction;</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have acted in good faith and in a manner it reasonably believed to be in and not opposed to the best interests of our company;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not to have breached any duties of loyalty to us or our stockholders and not to have received an improper personal gain from such contract, agreement, arrangement, or transaction.</w:t>
      </w:r>
    </w:p>
    <w:p>
      <w:pPr>
        <w:spacing w:after="0" w:line="9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further provide that, until the later of (i) first date on which Intel ceases to beneficially own 20% or more of the outstanding shares of our common stock 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2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also provide that, until the later of (i)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89" w:lineRule="exact"/>
        <w:rPr>
          <w:sz w:val="20"/>
          <w:szCs w:val="20"/>
          <w:color w:val="auto"/>
        </w:rPr>
      </w:pPr>
    </w:p>
    <w:p>
      <w:pPr>
        <w:jc w:val="both"/>
        <w:ind w:left="1800" w:right="739" w:hanging="180"/>
        <w:spacing w:after="0" w:line="261"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applied to list our Class A common stock on Nasdaq under the symbol “MBLY”.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w:t>
      </w:r>
    </w:p>
    <w:p>
      <w:pPr>
        <w:spacing w:after="0" w:line="27"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be Computershare Trust Company, N.A.. The transfer agent and registrar’s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completion of this offering, we will have           shares of our Class A common stock issued and outstanding (or           shares if the underwriters exercise their option to purchase additional shares of our Class A common stock in full) and           shares of our Class B common stock issued and outstanding. All of the shares of our Class A common stock sold in this offering will be freely tradable without restriction or further registration under the Securities Act unless such shares are purchased by “affiliates” as that term is defined in Rule 144. Upon the completion of this offering, all of our outstanding Class B common stock will be beneficially owned by Intel. Any shares of our Class A common stock not sold in this offering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“Underwriting” for a description of the lock-up agreements applicable to our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of the Securities Act, persons who became the beneficial owner of shares of our common stock prior to the completion of this offering may not sell their shares until the earlier of</w:t>
      </w:r>
    </w:p>
    <w:p>
      <w:pPr>
        <w:ind w:left="1260" w:right="459"/>
        <w:spacing w:after="0" w:line="239" w:lineRule="auto"/>
        <w:tabs>
          <w:tab w:leader="none" w:pos="152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56" w:lineRule="exact"/>
        <w:rPr>
          <w:sz w:val="20"/>
          <w:szCs w:val="20"/>
          <w:color w:val="auto"/>
        </w:rPr>
      </w:pPr>
    </w:p>
    <w:p>
      <w:pPr>
        <w:ind w:left="1800" w:right="43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our Class A common stock then outstanding, which will equal approximately           shares immediately after this offering; or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Nasdaq during the four calendar weeks preceding the filing of a notice on Form 144 with respect to the sale.</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sales under Rule 144 by affiliates or persons who have been affiliates within the previous 90 days are also subject to manner of sale provisions and notice requirements. Upon completion of the lock-up period, subject to any extension of the lock- up period under circumstances described above, approximately           shares of our outstanding restricted securities will be eligible for sale under Rule 144 subject to limitations on sales by affiliates.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enter into an agreement that will provide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32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Class A common stock that is not any of the following:</w:t>
      </w:r>
    </w:p>
    <w:p>
      <w:pPr>
        <w:spacing w:after="0" w:line="40" w:lineRule="exact"/>
        <w:rPr>
          <w:sz w:val="20"/>
          <w:szCs w:val="20"/>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9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6" w:lineRule="exact"/>
        <w:rPr>
          <w:sz w:val="20"/>
          <w:szCs w:val="20"/>
          <w:color w:val="auto"/>
        </w:rPr>
      </w:pPr>
    </w:p>
    <w:p>
      <w:pPr>
        <w:ind w:left="1260" w:right="5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recognized upon the sale or other disposition of our Class A common stock unless:</w:t>
      </w:r>
    </w:p>
    <w:p>
      <w:pPr>
        <w:spacing w:after="0" w:line="40" w:lineRule="exact"/>
        <w:rPr>
          <w:sz w:val="20"/>
          <w:szCs w:val="20"/>
          <w:color w:val="auto"/>
        </w:rPr>
      </w:pPr>
    </w:p>
    <w:p>
      <w:pPr>
        <w:ind w:left="1800" w:right="51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satisfied; or</w:t>
      </w:r>
    </w:p>
    <w:p>
      <w:pPr>
        <w:spacing w:after="0" w:line="4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being offered. Subject to certain conditions, each underwriter will severally agree to purchase the number of shares of our Class A common stock indicated in the following table. Goldman Sachs &amp; Co. LLC and Morgan Stanley &amp; Co. LLC are acting as the representatives of the underwriters.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5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3"/>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54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5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top w:val="single" w:sz="8" w:color="CCEEFF"/>
              <w:bottom w:val="single" w:sz="8" w:color="CCEEFF"/>
            </w:tcBorders>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4488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-548005</wp:posOffset>
            </wp:positionV>
            <wp:extent cx="4375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0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81"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underwriters will have an option to purchase up to an additional 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additional shares.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 Exercise</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Full Exercise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2348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all of our directors, executive officers, and holders of our common stock and securities exercisable for or convertible into shares of our common stock outstanding immediately prior to the completion of this offering have agreed, or will agree, with the underwriters that, through and including the 180th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activity described in clauses (1), (2) or (3) above. See “Shares Eligible for Future Sale” for a discussion of certain transfer restrictions.</w:t>
      </w:r>
    </w:p>
    <w:p>
      <w:pPr>
        <w:spacing w:after="0" w:line="9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additional limitations, including those relating to public filings required to be or voluntarily made in connection with a transfer, the restrictions contained in the lock-up agreements do not apply to:</w:t>
      </w:r>
    </w:p>
    <w:p>
      <w:pPr>
        <w:spacing w:after="0" w:line="108" w:lineRule="exact"/>
        <w:rPr>
          <w:sz w:val="20"/>
          <w:szCs w:val="20"/>
          <w:color w:val="auto"/>
        </w:rPr>
      </w:pPr>
    </w:p>
    <w:p>
      <w:pPr>
        <w:ind w:left="2080" w:right="1059" w:hanging="460"/>
        <w:spacing w:after="0" w:line="282"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one or more bona fide gifts or charitable contributions, or for bona fide estate planning purposes;</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upon death by will, testamentary document or intestate succession;</w:t>
      </w:r>
    </w:p>
    <w:p>
      <w:pPr>
        <w:spacing w:after="0" w:line="144" w:lineRule="exact"/>
        <w:rPr>
          <w:rFonts w:ascii="Times New Roman" w:cs="Times New Roman" w:eastAsia="Times New Roman" w:hAnsi="Times New Roman"/>
          <w:sz w:val="18"/>
          <w:szCs w:val="18"/>
          <w:color w:val="auto"/>
        </w:rPr>
      </w:pPr>
    </w:p>
    <w:p>
      <w:pPr>
        <w:ind w:left="2080" w:right="45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members of immediate family or to any trust for the direct or indirect benefit of the holder or an immediate family member or, by a holder that is a trust, to a trustor or beneficiary of the trust or the estate of a beneficiary of such trust;</w:t>
      </w:r>
    </w:p>
    <w:p>
      <w:pPr>
        <w:spacing w:after="0" w:line="108" w:lineRule="exact"/>
        <w:rPr>
          <w:rFonts w:ascii="Times New Roman" w:cs="Times New Roman" w:eastAsia="Times New Roman" w:hAnsi="Times New Roman"/>
          <w:sz w:val="18"/>
          <w:szCs w:val="18"/>
          <w:color w:val="auto"/>
        </w:rPr>
      </w:pPr>
    </w:p>
    <w:p>
      <w:pPr>
        <w:ind w:left="2080" w:right="47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108" w:lineRule="exact"/>
        <w:rPr>
          <w:rFonts w:ascii="Times New Roman" w:cs="Times New Roman" w:eastAsia="Times New Roman" w:hAnsi="Times New Roman"/>
          <w:sz w:val="18"/>
          <w:szCs w:val="18"/>
          <w:color w:val="auto"/>
        </w:rPr>
      </w:pPr>
    </w:p>
    <w:p>
      <w:pPr>
        <w:ind w:left="2080" w:right="519" w:hanging="460"/>
        <w:spacing w:after="0" w:line="282"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(i) through (iv) above;</w:t>
      </w:r>
    </w:p>
    <w:p>
      <w:pPr>
        <w:spacing w:after="0" w:line="9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a corporation, partnership, limited liability company or other business entity, to</w:t>
      </w:r>
    </w:p>
    <w:p>
      <w:pPr>
        <w:spacing w:after="0" w:line="27" w:lineRule="exact"/>
        <w:rPr>
          <w:rFonts w:ascii="Times New Roman" w:cs="Times New Roman" w:eastAsia="Times New Roman" w:hAnsi="Times New Roman"/>
          <w:sz w:val="18"/>
          <w:szCs w:val="18"/>
          <w:color w:val="auto"/>
        </w:rPr>
      </w:pPr>
    </w:p>
    <w:p>
      <w:pPr>
        <w:ind w:left="2080" w:right="519" w:hanging="10"/>
        <w:spacing w:after="0" w:line="253" w:lineRule="auto"/>
        <w:tabs>
          <w:tab w:leader="none" w:pos="238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affiliated entities,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121" w:lineRule="exact"/>
        <w:rPr>
          <w:rFonts w:ascii="Times New Roman" w:cs="Times New Roman" w:eastAsia="Times New Roman" w:hAnsi="Times New Roman"/>
          <w:sz w:val="18"/>
          <w:szCs w:val="18"/>
          <w:color w:val="auto"/>
        </w:rPr>
      </w:pPr>
    </w:p>
    <w:p>
      <w:pPr>
        <w:ind w:left="2080" w:right="559" w:hanging="460"/>
        <w:spacing w:after="0" w:line="282"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divorce settlement, divorce decree or separation agreement;</w:t>
      </w:r>
    </w:p>
    <w:p>
      <w:pPr>
        <w:spacing w:after="0" w:line="80" w:lineRule="exact"/>
        <w:rPr>
          <w:rFonts w:ascii="Times New Roman" w:cs="Times New Roman" w:eastAsia="Times New Roman" w:hAnsi="Times New Roman"/>
          <w:sz w:val="18"/>
          <w:szCs w:val="18"/>
          <w:color w:val="auto"/>
        </w:rPr>
      </w:pPr>
    </w:p>
    <w:p>
      <w:pPr>
        <w:ind w:left="2080" w:right="1219" w:hanging="460"/>
        <w:spacing w:after="0" w:line="282"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from one of our employees or service providers upon death, disability or termination of employment, in each case, of such employee or service provider;</w:t>
      </w:r>
    </w:p>
    <w:p>
      <w:pPr>
        <w:spacing w:after="0" w:line="94" w:lineRule="exact"/>
        <w:rPr>
          <w:rFonts w:ascii="Times New Roman" w:cs="Times New Roman" w:eastAsia="Times New Roman" w:hAnsi="Times New Roman"/>
          <w:sz w:val="18"/>
          <w:szCs w:val="18"/>
          <w:color w:val="auto"/>
        </w:rPr>
      </w:pPr>
    </w:p>
    <w:p>
      <w:pPr>
        <w:ind w:left="2080" w:right="67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acquired (A) from the underwriters in this offering (except, in the case of officers or directors for any issuer-directed shares) or (B) in open market transactions after the closing of this offering;</w:t>
      </w:r>
    </w:p>
    <w:p>
      <w:pPr>
        <w:spacing w:after="0" w:line="108" w:lineRule="exact"/>
        <w:rPr>
          <w:rFonts w:ascii="Times New Roman" w:cs="Times New Roman" w:eastAsia="Times New Roman" w:hAnsi="Times New Roman"/>
          <w:sz w:val="18"/>
          <w:szCs w:val="18"/>
          <w:color w:val="auto"/>
        </w:rPr>
      </w:pPr>
    </w:p>
    <w:p>
      <w:pPr>
        <w:ind w:left="2080" w:right="439" w:hanging="460"/>
        <w:spacing w:after="0" w:line="254"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described in this prospectus, provided that any securities received upon such vesting, settlement, exercise or conversion shall be subject to the restrictions hereof;</w:t>
      </w:r>
    </w:p>
    <w:p>
      <w:pPr>
        <w:spacing w:after="0" w:line="124" w:lineRule="exact"/>
        <w:rPr>
          <w:rFonts w:ascii="Times New Roman" w:cs="Times New Roman" w:eastAsia="Times New Roman" w:hAnsi="Times New Roman"/>
          <w:sz w:val="18"/>
          <w:szCs w:val="18"/>
          <w:color w:val="auto"/>
        </w:rPr>
      </w:pPr>
    </w:p>
    <w:p>
      <w:pPr>
        <w:jc w:val="both"/>
        <w:ind w:left="2080" w:right="47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 or</w:t>
      </w:r>
    </w:p>
    <w:p>
      <w:pPr>
        <w:spacing w:after="0" w:line="108" w:lineRule="exact"/>
        <w:rPr>
          <w:rFonts w:ascii="Times New Roman" w:cs="Times New Roman" w:eastAsia="Times New Roman" w:hAnsi="Times New Roman"/>
          <w:sz w:val="18"/>
          <w:szCs w:val="18"/>
          <w:color w:val="auto"/>
        </w:rPr>
      </w:pPr>
    </w:p>
    <w:p>
      <w:pPr>
        <w:ind w:left="2080" w:right="599" w:hanging="460"/>
        <w:spacing w:after="0" w:line="266" w:lineRule="auto"/>
        <w:tabs>
          <w:tab w:leader="none" w:pos="2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on us set forth above are subject to certain exceptions, including with respect to:</w:t>
      </w:r>
    </w:p>
    <w:p>
      <w:pPr>
        <w:spacing w:after="0" w:line="158" w:lineRule="exact"/>
        <w:rPr>
          <w:sz w:val="20"/>
          <w:szCs w:val="20"/>
          <w:color w:val="auto"/>
        </w:rPr>
      </w:pPr>
    </w:p>
    <w:p>
      <w:pPr>
        <w:ind w:left="2080" w:right="579" w:hanging="460"/>
        <w:spacing w:after="0" w:line="282" w:lineRule="auto"/>
        <w:tabs>
          <w:tab w:leader="none" w:pos="2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of Class A common stock to the underwriters pursuant to the underwriting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80" w:right="459" w:hanging="460"/>
        <w:spacing w:after="0" w:line="259"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335" w:lineRule="exact"/>
        <w:rPr>
          <w:rFonts w:ascii="Times New Roman" w:cs="Times New Roman" w:eastAsia="Times New Roman" w:hAnsi="Times New Roman"/>
          <w:sz w:val="18"/>
          <w:szCs w:val="18"/>
          <w:color w:val="auto"/>
        </w:rPr>
      </w:pPr>
    </w:p>
    <w:p>
      <w:pPr>
        <w:ind w:left="2080" w:right="459" w:hanging="460"/>
        <w:spacing w:after="0" w:line="254"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3" w:lineRule="exact"/>
        <w:rPr>
          <w:rFonts w:ascii="Times New Roman" w:cs="Times New Roman" w:eastAsia="Times New Roman" w:hAnsi="Times New Roman"/>
          <w:sz w:val="18"/>
          <w:szCs w:val="18"/>
          <w:color w:val="auto"/>
        </w:rPr>
      </w:pPr>
    </w:p>
    <w:p>
      <w:pPr>
        <w:ind w:left="2080" w:right="559" w:hanging="10"/>
        <w:spacing w:after="0" w:line="253" w:lineRule="auto"/>
        <w:tabs>
          <w:tab w:leader="none" w:pos="237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121" w:lineRule="exact"/>
        <w:rPr>
          <w:rFonts w:ascii="Times New Roman" w:cs="Times New Roman" w:eastAsia="Times New Roman" w:hAnsi="Times New Roman"/>
          <w:sz w:val="18"/>
          <w:szCs w:val="18"/>
          <w:color w:val="auto"/>
        </w:rPr>
      </w:pPr>
    </w:p>
    <w:p>
      <w:pPr>
        <w:ind w:left="2080" w:right="479" w:hanging="460"/>
        <w:spacing w:after="0" w:line="282" w:lineRule="auto"/>
        <w:tabs>
          <w:tab w:leader="none" w:pos="2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our equity incentive plans described in this prospectus.</w:t>
      </w:r>
    </w:p>
    <w:p>
      <w:pPr>
        <w:spacing w:after="0" w:line="81"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Goldman Sachs &amp; Co. LLC and Morgan Stanley &amp; Co. LLC may, in their discretion, release any of the securities subject to these lockup agreements at any time, subject to applicable notice requirements.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have applied to have our Class A common stock approved for listing on Nasdaq under the symbol “MBLY”.</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34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32" w:lineRule="exact"/>
        <w:rPr>
          <w:sz w:val="20"/>
          <w:szCs w:val="20"/>
          <w:color w:val="auto"/>
        </w:rPr>
      </w:pPr>
    </w:p>
    <w:p>
      <w:pPr>
        <w:jc w:val="center"/>
        <w:ind w:left="1680" w:right="160"/>
        <w:spacing w:after="0" w:line="282"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 in the over-the-counter market, or otherwise.</w:t>
      </w:r>
    </w:p>
    <w:p>
      <w:pPr>
        <w:spacing w:after="0" w:line="116"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million.</w:t>
      </w:r>
    </w:p>
    <w:p>
      <w:pPr>
        <w:spacing w:after="0" w:line="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will also agree to reimburse the underwriters for expenses in an amount not to exceed</w:t>
      </w:r>
    </w:p>
    <w:p>
      <w:pPr>
        <w:spacing w:after="0" w:line="27"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            relating to any applicable state securities filings and to clearance of this offering with the Financial Industry Regulatory Authority. We will also agree to indemnify the several underwriters against certain liabilities, including liabilities under the Securities Act. In addition, the underwriters have agreed to reimburse us for certain expenses in connection with this offering.</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08" w:lineRule="exact"/>
        <w:rPr>
          <w:sz w:val="20"/>
          <w:szCs w:val="20"/>
          <w:color w:val="auto"/>
        </w:rPr>
      </w:pPr>
    </w:p>
    <w:p>
      <w:pPr>
        <w:ind w:left="2340" w:hanging="360"/>
        <w:spacing w:after="0"/>
        <w:tabs>
          <w:tab w:leader="none" w:pos="2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ind w:left="1260" w:right="879"/>
        <w:spacing w:after="0" w:line="266" w:lineRule="auto"/>
        <w:rPr>
          <w:sz w:val="20"/>
          <w:szCs w:val="20"/>
          <w:color w:val="auto"/>
        </w:rPr>
      </w:pPr>
      <w:r>
        <w:rPr>
          <w:rFonts w:ascii="Times New Roman" w:cs="Times New Roman" w:eastAsia="Times New Roman" w:hAnsi="Times New Roman"/>
          <w:sz w:val="18"/>
          <w:szCs w:val="18"/>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pacing w:after="0" w:line="10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2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acknowledgments, and agreements.</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4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8" w:lineRule="exact"/>
        <w:rPr>
          <w:sz w:val="20"/>
          <w:szCs w:val="20"/>
          <w:color w:val="auto"/>
        </w:rPr>
      </w:pPr>
    </w:p>
    <w:p>
      <w:pPr>
        <w:ind w:left="1620" w:right="1179" w:firstLine="360"/>
        <w:spacing w:after="0" w:line="282"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07" w:lineRule="exact"/>
        <w:rPr>
          <w:rFonts w:ascii="Times New Roman" w:cs="Times New Roman" w:eastAsia="Times New Roman" w:hAnsi="Times New Roman"/>
          <w:sz w:val="18"/>
          <w:szCs w:val="18"/>
          <w:color w:val="auto"/>
        </w:rPr>
      </w:pPr>
    </w:p>
    <w:p>
      <w:pPr>
        <w:ind w:left="1620" w:right="419" w:firstLine="360"/>
        <w:spacing w:after="0" w:line="274" w:lineRule="auto"/>
        <w:tabs>
          <w:tab w:leader="none" w:pos="23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1" w:lineRule="exact"/>
        <w:rPr>
          <w:rFonts w:ascii="Times New Roman" w:cs="Times New Roman" w:eastAsia="Times New Roman" w:hAnsi="Times New Roman"/>
          <w:sz w:val="18"/>
          <w:szCs w:val="18"/>
          <w:color w:val="auto"/>
        </w:rPr>
      </w:pPr>
    </w:p>
    <w:p>
      <w:pPr>
        <w:ind w:left="1620" w:right="699" w:firstLine="360"/>
        <w:spacing w:after="0" w:line="297"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8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62" w:lineRule="exact"/>
        <w:rPr>
          <w:sz w:val="20"/>
          <w:szCs w:val="20"/>
          <w:color w:val="auto"/>
        </w:rPr>
      </w:pPr>
    </w:p>
    <w:p>
      <w:pPr>
        <w:ind w:left="1260" w:right="839" w:firstLine="360"/>
        <w:spacing w:after="0" w:line="263" w:lineRule="auto"/>
        <w:rPr>
          <w:sz w:val="20"/>
          <w:szCs w:val="20"/>
          <w:color w:val="auto"/>
        </w:rPr>
      </w:pPr>
      <w:r>
        <w:rPr>
          <w:rFonts w:ascii="Times New Roman" w:cs="Times New Roman" w:eastAsia="Times New Roman" w:hAnsi="Times New Roman"/>
          <w:sz w:val="18"/>
          <w:szCs w:val="18"/>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2" w:lineRule="exact"/>
        <w:rPr>
          <w:sz w:val="20"/>
          <w:szCs w:val="20"/>
          <w:color w:val="auto"/>
        </w:rPr>
      </w:pPr>
    </w:p>
    <w:p>
      <w:pPr>
        <w:ind w:left="1260" w:right="479"/>
        <w:spacing w:after="0" w:line="261" w:lineRule="auto"/>
        <w:tabs>
          <w:tab w:leader="none" w:pos="15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1"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32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66" w:lineRule="auto"/>
        <w:rPr>
          <w:sz w:val="20"/>
          <w:szCs w:val="20"/>
          <w:color w:val="auto"/>
        </w:rPr>
      </w:pPr>
      <w:r>
        <w:rPr>
          <w:rFonts w:ascii="Times New Roman" w:cs="Times New Roman" w:eastAsia="Times New Roman" w:hAnsi="Times New Roman"/>
          <w:sz w:val="18"/>
          <w:szCs w:val="18"/>
          <w:color w:val="auto"/>
        </w:rPr>
        <w:t>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3" w:lineRule="exact"/>
        <w:rPr>
          <w:sz w:val="20"/>
          <w:szCs w:val="20"/>
          <w:color w:val="auto"/>
        </w:rPr>
      </w:pPr>
    </w:p>
    <w:p>
      <w:pPr>
        <w:ind w:left="1260" w:right="459"/>
        <w:spacing w:after="0" w:line="252" w:lineRule="auto"/>
        <w:tabs>
          <w:tab w:leader="none" w:pos="152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 Schemes (“CISA”). The investor protection afforded to acquirers of interests in collective investment schemes under the CISA does not extend to acquirers of our Class A common stock.</w:t>
      </w: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25"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Any offer in Australia of our Class A common stock may only be made to persons, or “Exempt Investors”, who are “sophisticated investors” ​(within the meaning of section 708(8) of the Corporations</w:t>
      </w:r>
    </w:p>
    <w:p>
      <w:pPr>
        <w:spacing w:after="0" w:line="1"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shares of our Class A common stock applied for by Exempt Investors in Australia must not be</w:t>
      </w:r>
    </w:p>
    <w:p>
      <w:pPr>
        <w:spacing w:after="0" w:line="16"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6"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VALIDITY OF COMMON STOCK</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309" w:lineRule="exact"/>
        <w:rPr>
          <w:sz w:val="20"/>
          <w:szCs w:val="20"/>
          <w:color w:val="auto"/>
        </w:rPr>
      </w:pPr>
    </w:p>
    <w:p>
      <w:pPr>
        <w:ind w:left="1800" w:right="419" w:hanging="180"/>
        <w:spacing w:after="0" w:line="255"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8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2020 through December 2021, a PwC member firm provided services pursuant to a contingent fee arrangement.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143" w:lineRule="exact"/>
        <w:rPr>
          <w:sz w:val="20"/>
          <w:szCs w:val="20"/>
          <w:color w:val="auto"/>
        </w:rPr>
      </w:pPr>
    </w:p>
    <w:p>
      <w:pPr>
        <w:jc w:val="both"/>
        <w:ind w:left="126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Balance Sheets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Changes in Equity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Combined Financial Statements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Combined Balance Sheets</w:t>
      </w:r>
    </w:p>
    <w:p>
      <w:pPr>
        <w:spacing w:after="0" w:line="63"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u w:val="single" w:color="auto"/>
          <w:color w:val="0000EE"/>
        </w:rPr>
        <w:t>Unaudited Condensed Combined Statements of Operations and Comprehensive Income (Loss) Unaudited Condensed 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right="2320"/>
        <w:spacing w:after="0" w:line="344" w:lineRule="auto"/>
        <w:rPr>
          <w:sz w:val="20"/>
          <w:szCs w:val="20"/>
          <w:color w:val="auto"/>
        </w:rPr>
      </w:pPr>
      <w:r>
        <w:rPr>
          <w:rFonts w:ascii="Times New Roman" w:cs="Times New Roman" w:eastAsia="Times New Roman" w:hAnsi="Times New Roman"/>
          <w:sz w:val="18"/>
          <w:szCs w:val="18"/>
          <w:u w:val="single" w:color="auto"/>
          <w:color w:val="0000EE"/>
        </w:rPr>
        <w:t>Unaudited Condensed Combined Statements of Cash Flows 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F-9</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40"/>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F-38</w:t>
      </w:r>
      <w:r>
        <w:rPr>
          <w:rFonts w:ascii="Times New Roman" w:cs="Times New Roman" w:eastAsia="Times New Roman" w:hAnsi="Times New Roman"/>
          <w:sz w:val="18"/>
          <w:szCs w:val="18"/>
          <w:color w:val="auto"/>
        </w:rPr>
        <w:t>​</w:t>
      </w:r>
    </w:p>
    <w:p>
      <w:pPr>
        <w:spacing w:after="0" w:line="316" w:lineRule="exact"/>
        <w:rPr>
          <w:sz w:val="20"/>
          <w:szCs w:val="20"/>
          <w:color w:val="auto"/>
        </w:rPr>
      </w:pPr>
    </w:p>
    <w:p>
      <w:pPr>
        <w:sectPr>
          <w:pgSz w:w="11900" w:h="16838" w:orient="portrait"/>
          <w:cols w:equalWidth="0" w:num="2">
            <w:col w:w="8380" w:space="500"/>
            <w:col w:w="9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of Intel and the Shareholder of Mobileye Group</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5"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02"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Attribution of Intangible Assets to the Combined Financial Statements</w:t>
      </w:r>
    </w:p>
    <w:p>
      <w:pPr>
        <w:spacing w:after="0" w:line="160"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1"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among others</w:t>
      </w:r>
    </w:p>
    <w:p>
      <w:pPr>
        <w:ind w:left="1480" w:hanging="220"/>
        <w:spacing w:after="0"/>
        <w:tabs>
          <w:tab w:leader="none" w:pos="14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estimating the fair value of intangible assets and their useful lives;</w:t>
      </w:r>
    </w:p>
    <w:p>
      <w:pPr>
        <w:spacing w:after="0" w:line="9" w:lineRule="exact"/>
        <w:rPr>
          <w:rFonts w:ascii="Times New Roman" w:cs="Times New Roman" w:eastAsia="Times New Roman" w:hAnsi="Times New Roman"/>
          <w:sz w:val="18"/>
          <w:szCs w:val="18"/>
          <w:color w:val="auto"/>
        </w:rPr>
      </w:pPr>
    </w:p>
    <w:p>
      <w:pPr>
        <w:ind w:left="1260" w:right="519"/>
        <w:spacing w:after="0" w:line="251" w:lineRule="auto"/>
        <w:tabs>
          <w:tab w:leader="none" w:pos="15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Tel-Aviv, Israel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1,332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1,692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-1662430</wp:posOffset>
            </wp:positionV>
            <wp:extent cx="137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acquisition consideration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3,071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3,580</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​10,895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​10,895</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16,462</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58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820" w:type="dxa"/>
            <w:vAlign w:val="bottom"/>
            <w:gridSpan w:val="2"/>
          </w:tcPr>
          <w:p>
            <w:pPr>
              <w:jc w:val="right"/>
              <w:ind w:right="50"/>
              <w:spacing w:after="0" w:line="247" w:lineRule="exact"/>
              <w:rPr>
                <w:sz w:val="20"/>
                <w:szCs w:val="20"/>
                <w:color w:val="auto"/>
              </w:rPr>
            </w:pPr>
            <w:r>
              <w:rPr>
                <w:rFonts w:ascii="Times New Roman" w:cs="Times New Roman" w:eastAsia="Times New Roman" w:hAnsi="Times New Roman"/>
                <w:sz w:val="28"/>
                <w:szCs w:val="28"/>
                <w:color w:val="auto"/>
                <w:vertAlign w:val="superscript"/>
              </w:rPr>
              <w:t>49</w:t>
            </w:r>
            <w:r>
              <w:rPr>
                <w:rFonts w:ascii="Times New Roman" w:cs="Times New Roman" w:eastAsia="Times New Roman" w:hAnsi="Times New Roman"/>
                <w:sz w:val="15"/>
                <w:szCs w:val="15"/>
                <w:color w:val="auto"/>
              </w:rPr>
              <w:t xml:space="preserve">  ​​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​15,884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​15,842</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​15,842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16,462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 (LOSS)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​(213)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with a related party,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​(325)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-1439545</wp:posOffset>
            </wp:positionV>
            <wp:extent cx="1289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8088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-2468245</wp:posOffset>
            </wp:positionV>
            <wp:extent cx="1289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8088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-2965450</wp:posOffset>
            </wp:positionV>
            <wp:extent cx="137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-2965450</wp:posOffset>
            </wp:positionV>
            <wp:extent cx="1371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89"/>
              </w:rPr>
              <w:t>Parent Net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4"/>
                <w:szCs w:val="14"/>
                <w:color w:val="auto"/>
              </w:rPr>
            </w:pPr>
          </w:p>
        </w:tc>
        <w:tc>
          <w:tcPr>
            <w:tcW w:w="6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24"/>
                <w:szCs w:val="24"/>
                <w:b w:val="1"/>
                <w:bCs w:val="1"/>
                <w:color w:val="auto"/>
                <w:vertAlign w:val="subscript"/>
              </w:rPr>
              <w:t>​</w:t>
            </w: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2018</w:t>
            </w:r>
          </w:p>
        </w:tc>
        <w:tc>
          <w:tcPr>
            <w:tcW w:w="4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b w:val="1"/>
                <w:bCs w:val="1"/>
                <w:color w:val="auto"/>
              </w:rPr>
              <w:t>​ ​ ​</w:t>
            </w:r>
            <w:r>
              <w:rPr>
                <w:rFonts w:ascii="Times New Roman" w:cs="Times New Roman" w:eastAsia="Times New Roman" w:hAnsi="Times New Roman"/>
                <w:sz w:val="31"/>
                <w:szCs w:val="31"/>
                <w:b w:val="1"/>
                <w:bCs w:val="1"/>
                <w:color w:val="auto"/>
                <w:vertAlign w:val="superscript"/>
              </w:rPr>
              <w:t>$</w:t>
            </w:r>
          </w:p>
        </w:tc>
        <w:tc>
          <w:tcPr>
            <w:tcW w:w="6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(507)</w:t>
            </w:r>
            <w:r>
              <w:rPr>
                <w:rFonts w:ascii="Times New Roman" w:cs="Times New Roman" w:eastAsia="Times New Roman" w:hAnsi="Times New Roman"/>
                <w:sz w:val="31"/>
                <w:szCs w:val="31"/>
                <w:b w:val="1"/>
                <w:bCs w:val="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1"/>
                <w:szCs w:val="31"/>
                <w:b w:val="1"/>
                <w:bCs w:val="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 </w:t>
            </w:r>
            <w:r>
              <w:rPr>
                <w:rFonts w:ascii="Times New Roman" w:cs="Times New Roman" w:eastAsia="Times New Roman" w:hAnsi="Times New Roman"/>
                <w:sz w:val="31"/>
                <w:szCs w:val="3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84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2019</w:t>
            </w:r>
          </w:p>
        </w:tc>
        <w:tc>
          <w:tcPr>
            <w:tcW w:w="1100" w:type="dxa"/>
            <w:vAlign w:val="bottom"/>
            <w:gridSpan w:val="5"/>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 </w:t>
            </w:r>
            <w:r>
              <w:rPr>
                <w:rFonts w:ascii="Times New Roman" w:cs="Times New Roman" w:eastAsia="Times New Roman" w:hAnsi="Times New Roman"/>
                <w:sz w:val="30"/>
                <w:szCs w:val="30"/>
                <w:color w:val="auto"/>
                <w:vertAlign w:val="subscript"/>
              </w:rPr>
              <w:t>​​ ​</w:t>
            </w:r>
          </w:p>
        </w:tc>
        <w:tc>
          <w:tcPr>
            <w:tcW w:w="90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w:t>
            </w:r>
            <w:r>
              <w:rPr>
                <w:rFonts w:ascii="Times New Roman" w:cs="Times New Roman" w:eastAsia="Times New Roman" w:hAnsi="Times New Roman"/>
                <w:sz w:val="30"/>
                <w:szCs w:val="30"/>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1,570 </w:t>
            </w:r>
            <w:r>
              <w:rPr>
                <w:rFonts w:ascii="Times New Roman" w:cs="Times New Roman" w:eastAsia="Times New Roman" w:hAnsi="Times New Roman"/>
                <w:sz w:val="31"/>
                <w:szCs w:val="31"/>
                <w:color w:val="auto"/>
                <w:vertAlign w:val="subscript"/>
              </w:rPr>
              <w:t>​​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1,570</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10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 </w:t>
            </w:r>
            <w:r>
              <w:rPr>
                <w:rFonts w:ascii="Times New Roman" w:cs="Times New Roman" w:eastAsia="Times New Roman" w:hAnsi="Times New Roman"/>
                <w:sz w:val="30"/>
                <w:szCs w:val="30"/>
                <w:color w:val="auto"/>
                <w:vertAlign w:val="subscript"/>
              </w:rPr>
              <w:t>​​ ​</w:t>
            </w:r>
          </w:p>
        </w:tc>
        <w:tc>
          <w:tcPr>
            <w:tcW w:w="900" w:type="dxa"/>
            <w:vAlign w:val="bottom"/>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8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5</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4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31"/>
                <w:szCs w:val="31"/>
                <w:color w:val="auto"/>
                <w:vertAlign w:val="subscript"/>
              </w:rPr>
              <w:t>​​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117</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1100" w:type="dxa"/>
            <w:vAlign w:val="bottom"/>
            <w:gridSpan w:val="5"/>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15,884 </w:t>
            </w:r>
            <w:r>
              <w:rPr>
                <w:rFonts w:ascii="Times New Roman" w:cs="Times New Roman" w:eastAsia="Times New Roman" w:hAnsi="Times New Roman"/>
                <w:sz w:val="28"/>
                <w:szCs w:val="28"/>
                <w:b w:val="1"/>
                <w:bCs w:val="1"/>
                <w:color w:val="auto"/>
                <w:vertAlign w:val="subscript"/>
              </w:rPr>
              <w:t>​​ ​</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$ 5</w:t>
            </w:r>
          </w:p>
        </w:tc>
        <w:tc>
          <w:tcPr>
            <w:tcW w:w="84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4834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4834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-2099310</wp:posOffset>
            </wp:positionV>
            <wp:extent cx="137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-2099310</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Adjustments to reconcile net loss to net cash provided by operating</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​509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​327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payables and accrued expenses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accrued expenses and long-term benefits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​599</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loan due from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​(185)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Moovit, net of cash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​(965)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deferred consideration payment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(to) Parent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(75)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withholding tax related to employee stock plans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​732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 (59)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-316230</wp:posOffset>
            </wp:positionV>
            <wp:extent cx="1289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wp:posOffset>
            </wp:positionV>
            <wp:extent cx="48088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-1327785</wp:posOffset>
            </wp:positionV>
            <wp:extent cx="12890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-1327785</wp:posOffset>
            </wp:positionV>
            <wp:extent cx="48088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-2339340</wp:posOffset>
            </wp:positionV>
            <wp:extent cx="12890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8088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-5905500</wp:posOffset>
            </wp:positionV>
            <wp:extent cx="13716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-5905500</wp:posOffset>
            </wp:positionV>
            <wp:extent cx="137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​532</w:t>
            </w:r>
          </w:p>
        </w:tc>
        <w:tc>
          <w:tcPr>
            <w:tcW w:w="0" w:type="dxa"/>
            <w:vAlign w:val="bottom"/>
          </w:tcPr>
          <w:p>
            <w:pPr>
              <w:spacing w:after="0"/>
              <w:rPr>
                <w:sz w:val="1"/>
                <w:szCs w:val="1"/>
                <w:color w:val="auto"/>
              </w:rPr>
            </w:pPr>
          </w:p>
        </w:tc>
      </w:tr>
      <w:tr>
        <w:trPr>
          <w:trHeight w:val="25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w:t>
            </w:r>
          </w:p>
        </w:tc>
        <w:tc>
          <w:tcPr>
            <w:tcW w:w="38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93</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year</w:t>
            </w:r>
          </w:p>
        </w:tc>
        <w:tc>
          <w:tcPr>
            <w:tcW w:w="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Balance of cash, cash equivalents and restricted cash, at end of year</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$ 625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3086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-205105</wp:posOffset>
            </wp:positionV>
            <wp:extent cx="3943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160" w:space="200"/>
            <w:col w:w="2519"/>
          </w:cols>
          <w:pgMar w:left="580" w:top="97" w:right="1440"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COMBINED STATEMENTS OF CASH FLOWS — Continued</w:t>
      </w:r>
    </w:p>
    <w:p>
      <w:pPr>
        <w:sectPr>
          <w:pgSz w:w="11900" w:h="16838" w:orient="portrait"/>
          <w:cols w:equalWidth="0" w:num="1">
            <w:col w:w="9879"/>
          </w:cols>
          <w:pgMar w:left="580" w:top="97" w:right="1440" w:bottom="1440" w:gutter="0" w:footer="0" w:header="0"/>
        </w:sectPr>
      </w:pP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Supplementary non-cash investing and financing activities </w:t>
      </w:r>
      <w:r>
        <w:rPr>
          <w:rFonts w:ascii="Times New Roman" w:cs="Times New Roman" w:eastAsia="Times New Roman" w:hAnsi="Times New Roman"/>
          <w:sz w:val="18"/>
          <w:szCs w:val="18"/>
          <w:color w:val="auto"/>
        </w:rPr>
        <w:t>Acquisition of property and equipment included in accounts</w:t>
      </w:r>
    </w:p>
    <w:p>
      <w:pPr>
        <w:ind w:left="1440"/>
        <w:spacing w:after="0"/>
        <w:rPr>
          <w:sz w:val="20"/>
          <w:szCs w:val="20"/>
          <w:color w:val="auto"/>
        </w:rPr>
      </w:pPr>
      <w:r>
        <w:rPr>
          <w:rFonts w:ascii="Times New Roman" w:cs="Times New Roman" w:eastAsia="Times New Roman" w:hAnsi="Times New Roman"/>
          <w:sz w:val="18"/>
          <w:szCs w:val="18"/>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Conversion to equity of loan due to Parent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share-based compensation recharge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445"/>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​$ 27</w:t>
            </w:r>
          </w:p>
        </w:tc>
        <w:tc>
          <w:tcPr>
            <w:tcW w:w="2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​679</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​15,303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59</w:t>
            </w:r>
          </w:p>
        </w:tc>
        <w:tc>
          <w:tcPr>
            <w:tcW w:w="2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​162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​$ 44</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-1654175</wp:posOffset>
            </wp:positionV>
            <wp:extent cx="137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-1654175</wp:posOffset>
            </wp:positionV>
            <wp:extent cx="1371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0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Corporation,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These combined financial statements have been prepared in accordance with United States generally accepted accounting principles (“U.S. GAAP”).</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20"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Net loss per share data has not been presented in the combined financial statements because Mobileye Group did not operate as a separate legal entity with its own capital structure during the periods presented.</w:t>
      </w:r>
    </w:p>
    <w:p>
      <w:pPr>
        <w:spacing w:after="0" w:line="81"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The Company operates on a 52 -week or 53-week fiscal year that ends on the last Saturday in December. Fiscal years 2021, 2020, and 2019 were 52-week fiscal years.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relate to recognition and useful lives of intangible assets, impairment assessment of intangible assets and goodwill, and income taxes.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Cash equivalents are short-term unrestricted highly liquid investments that are readily convertible to cash and with original maturities of three months or less at acquisition.</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for each year presented:</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long-term assets)</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-711200</wp:posOffset>
            </wp:positionV>
            <wp:extent cx="137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-711200</wp:posOffset>
            </wp:positionV>
            <wp:extent cx="137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98" w:lineRule="exact"/>
        <w:rPr>
          <w:sz w:val="20"/>
          <w:szCs w:val="20"/>
          <w:color w:val="auto"/>
        </w:rPr>
      </w:pPr>
    </w:p>
    <w:p>
      <w:pPr>
        <w:ind w:left="1620" w:right="6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The fair value hierarchy gives the highest priority to Level 1 inputs.</w:t>
      </w:r>
    </w:p>
    <w:p>
      <w:pPr>
        <w:spacing w:after="0" w:line="86" w:lineRule="exact"/>
        <w:rPr>
          <w:sz w:val="20"/>
          <w:szCs w:val="20"/>
          <w:color w:val="auto"/>
        </w:rPr>
      </w:pPr>
    </w:p>
    <w:p>
      <w:pPr>
        <w:ind w:left="1620" w:right="6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are corroborated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market data or active market data for similar, but not identical assets or liabilities.</w:t>
      </w:r>
    </w:p>
    <w:p>
      <w:pPr>
        <w:spacing w:after="0" w:line="86" w:lineRule="exact"/>
        <w:rPr>
          <w:sz w:val="20"/>
          <w:szCs w:val="20"/>
          <w:color w:val="auto"/>
        </w:rPr>
      </w:pPr>
    </w:p>
    <w:p>
      <w:pPr>
        <w:ind w:left="1620" w:right="6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07"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0"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trade accounts receivable and accounts payable approximate fair value because of their generally short maturities.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customer base and an assessment of selling price in relation to product cost. Once written-down, a new lower cost basis for that inventory is established.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on a straight-line basis over their estimated useful lives.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estimated useful lives per asset type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4"/>
          </w:tcPr>
          <w:p>
            <w:pPr>
              <w:ind w:left="20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Years</w:t>
            </w:r>
            <w:r>
              <w:rPr>
                <w:rFonts w:ascii="Times New Roman" w:cs="Times New Roman" w:eastAsia="Times New Roman" w:hAnsi="Times New Roman"/>
                <w:sz w:val="28"/>
                <w:szCs w:val="28"/>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2640" w:type="dxa"/>
            <w:vAlign w:val="bottom"/>
            <w:gridSpan w:val="3"/>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 – 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5173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8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79" w:lineRule="exact"/>
        <w:rPr>
          <w:sz w:val="20"/>
          <w:szCs w:val="20"/>
          <w:color w:val="auto"/>
        </w:rPr>
      </w:pPr>
    </w:p>
    <w:p>
      <w:pPr>
        <w:ind w:left="1800" w:right="7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property and equipment; pre-existing liabilities or legal claims; deferred revenue; and contingent consideration, each as may be applicable;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9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combined statements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year ended December 25, 2021 was approximately $13 million.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6" w:lineRule="auto"/>
        <w:rPr>
          <w:sz w:val="20"/>
          <w:szCs w:val="20"/>
          <w:color w:val="auto"/>
        </w:rPr>
      </w:pPr>
      <w:r>
        <w:rPr>
          <w:rFonts w:ascii="Times New Roman" w:cs="Times New Roman" w:eastAsia="Times New Roman" w:hAnsi="Times New Roman"/>
          <w:sz w:val="18"/>
          <w:szCs w:val="18"/>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9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 for warranties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0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financial position, results of operations or cash flows. Legal fees are expensed as incurred.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accounts for leases in accordance with ASC 842, Leases, which requires lessees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recognize leases on the combined balance sheets and disclose key information about leasing arrangements.</w:t>
      </w:r>
    </w:p>
    <w:p>
      <w:pPr>
        <w:spacing w:after="0" w:line="13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111" w:lineRule="exact"/>
        <w:rPr>
          <w:sz w:val="20"/>
          <w:szCs w:val="20"/>
          <w:color w:val="auto"/>
        </w:rPr>
      </w:pPr>
    </w:p>
    <w:p>
      <w:pPr>
        <w:ind w:left="1260" w:right="779" w:firstLine="360"/>
        <w:spacing w:after="0" w:line="27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8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See Note 12 related to customers that accounted for more than 10% of the Company’s total revenue and accounts receivable balance for each of the years presented in these combined financial statements.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and accounts receivable balance for each of the years presented in these combined financial statements.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2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Company purchases all its System on Chip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During the year ended December 25, 2021, the Company’s supplier was not able to meet demand of the Company for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causing a significant reduction in the inventory level of the Company, and the Company expects that it may continue to experience a shortfall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during 2022. As the Company has entered fiscal 2022 with significantly lower inventories of its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resulting from the limited supply during the year ended December 25, 2021, it may be unable to offset future supply constraints through the use of inventory on hand. Since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the ADAS and AV products,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spacing w:after="0" w:line="297" w:lineRule="auto"/>
        <w:rPr>
          <w:sz w:val="20"/>
          <w:szCs w:val="20"/>
          <w:color w:val="auto"/>
        </w:rPr>
      </w:pPr>
      <w:r>
        <w:rPr>
          <w:rFonts w:ascii="Times New Roman" w:cs="Times New Roman" w:eastAsia="Times New Roman" w:hAnsi="Times New Roman"/>
          <w:sz w:val="18"/>
          <w:szCs w:val="18"/>
          <w:color w:val="auto"/>
        </w:rPr>
        <w:t>was no material impact on the Company’s combined balance sheet and the combined statements of operations and comprehensive income (loss) upon adoption.</w:t>
      </w:r>
    </w:p>
    <w:p>
      <w:pPr>
        <w:spacing w:after="0" w:line="80"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(“ASU”) No.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to simplify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years beginning on or after December 15, 2019. The Company adopted this guidance in the first quarter of 2020 with no material impact on these combined financial statements.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162"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356"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2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all years presented in these combined financial statements.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​249</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​362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$187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-1542415</wp:posOffset>
            </wp:positionV>
            <wp:extent cx="1371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1339"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expenses totaled $17 million, $13 million, and $ 11 million for the years ended December 25, 2021, December 26, 2020, and December 28, 2019, respectively.</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property and equipment and long-lived assets were located in Israel as of December 25, 2021 and December 26, 2020.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Royalty bearing agreements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$ 7 million, $5 million, and $6 million, respectively. These expenses were classified as a component of cost of revenue.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EMPLOYEE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Israel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48"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Part of the Company’s liability for severance pay is covered by the provisions of Section 14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Israeli Severance Pay Law (“Section 14”). Under Section 14, employees are entitled to monthly deposits, at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employee benefits</w:t>
      </w:r>
    </w:p>
    <w:p>
      <w:pPr>
        <w:spacing w:after="0" w:line="148" w:lineRule="exact"/>
        <w:rPr>
          <w:sz w:val="20"/>
          <w:szCs w:val="20"/>
          <w:color w:val="auto"/>
        </w:r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334"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328" w:lineRule="exact"/>
        <w:rPr>
          <w:sz w:val="20"/>
          <w:szCs w:val="20"/>
          <w:color w:val="auto"/>
        </w:rPr>
      </w:pPr>
    </w:p>
    <w:p>
      <w:pPr>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Non-Israeli Defined Contribution Plans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62" w:lineRule="exact"/>
        <w:rPr>
          <w:sz w:val="20"/>
          <w:szCs w:val="20"/>
          <w:color w:val="auto"/>
        </w:rPr>
      </w:pPr>
    </w:p>
    <w:p>
      <w:pPr>
        <w:ind w:left="1260" w:right="539" w:firstLine="360"/>
        <w:spacing w:after="0" w:line="297"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lease agreements for its main offices and vehicles.</w:t>
      </w:r>
    </w:p>
    <w:p>
      <w:pPr>
        <w:spacing w:after="0" w:line="8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05"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The balances for the operating leases are presented on the combined balance sheets in other long-term assets, other current liabilities and long-term liabilities were as follows:</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60" w:type="dxa"/>
            <w:vAlign w:val="bottom"/>
            <w:gridSpan w:val="2"/>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3"/>
                <w:szCs w:val="13"/>
                <w:color w:val="auto"/>
              </w:rPr>
            </w:pP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-147320</wp:posOffset>
            </wp:positionV>
            <wp:extent cx="1371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 portion of lease liabilities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797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​12</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​12</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​18</w:t>
            </w:r>
          </w:p>
        </w:tc>
        <w:tc>
          <w:tcPr>
            <w:tcW w:w="160" w:type="dxa"/>
            <w:vAlign w:val="bottom"/>
          </w:tcPr>
          <w:p>
            <w:pPr>
              <w:spacing w:after="0"/>
              <w:rPr>
                <w:sz w:val="20"/>
                <w:szCs w:val="20"/>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2859"/>
          </w:cols>
          <w:pgMar w:left="580" w:top="97" w:right="1440" w:bottom="1440" w:gutter="0" w:footer="0" w:header="0"/>
          <w:type w:val="continuous"/>
        </w:sectPr>
      </w:pPr>
    </w:p>
    <w:p>
      <w:pPr>
        <w:spacing w:after="0" w:line="38"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As of December 25, 2021 and December 26, 2020, the weighted average remaining lease term was 2.44 years and 2.99 years, respectively, and the weighted average discount rate was 1.77% and 1.58%, respectively.</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Maturities of future minimum lease payments as of December 25, 2021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gridSpan w:val="1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r>
              <w:rPr>
                <w:rFonts w:ascii="Times New Roman" w:cs="Times New Roman" w:eastAsia="Times New Roman" w:hAnsi="Times New Roman"/>
                <w:sz w:val="28"/>
                <w:szCs w:val="28"/>
                <w:b w:val="1"/>
                <w:bCs w:val="1"/>
                <w:color w:val="auto"/>
                <w:vertAlign w:val="subscript"/>
              </w:rPr>
              <w:t>​</w:t>
            </w: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w:t>
            </w:r>
          </w:p>
        </w:tc>
        <w:tc>
          <w:tcPr>
            <w:tcW w:w="1160" w:type="dxa"/>
            <w:vAlign w:val="bottom"/>
            <w:gridSpan w:val="6"/>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b w:val="1"/>
                <w:bCs w:val="1"/>
                <w:color w:val="auto"/>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-368300</wp:posOffset>
            </wp:positionV>
            <wp:extent cx="1371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-368300</wp:posOffset>
            </wp:positionV>
            <wp:extent cx="1371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-368300</wp:posOffset>
            </wp:positionV>
            <wp:extent cx="137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-368300</wp:posOffset>
            </wp:positionV>
            <wp:extent cx="137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-368300</wp:posOffset>
            </wp:positionV>
            <wp:extent cx="137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-368300</wp:posOffset>
            </wp:positionV>
            <wp:extent cx="1371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obtained the right to use land in Jerusalem from the Israeli government for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construction of a new research and development and innovation center that will also host the Company’s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headquarters. This land lease was fully prepaid and no leases liabilities were recorded. This operating lease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 of use asset is carried at cost and depreciated using the straight-line method. This operating lease right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use asset, net of depreciation, was $11 million and $11 million as of December, 25, 2021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26, 2020, respectively, and is included in other long-term assets on the combined balance sheets.</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EQUITY AWARDS</w:t>
      </w:r>
    </w:p>
    <w:p>
      <w:pPr>
        <w:spacing w:after="0" w:line="148"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96"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December 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were as follows:</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7"/>
                <w:vertAlign w:val="subscript"/>
              </w:rPr>
              <w:t>​</w:t>
            </w:r>
            <w:r>
              <w:rPr>
                <w:rFonts w:ascii="Times New Roman" w:cs="Times New Roman" w:eastAsia="Times New Roman" w:hAnsi="Times New Roman"/>
                <w:sz w:val="14"/>
                <w:szCs w:val="14"/>
                <w:b w:val="1"/>
                <w:bCs w:val="1"/>
                <w:color w:val="auto"/>
                <w:w w:val="97"/>
              </w:rPr>
              <w:t xml:space="preserve"> contractual life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2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​$13.0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23.9 – 26.9</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​26.9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31.9 – 34.0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58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​3,463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29.3</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-213995</wp:posOffset>
            </wp:positionV>
            <wp:extent cx="30861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-213995</wp:posOffset>
            </wp:positionV>
            <wp:extent cx="30861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2829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8"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option activity for the years ended December 25, 2021, December 26, 2020, and December 28, 2019 for options granted to Company’s employees for Intel’s common stock was as follows: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Aggregated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2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6"/>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29, 2018</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6,642</w:t>
            </w:r>
          </w:p>
        </w:tc>
        <w:tc>
          <w:tcPr>
            <w:tcW w:w="10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​$28.5 ​​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​55.2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28, 2019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​6,594</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29.1</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​23.4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as of December 26, 2020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​6,391</w:t>
            </w:r>
          </w:p>
        </w:tc>
        <w:tc>
          <w:tcPr>
            <w:tcW w:w="10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w:t>
            </w:r>
          </w:p>
        </w:tc>
        <w:tc>
          <w:tcPr>
            <w:tcW w:w="2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​3,578</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w:t>
            </w: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2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6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​3,463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-642620</wp:posOffset>
            </wp:positionV>
            <wp:extent cx="1111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-642620</wp:posOffset>
            </wp:positionV>
            <wp:extent cx="48691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-1722120</wp:posOffset>
            </wp:positionV>
            <wp:extent cx="1111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8691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24" w:lineRule="exact"/>
        <w:rPr>
          <w:sz w:val="20"/>
          <w:szCs w:val="20"/>
          <w:color w:val="auto"/>
        </w:rPr>
      </w:pPr>
    </w:p>
    <w:p>
      <w:pPr>
        <w:ind w:left="1620" w:right="759" w:hanging="360"/>
        <w:spacing w:after="0" w:line="258" w:lineRule="auto"/>
        <w:tabs>
          <w:tab w:leader="none" w:pos="1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61"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December 25, 2021 was 115 thousand options with an average weighted exercise price of $26.8.</w:t>
      </w: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years ended December 25, 2021, December 26, 2020, and December 28, 2019 for RSUs granted to Company’s employees for Intel’s common stock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RSUs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31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620" w:type="dxa"/>
        <w:tblCellMar>
          <w:top w:w="0" w:type="dxa"/>
          <w:left w:w="0" w:type="dxa"/>
          <w:bottom w:w="0" w:type="dxa"/>
          <w:right w:w="0" w:type="dxa"/>
        </w:tblCellMar>
      </w:tblP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29, 2018</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3,174</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​$41.15</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​49.22</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​41.28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​43.64</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28, 2019</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2,371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​$43.24</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3,628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​44.44</w:t>
            </w:r>
          </w:p>
        </w:tc>
      </w:tr>
      <w:tr>
        <w:trPr>
          <w:trHeight w:val="25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​41.98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​47.36</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26, 2020</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4,339</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​$44.63</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​47.76</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​44.05</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​46.38</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6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​5,278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$46.49</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2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-1216660</wp:posOffset>
            </wp:positionV>
            <wp:extent cx="4749165" cy="1631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25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714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-1550670</wp:posOffset>
            </wp:positionV>
            <wp:extent cx="4749165" cy="1714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46" w:lineRule="exact"/>
        <w:rPr>
          <w:sz w:val="20"/>
          <w:szCs w:val="20"/>
          <w:color w:val="auto"/>
        </w:rPr>
      </w:pPr>
    </w:p>
    <w:p>
      <w:pPr>
        <w:ind w:left="1260" w:right="280" w:firstLine="360"/>
        <w:spacing w:after="0" w:line="297" w:lineRule="auto"/>
        <w:rPr>
          <w:sz w:val="20"/>
          <w:szCs w:val="20"/>
          <w:color w:val="auto"/>
        </w:rPr>
      </w:pPr>
      <w:r>
        <w:rPr>
          <w:rFonts w:ascii="Times New Roman" w:cs="Times New Roman" w:eastAsia="Times New Roman" w:hAnsi="Times New Roman"/>
          <w:sz w:val="18"/>
          <w:szCs w:val="18"/>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43" w:lineRule="exact"/>
        <w:rPr>
          <w:sz w:val="20"/>
          <w:szCs w:val="20"/>
          <w:color w:val="auto"/>
        </w:rPr>
      </w:pPr>
    </w:p>
    <w:p>
      <w:pPr>
        <w:sectPr>
          <w:pgSz w:w="11900" w:h="16838" w:orient="portrait"/>
          <w:cols w:equalWidth="0" w:num="2">
            <w:col w:w="8800" w:space="280"/>
            <w:col w:w="799"/>
          </w:cols>
          <w:pgMar w:left="580" w:top="97" w:right="1440"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56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-873760</wp:posOffset>
            </wp:positionV>
            <wp:extent cx="4749165" cy="1631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-548005</wp:posOffset>
            </wp:positionV>
            <wp:extent cx="4749165" cy="1625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68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-1036320</wp:posOffset>
            </wp:positionV>
            <wp:extent cx="137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-1036320</wp:posOffset>
            </wp:positionV>
            <wp:extent cx="1371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ind w:left="1260" w:right="519" w:firstLine="360"/>
        <w:spacing w:after="0" w:line="285" w:lineRule="auto"/>
        <w:rPr>
          <w:sz w:val="20"/>
          <w:szCs w:val="20"/>
          <w:color w:val="auto"/>
        </w:rPr>
      </w:pPr>
      <w:r>
        <w:rPr>
          <w:rFonts w:ascii="Times New Roman" w:cs="Times New Roman" w:eastAsia="Times New Roman" w:hAnsi="Times New Roman"/>
          <w:sz w:val="18"/>
          <w:szCs w:val="18"/>
          <w:color w:val="auto"/>
        </w:rPr>
        <w:t>As of December 25, 2021, the unrecognized compensation costs related to stock options and RSUs granted under the 2006 Plan was $196 million, which will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Loss before income taxes included in the combined statements of operations and comprehensive income (loss)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before income taxes was comprised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3"/>
                <w:szCs w:val="23"/>
                <w:color w:val="auto"/>
              </w:rPr>
            </w:pPr>
          </w:p>
        </w:tc>
        <w:tc>
          <w:tcPr>
            <w:tcW w:w="6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​(267)</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right="1279"/>
        <w:spacing w:after="0" w:line="286" w:lineRule="auto"/>
        <w:rPr>
          <w:sz w:val="20"/>
          <w:szCs w:val="20"/>
          <w:color w:val="auto"/>
        </w:rPr>
      </w:pPr>
      <w:r>
        <w:rPr>
          <w:rFonts w:ascii="Times New Roman" w:cs="Times New Roman" w:eastAsia="Times New Roman" w:hAnsi="Times New Roman"/>
          <w:sz w:val="18"/>
          <w:szCs w:val="18"/>
          <w:b w:val="1"/>
          <w:bCs w:val="1"/>
          <w:color w:val="auto"/>
        </w:rPr>
        <w:t>Benefit (provision) on income included in the combined statements of operations and comprehensive income (loss)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 (provision) for income taxes for the years ended December 25, 2021, December 26, 2020,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28, 2019 was comprised of the following:</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60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​53</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​32</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$53</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 for income taxes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$16</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-2493645</wp:posOffset>
            </wp:positionV>
            <wp:extent cx="1371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-2493645</wp:posOffset>
            </wp:positionV>
            <wp:extent cx="13716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-1070610</wp:posOffset>
            </wp:positionV>
            <wp:extent cx="137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-1070610</wp:posOffset>
            </wp:positionV>
            <wp:extent cx="137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 reconciliation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benefit</w:t>
      </w:r>
    </w:p>
    <w:p>
      <w:pPr>
        <w:spacing w:after="0" w:line="27" w:lineRule="exact"/>
        <w:rPr>
          <w:sz w:val="20"/>
          <w:szCs w:val="20"/>
          <w:color w:val="auto"/>
        </w:rPr>
      </w:pPr>
    </w:p>
    <w:p>
      <w:pPr>
        <w:ind w:left="1260" w:right="679"/>
        <w:spacing w:after="0" w:line="276" w:lineRule="auto"/>
        <w:rPr>
          <w:sz w:val="20"/>
          <w:szCs w:val="20"/>
          <w:color w:val="auto"/>
        </w:rPr>
      </w:pPr>
      <w:r>
        <w:rPr>
          <w:rFonts w:ascii="Times New Roman" w:cs="Times New Roman" w:eastAsia="Times New Roman" w:hAnsi="Times New Roman"/>
          <w:sz w:val="18"/>
          <w:szCs w:val="18"/>
          <w:color w:val="auto"/>
        </w:rPr>
        <w:t>(provision) for income taxes as a percentage of loss before income taxes (effective tax rate) for each year was as follows:</w:t>
      </w:r>
    </w:p>
    <w:p>
      <w:pPr>
        <w:spacing w:after="0" w:line="13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current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deferred</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U.S. branch taxation of foreign operations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uncertain tax position, net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related adjustments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(31.6)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22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(0.9)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-1859280</wp:posOffset>
            </wp:positionV>
            <wp:extent cx="4749165" cy="1631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-1533525</wp:posOffset>
            </wp:positionV>
            <wp:extent cx="4749165" cy="1631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631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6319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-556260</wp:posOffset>
            </wp:positionV>
            <wp:extent cx="4749165" cy="16256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-2022475</wp:posOffset>
            </wp:positionV>
            <wp:extent cx="1371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-2022475</wp:posOffset>
            </wp:positionV>
            <wp:extent cx="137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we could not benefit from due to a valuation allowance position. This resulted in a residual tax expense associated with a deferred tax liability recorded for goodwill.</w:t>
      </w:r>
    </w:p>
    <w:p>
      <w:pPr>
        <w:spacing w:after="0" w:line="105"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1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deferred tax liabilities were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319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Provisions for employee benefits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80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​198</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4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​105</w:t>
            </w:r>
          </w:p>
        </w:tc>
        <w:tc>
          <w:tcPr>
            <w:tcW w:w="1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​391</w:t>
            </w:r>
          </w:p>
        </w:tc>
        <w:tc>
          <w:tcPr>
            <w:tcW w:w="14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​162</w:t>
            </w:r>
          </w:p>
        </w:tc>
        <w:tc>
          <w:tcPr>
            <w:tcW w:w="14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​(181)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​(152)</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​(333)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899"/>
          </w:cols>
          <w:pgMar w:left="580" w:top="97" w:right="1440" w:bottom="1440" w:gutter="0" w:footer="0" w:header="0"/>
          <w:type w:val="continuous"/>
        </w:sectPr>
      </w:pPr>
    </w:p>
    <w:p>
      <w:pPr>
        <w:spacing w:after="0" w:line="11"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 for deferred tax assets were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 net operating loss carryforwards of $275 million for the year ended December 25, 2021, which were generated in a separate tax return years before becoming eligible for consolidation with Intel (separate return losses) on July 17, 2021.</w:t>
      </w:r>
    </w:p>
    <w:p>
      <w:pPr>
        <w:spacing w:after="0" w:line="324"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95"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58" w:lineRule="auto"/>
        <w:rPr>
          <w:sz w:val="20"/>
          <w:szCs w:val="20"/>
          <w:color w:val="auto"/>
        </w:rPr>
      </w:pPr>
      <w:r>
        <w:rPr>
          <w:rFonts w:ascii="Times New Roman" w:cs="Times New Roman" w:eastAsia="Times New Roman" w:hAnsi="Times New Roman"/>
          <w:sz w:val="18"/>
          <w:szCs w:val="18"/>
          <w:color w:val="auto"/>
        </w:rPr>
        <w:t>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25, 2021 and December 26, 2020, the Company had accrued $1 million and</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17"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All the balance of unrecognized tax benefits, if recognized, would reduce the Company’s annual effective tax rate.</w:t>
      </w:r>
    </w:p>
    <w:p>
      <w:pPr>
        <w:spacing w:after="0" w:line="95"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14"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The Company files income tax returns in the U.S., Israel, and in other certain foreign jurisdictions. The Company is no longer subject to U.S. and Israeli tax examinations for years prior to 2018 and 2016, respectively.</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RELATED PARTY TRANSACTIONS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Conversion Arrangements for Purposes of Funding Acquisitions</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the maturity date was extended to December 2022.</w:t>
      </w:r>
    </w:p>
    <w:p>
      <w:pPr>
        <w:spacing w:after="0" w:line="102" w:lineRule="exact"/>
        <w:rPr>
          <w:sz w:val="20"/>
          <w:szCs w:val="20"/>
          <w:color w:val="auto"/>
        </w:rPr>
      </w:pPr>
    </w:p>
    <w:p>
      <w:pPr>
        <w:ind w:left="1260" w:right="1119" w:firstLine="360"/>
        <w:spacing w:after="0" w:line="261"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2021, the Company and Intel entered into a bilateral lending/borrowing arrangement</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(“Arrangement 3”) to make cash available to either party up to an aggregate principal amount of</w:t>
      </w:r>
    </w:p>
    <w:p>
      <w:pPr>
        <w:spacing w:after="0" w:line="9"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1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of the aforementioned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4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6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46"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BUSINESS COMBINATION</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32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Pro forma information has not been included for the Moovit Acquisition given the insignificant impact on the Company’s results of operation for the years ended December 26, 2020 and December 28, 2019.</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135"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 ​</w:t>
            </w:r>
          </w:p>
        </w:tc>
        <w:tc>
          <w:tcPr>
            <w:tcW w:w="660" w:type="dxa"/>
            <w:vAlign w:val="bottom"/>
            <w:tcBorders>
              <w:bottom w:val="single" w:sz="8" w:color="auto"/>
            </w:tcBorders>
            <w:gridSpan w:val="3"/>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Mobileye</w:t>
            </w:r>
          </w:p>
        </w:tc>
        <w:tc>
          <w:tcPr>
            <w:tcW w:w="2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2"/>
                <w:szCs w:val="22"/>
                <w:color w:val="auto"/>
              </w:rPr>
            </w:pPr>
          </w:p>
        </w:tc>
        <w:tc>
          <w:tcPr>
            <w:tcW w:w="8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​$493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​$10,784</w:t>
            </w:r>
          </w:p>
        </w:tc>
        <w:tc>
          <w:tcPr>
            <w:tcW w:w="340" w:type="dxa"/>
            <w:vAlign w:val="bottom"/>
            <w:tcBorders>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111</w:t>
            </w:r>
          </w:p>
        </w:tc>
        <w:tc>
          <w:tcPr>
            <w:tcW w:w="40" w:type="dxa"/>
            <w:vAlign w:val="bottom"/>
          </w:tcPr>
          <w:p>
            <w:pPr>
              <w:spacing w:after="0"/>
              <w:rPr>
                <w:sz w:val="23"/>
                <w:szCs w:val="23"/>
                <w:color w:val="auto"/>
              </w:rPr>
            </w:pP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7"/>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11 IDENTIFIED INTANGIBLE 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 2020</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8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40" w:type="dxa"/>
            <w:vAlign w:val="bottom"/>
          </w:tcPr>
          <w:p>
            <w:pPr>
              <w:spacing w:after="0"/>
              <w:rPr>
                <w:sz w:val="18"/>
                <w:szCs w:val="18"/>
                <w:color w:val="auto"/>
              </w:rPr>
            </w:pPr>
          </w:p>
        </w:tc>
        <w:tc>
          <w:tcPr>
            <w:tcW w:w="10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2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p>
        </w:tc>
        <w:tc>
          <w:tcPr>
            <w:tcW w:w="16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​​$3,991​​ ​</w:t>
            </w:r>
          </w:p>
        </w:tc>
        <w:tc>
          <w:tcPr>
            <w:tcW w:w="760" w:type="dxa"/>
            <w:vAlign w:val="bottom"/>
            <w:gridSpan w:val="6"/>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shd w:val="clear" w:color="auto" w:fill="CCEEFF"/>
          </w:tcPr>
          <w:p>
            <w:pPr>
              <w:spacing w:after="0"/>
              <w:rPr>
                <w:sz w:val="19"/>
                <w:szCs w:val="19"/>
                <w:color w:val="auto"/>
              </w:rPr>
            </w:pPr>
          </w:p>
        </w:tc>
        <w:tc>
          <w:tcPr>
            <w:tcW w:w="10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​​$3,091​​ ​</w:t>
            </w: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​$2,091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and</w:t>
            </w:r>
          </w:p>
        </w:tc>
        <w:tc>
          <w:tcPr>
            <w:tcW w:w="940" w:type="dxa"/>
            <w:vAlign w:val="bottom"/>
            <w:gridSpan w:val="6"/>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831​​ ​</w:t>
            </w:r>
          </w:p>
        </w:tc>
        <w:tc>
          <w:tcPr>
            <w:tcW w:w="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44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brands</w:t>
            </w:r>
          </w:p>
        </w:tc>
        <w:tc>
          <w:tcPr>
            <w:tcW w:w="940" w:type="dxa"/>
            <w:vAlign w:val="bottom"/>
            <w:gridSpan w:val="6"/>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500" w:type="dxa"/>
            <w:vAlign w:val="bottom"/>
            <w:gridSpan w:val="4"/>
            <w:vMerge w:val="continue"/>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vMerge w:val="continue"/>
            <w:shd w:val="clear" w:color="auto" w:fill="CCEEFF"/>
          </w:tcPr>
          <w:p>
            <w:pPr>
              <w:spacing w:after="0"/>
              <w:rPr>
                <w:sz w:val="20"/>
                <w:szCs w:val="20"/>
                <w:color w:val="auto"/>
              </w:rPr>
            </w:pPr>
          </w:p>
        </w:tc>
        <w:tc>
          <w:tcPr>
            <w:tcW w:w="320" w:type="dxa"/>
            <w:vAlign w:val="bottom"/>
            <w:tcBorders>
              <w:right w:val="single" w:sz="8" w:color="CCEEFF"/>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5"/>
            <w:vMerge w:val="continue"/>
            <w:shd w:val="clear" w:color="auto" w:fill="CCEEFF"/>
          </w:tcPr>
          <w:p>
            <w:pPr>
              <w:spacing w:after="0"/>
              <w:rPr>
                <w:sz w:val="20"/>
                <w:szCs w:val="20"/>
                <w:color w:val="auto"/>
              </w:rPr>
            </w:pPr>
          </w:p>
        </w:tc>
        <w:tc>
          <w:tcPr>
            <w:tcW w:w="560" w:type="dxa"/>
            <w:vAlign w:val="bottom"/>
            <w:gridSpan w:val="4"/>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3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760" w:type="dxa"/>
            <w:vAlign w:val="bottom"/>
            <w:gridSpan w:val="6"/>
          </w:tcPr>
          <w:p>
            <w:pPr>
              <w:jc w:val="right"/>
              <w:ind w:right="75"/>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80" w:type="dxa"/>
            <w:vAlign w:val="bottom"/>
          </w:tcPr>
          <w:p>
            <w:pPr>
              <w:spacing w:after="0"/>
              <w:rPr>
                <w:sz w:val="22"/>
                <w:szCs w:val="22"/>
                <w:color w:val="auto"/>
              </w:rPr>
            </w:pPr>
          </w:p>
        </w:tc>
        <w:tc>
          <w:tcPr>
            <w:tcW w:w="1000" w:type="dxa"/>
            <w:vAlign w:val="bottom"/>
            <w:gridSpan w:val="9"/>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160" w:type="dxa"/>
            <w:vAlign w:val="bottom"/>
          </w:tcPr>
          <w:p>
            <w:pPr>
              <w:spacing w:after="0"/>
              <w:rPr>
                <w:sz w:val="22"/>
                <w:szCs w:val="22"/>
                <w:color w:val="auto"/>
              </w:rPr>
            </w:pPr>
          </w:p>
        </w:tc>
        <w:tc>
          <w:tcPr>
            <w:tcW w:w="640" w:type="dxa"/>
            <w:vAlign w:val="bottom"/>
            <w:gridSpan w:val="4"/>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6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-2125345</wp:posOffset>
            </wp:positionV>
            <wp:extent cx="8572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474916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-2622550</wp:posOffset>
            </wp:positionV>
            <wp:extent cx="1371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-2622550</wp:posOffset>
            </wp:positionV>
            <wp:extent cx="1371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-2622550</wp:posOffset>
            </wp:positionV>
            <wp:extent cx="1371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-2622550</wp:posOffset>
            </wp:positionV>
            <wp:extent cx="1371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-1104900</wp:posOffset>
            </wp:positionV>
            <wp:extent cx="1371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-1104900</wp:posOffset>
            </wp:positionV>
            <wp:extent cx="137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-1104900</wp:posOffset>
            </wp:positionV>
            <wp:extent cx="1371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-1104900</wp:posOffset>
            </wp:positionV>
            <wp:extent cx="1371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-1104900</wp:posOffset>
            </wp:positionV>
            <wp:extent cx="12890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05"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3"/>
                <w:szCs w:val="13"/>
                <w:color w:val="auto"/>
              </w:rPr>
            </w:pPr>
          </w:p>
        </w:tc>
        <w:tc>
          <w:tcPr>
            <w:tcW w:w="82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60" w:type="dxa"/>
            <w:vAlign w:val="bottom"/>
          </w:tcPr>
          <w:p>
            <w:pPr>
              <w:spacing w:after="0"/>
              <w:rPr>
                <w:sz w:val="13"/>
                <w:szCs w:val="13"/>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-711200</wp:posOffset>
            </wp:positionV>
            <wp:extent cx="13716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-711200</wp:posOffset>
            </wp:positionV>
            <wp:extent cx="1371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-711200</wp:posOffset>
            </wp:positionV>
            <wp:extent cx="13716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tbl>
      <w:tblPr>
        <w:tblLayout w:type="fixed"/>
        <w:tblInd w:w="1260" w:type="dxa"/>
        <w:tblCellMar>
          <w:top w:w="0" w:type="dxa"/>
          <w:left w:w="0" w:type="dxa"/>
          <w:bottom w:w="0" w:type="dxa"/>
          <w:right w:w="0" w:type="dxa"/>
        </w:tblCellMar>
      </w:tblPr>
      <w:tr>
        <w:trPr>
          <w:trHeight w:val="378"/>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4480" w:type="dxa"/>
            <w:vAlign w:val="bottom"/>
            <w:gridSpan w:val="17"/>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544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3,071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-367665</wp:posOffset>
            </wp:positionV>
            <wp:extent cx="1371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-367665</wp:posOffset>
            </wp:positionV>
            <wp:extent cx="13716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-367665</wp:posOffset>
            </wp:positionV>
            <wp:extent cx="137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-367665</wp:posOffset>
            </wp:positionV>
            <wp:extent cx="1371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-367665</wp:posOffset>
            </wp:positionV>
            <wp:extent cx="137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-367665</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1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0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segment results for each year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25, 2021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right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​$1,363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419</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​39​​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48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499</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(509)</w:t>
            </w:r>
          </w:p>
        </w:tc>
        <w:tc>
          <w:tcPr>
            <w:tcW w:w="5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(57)</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4"/>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gridSpan w:val="4"/>
          </w:tcPr>
          <w:p>
            <w:pPr>
              <w:ind w:left="6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97 </w:t>
            </w:r>
            <w:r>
              <w:rPr>
                <w:rFonts w:ascii="Times New Roman" w:cs="Times New Roman" w:eastAsia="Times New Roman" w:hAnsi="Times New Roman"/>
                <w:sz w:val="26"/>
                <w:szCs w:val="26"/>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gridSpan w:val="4"/>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26,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​221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368</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​417</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26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28</w:t>
            </w:r>
          </w:p>
        </w:tc>
        <w:tc>
          <w:tcPr>
            <w:tcW w:w="420" w:type="dxa"/>
            <w:vAlign w:val="bottom"/>
            <w:gridSpan w:val="2"/>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264</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(450)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82</w:t>
            </w:r>
          </w:p>
        </w:tc>
        <w:tc>
          <w:tcPr>
            <w:tcW w:w="420" w:type="dxa"/>
            <w:vAlign w:val="bottom"/>
            <w:gridSpan w:val="2"/>
          </w:tcPr>
          <w:p>
            <w:pPr>
              <w:jc w:val="right"/>
              <w:ind w:right="4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8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13</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-4919980</wp:posOffset>
            </wp:positionV>
            <wp:extent cx="1371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-4919980</wp:posOffset>
            </wp:positionV>
            <wp:extent cx="137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-4919980</wp:posOffset>
            </wp:positionV>
            <wp:extent cx="137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-2133600</wp:posOffset>
            </wp:positionV>
            <wp:extent cx="137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-2133600</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-2133600</wp:posOffset>
            </wp:positionV>
            <wp:extent cx="137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28, 2019</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​$879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261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​456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​384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241</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 ​</w:t>
            </w:r>
          </w:p>
        </w:tc>
        <w:tc>
          <w:tcPr>
            <w:tcW w:w="780" w:type="dxa"/>
            <w:vAlign w:val="bottom"/>
            <w:gridSpan w:val="4"/>
          </w:tcPr>
          <w:p>
            <w:pPr>
              <w:ind w:left="1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(327)</w:t>
            </w:r>
          </w:p>
        </w:tc>
        <w:tc>
          <w:tcPr>
            <w:tcW w:w="9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 (86)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with a related party</w:t>
            </w:r>
          </w:p>
        </w:tc>
        <w:tc>
          <w:tcPr>
            <w:tcW w:w="1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​(235)</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xml:space="preserve"> ​(325)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76</w:t>
            </w:r>
          </w:p>
        </w:tc>
        <w:tc>
          <w:tcPr>
            <w:tcW w:w="940" w:type="dxa"/>
            <w:vAlign w:val="bottom"/>
            <w:tcBorders>
              <w:top w:val="single" w:sz="8" w:color="CCEEFF"/>
              <w:bottom w:val="single" w:sz="8" w:color="CCEEFF"/>
            </w:tcBorders>
            <w:gridSpan w:val="3"/>
            <w:vMerge w:val="restart"/>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3"/>
                <w:szCs w:val="23"/>
                <w:color w:val="auto"/>
                <w:vertAlign w:val="superscript"/>
              </w:rPr>
              <w:t>​</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 11</w:t>
            </w:r>
          </w:p>
        </w:tc>
        <w:tc>
          <w:tcPr>
            <w:tcW w:w="38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-1910715</wp:posOffset>
            </wp:positionV>
            <wp:extent cx="1371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-1910715</wp:posOffset>
            </wp:positionV>
            <wp:extent cx="137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-1910715</wp:posOffset>
            </wp:positionV>
            <wp:extent cx="137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74</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​171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75</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-205105</wp:posOffset>
            </wp:positionV>
            <wp:extent cx="15430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6308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-1490980</wp:posOffset>
            </wp:positionV>
            <wp:extent cx="13716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-1490980</wp:posOffset>
            </wp:positionV>
            <wp:extent cx="13716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6" w:lineRule="exact"/>
        <w:rPr>
          <w:sz w:val="20"/>
          <w:szCs w:val="20"/>
          <w:color w:val="auto"/>
        </w:rPr>
      </w:pPr>
    </w:p>
    <w:p>
      <w:pPr>
        <w:ind w:left="1260" w:right="839" w:firstLine="360"/>
        <w:spacing w:after="0" w:line="231"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OEM customers through Tier 1 suppliers. Revenue generated by other product types was deemed to be not material.</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major customers</w:t>
            </w: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vMerge w:val="continue"/>
            <w:shd w:val="clear" w:color="auto" w:fill="CCEEFF"/>
          </w:tcPr>
          <w:p>
            <w:pPr>
              <w:spacing w:after="0"/>
              <w:rPr>
                <w:sz w:val="22"/>
                <w:szCs w:val="22"/>
                <w:color w:val="auto"/>
              </w:rPr>
            </w:pP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-1062355</wp:posOffset>
            </wp:positionV>
            <wp:extent cx="13716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-1062355</wp:posOffset>
            </wp:positionV>
            <wp:extent cx="353187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19"/>
                <w:szCs w:val="19"/>
                <w:color w:val="auto"/>
              </w:rPr>
            </w:pPr>
          </w:p>
        </w:tc>
        <w:tc>
          <w:tcPr>
            <w:tcW w:w="1180" w:type="dxa"/>
            <w:vAlign w:val="bottom"/>
            <w:gridSpan w:val="3"/>
          </w:tcPr>
          <w:p>
            <w:pPr>
              <w:jc w:val="center"/>
              <w:ind w:right="63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Borders>
              <w:top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accounts receivable balance</w:t>
            </w:r>
          </w:p>
        </w:tc>
        <w:tc>
          <w:tcPr>
            <w:tcW w:w="12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40" w:type="dxa"/>
            <w:vAlign w:val="bottom"/>
          </w:tcPr>
          <w:p>
            <w:pPr>
              <w:spacing w:after="0"/>
              <w:rPr>
                <w:sz w:val="14"/>
                <w:szCs w:val="14"/>
                <w:color w:val="auto"/>
              </w:rPr>
            </w:pPr>
          </w:p>
        </w:tc>
      </w:tr>
      <w:tr>
        <w:trPr>
          <w:trHeight w:val="21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4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-164465</wp:posOffset>
            </wp:positionV>
            <wp:extent cx="137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Inventories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2400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2317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212080" cy="231775"/>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774​​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214​​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901​​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1,326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56</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5"/>
          </w:tcPr>
          <w:p>
            <w:pPr>
              <w:jc w:val="right"/>
              <w:ind w:right="59"/>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perscript"/>
              </w:rPr>
              <w:t>​ 2,043</w:t>
            </w:r>
            <w:r>
              <w:rPr>
                <w:rFonts w:ascii="Times New Roman" w:cs="Times New Roman" w:eastAsia="Times New Roman" w:hAnsi="Times New Roman"/>
                <w:sz w:val="16"/>
                <w:szCs w:val="16"/>
                <w:b w:val="1"/>
                <w:bCs w:val="1"/>
                <w:color w:val="auto"/>
              </w:rPr>
              <w:t>​​ ​</w:t>
            </w: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338​​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 2,789​​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3,071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​10,895​​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​10,895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97</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gridSpan w:val="5"/>
          </w:tcPr>
          <w:p>
            <w:pPr>
              <w:jc w:val="right"/>
              <w:ind w:right="59"/>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16,162</w:t>
            </w:r>
            <w:r>
              <w:rPr>
                <w:rFonts w:ascii="Times New Roman" w:cs="Times New Roman" w:eastAsia="Times New Roman" w:hAnsi="Times New Roman"/>
                <w:sz w:val="28"/>
                <w:szCs w:val="28"/>
                <w:b w:val="1"/>
                <w:bCs w:val="1"/>
                <w:color w:val="auto"/>
                <w:vertAlign w:val="subscript"/>
              </w:rPr>
              <w:t>​​ ​</w:t>
            </w:r>
          </w:p>
        </w:tc>
        <w:tc>
          <w:tcPr>
            <w:tcW w:w="6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0"/>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973​​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 3,509​​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00" w:type="dxa"/>
            <w:vAlign w:val="bottom"/>
            <w:gridSpan w:val="2"/>
          </w:tcPr>
          <w:p>
            <w:pPr>
              <w:jc w:val="right"/>
              <w:ind w:right="59"/>
              <w:spacing w:after="0" w:line="247" w:lineRule="exact"/>
              <w:rPr>
                <w:sz w:val="20"/>
                <w:szCs w:val="20"/>
                <w:color w:val="auto"/>
              </w:rPr>
            </w:pPr>
            <w:r>
              <w:rPr>
                <w:rFonts w:ascii="Times New Roman" w:cs="Times New Roman" w:eastAsia="Times New Roman" w:hAnsi="Times New Roman"/>
                <w:sz w:val="28"/>
                <w:szCs w:val="28"/>
                <w:color w:val="auto"/>
                <w:vertAlign w:val="superscript"/>
              </w:rPr>
              <w:t>45</w:t>
            </w:r>
            <w:r>
              <w:rPr>
                <w:rFonts w:ascii="Times New Roman" w:cs="Times New Roman" w:eastAsia="Times New Roman" w:hAnsi="Times New Roman"/>
                <w:sz w:val="15"/>
                <w:szCs w:val="15"/>
                <w:color w:val="auto"/>
              </w:rPr>
              <w:t>​​ ​</w:t>
            </w:r>
          </w:p>
        </w:tc>
        <w:tc>
          <w:tcPr>
            <w:tcW w:w="2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5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 xml:space="preserve"> ​ 4,730</w:t>
            </w:r>
            <w:r>
              <w:rPr>
                <w:rFonts w:ascii="Times New Roman" w:cs="Times New Roman" w:eastAsia="Times New Roman" w:hAnsi="Times New Roman"/>
                <w:sz w:val="32"/>
                <w:szCs w:val="32"/>
                <w:b w:val="1"/>
                <w:bCs w:val="1"/>
                <w:color w:val="auto"/>
                <w:vertAlign w:val="subscript"/>
              </w:rPr>
              <w:t>​​ ​</w:t>
            </w:r>
          </w:p>
        </w:tc>
        <w:tc>
          <w:tcPr>
            <w:tcW w:w="240" w:type="dxa"/>
            <w:vAlign w:val="bottom"/>
            <w:gridSpan w:val="2"/>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172​​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00" w:type="dxa"/>
            <w:vAlign w:val="bottom"/>
            <w:gridSpan w:val="2"/>
          </w:tcPr>
          <w:p>
            <w:pPr>
              <w:jc w:val="right"/>
              <w:ind w:right="59"/>
              <w:spacing w:after="0" w:line="256" w:lineRule="exact"/>
              <w:rPr>
                <w:sz w:val="20"/>
                <w:szCs w:val="20"/>
                <w:color w:val="auto"/>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6"/>
                <w:szCs w:val="16"/>
                <w:color w:val="auto"/>
              </w:rPr>
              <w:t>​​ ​</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32"/>
                <w:szCs w:val="32"/>
                <w:b w:val="1"/>
                <w:bCs w:val="1"/>
                <w:color w:val="auto"/>
                <w:vertAlign w:val="superscript"/>
              </w:rPr>
              <w:t>​ 4,963</w:t>
            </w:r>
            <w:r>
              <w:rPr>
                <w:rFonts w:ascii="Times New Roman" w:cs="Times New Roman" w:eastAsia="Times New Roman" w:hAnsi="Times New Roman"/>
                <w:sz w:val="17"/>
                <w:szCs w:val="17"/>
                <w:b w:val="1"/>
                <w:bCs w:val="1"/>
                <w:color w:val="auto"/>
              </w:rPr>
              <w:t>​​ ​</w:t>
            </w:r>
          </w:p>
        </w:tc>
        <w:tc>
          <w:tcPr>
            <w:tcW w:w="24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160" w:type="dxa"/>
            <w:vAlign w:val="bottom"/>
            <w:gridSpan w:val="5"/>
          </w:tcPr>
          <w:p>
            <w:pPr>
              <w:jc w:val="right"/>
              <w:ind w:right="59"/>
              <w:spacing w:after="0"/>
              <w:rPr>
                <w:sz w:val="20"/>
                <w:szCs w:val="20"/>
                <w:color w:val="auto"/>
              </w:rPr>
            </w:pPr>
            <w:r>
              <w:rPr>
                <w:rFonts w:ascii="Times New Roman" w:cs="Times New Roman" w:eastAsia="Times New Roman" w:hAnsi="Times New Roman"/>
                <w:sz w:val="18"/>
                <w:szCs w:val="18"/>
                <w:color w:val="auto"/>
              </w:rPr>
              <w:t>​ ​​ ​11,223​​ ​</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​15,884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9"/>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jc w:val="right"/>
              <w:ind w:right="59"/>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​11,199</w:t>
            </w:r>
            <w:r>
              <w:rPr>
                <w:rFonts w:ascii="Times New Roman" w:cs="Times New Roman" w:eastAsia="Times New Roman" w:hAnsi="Times New Roman"/>
                <w:sz w:val="32"/>
                <w:szCs w:val="32"/>
                <w:color w:val="auto"/>
                <w:vertAlign w:val="subscript"/>
              </w:rPr>
              <w:t>​​ ​</w:t>
            </w:r>
          </w:p>
        </w:tc>
        <w:tc>
          <w:tcPr>
            <w:tcW w:w="60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16,162</w:t>
            </w:r>
            <w:r>
              <w:rPr>
                <w:rFonts w:ascii="Times New Roman" w:cs="Times New Roman" w:eastAsia="Times New Roman" w:hAnsi="Times New Roman"/>
                <w:sz w:val="30"/>
                <w:szCs w:val="30"/>
                <w:b w:val="1"/>
                <w:bCs w:val="1"/>
                <w:color w:val="auto"/>
                <w:vertAlign w:val="subscript"/>
              </w:rPr>
              <w:t>​​ ​</w:t>
            </w:r>
          </w:p>
        </w:tc>
        <w:tc>
          <w:tcPr>
            <w:tcW w:w="6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22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CONDENSED COMBINED STATEMENTS OF OPERATIONS AND COMPREHENSIVE INCOME (LOSS)</w:t>
      </w:r>
    </w:p>
    <w:p>
      <w:pPr>
        <w:spacing w:after="0" w:line="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r>
      <w:tr>
        <w:trPr>
          <w:trHeight w:val="171"/>
        </w:trPr>
        <w:tc>
          <w:tcPr>
            <w:tcW w:w="3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40" w:type="dxa"/>
            <w:vAlign w:val="bottom"/>
          </w:tcPr>
          <w:p>
            <w:pPr>
              <w:spacing w:after="0"/>
              <w:rPr>
                <w:sz w:val="14"/>
                <w:szCs w:val="14"/>
                <w:color w:val="auto"/>
              </w:rPr>
            </w:pPr>
          </w:p>
        </w:tc>
      </w:tr>
      <w:tr>
        <w:trPr>
          <w:trHeight w:val="214"/>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ind w:lef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24"/>
                <w:szCs w:val="24"/>
                <w:b w:val="1"/>
                <w:bCs w:val="1"/>
                <w:color w:val="auto"/>
                <w:vertAlign w:val="subscript"/>
              </w:rPr>
              <w:t>​ ​</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-164465</wp:posOffset>
            </wp:positionV>
            <wp:extent cx="13716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expenses with related party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​$854 ​​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​449</w:t>
            </w:r>
            <w:r>
              <w:rPr>
                <w:rFonts w:ascii="Times New Roman" w:cs="Times New Roman" w:eastAsia="Times New Roman" w:hAnsi="Times New Roman"/>
                <w:sz w:val="15"/>
                <w:szCs w:val="15"/>
                <w:color w:val="auto"/>
              </w:rPr>
              <w:t xml:space="preserve"> ​​ ​</w:t>
            </w:r>
          </w:p>
        </w:tc>
        <w:tc>
          <w:tcPr>
            <w:tcW w:w="3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​356</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​405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​348</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​359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​258</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64 ​​ ​</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65 </w:t>
            </w: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18</w:t>
            </w:r>
            <w:r>
              <w:rPr>
                <w:rFonts w:ascii="Times New Roman" w:cs="Times New Roman" w:eastAsia="Times New Roman" w:hAnsi="Times New Roman"/>
                <w:sz w:val="15"/>
                <w:szCs w:val="15"/>
                <w:color w:val="auto"/>
              </w:rPr>
              <w:t xml:space="preserve"> ​​ ​</w:t>
            </w:r>
          </w:p>
        </w:tc>
        <w:tc>
          <w:tcPr>
            <w:tcW w:w="3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18</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8"/>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​441 ​​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​341</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​(36)​​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4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5</w:t>
            </w:r>
            <w:r>
              <w:rPr>
                <w:rFonts w:ascii="Times New Roman" w:cs="Times New Roman" w:eastAsia="Times New Roman" w:hAnsi="Times New Roman"/>
                <w:sz w:val="15"/>
                <w:szCs w:val="15"/>
                <w:color w:val="auto"/>
              </w:rPr>
              <w:t xml:space="preserve"> ​​ ​</w:t>
            </w:r>
          </w:p>
        </w:tc>
        <w:tc>
          <w:tcPr>
            <w:tcW w:w="5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​(36)​​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​(31)</w:t>
            </w:r>
            <w:r>
              <w:rPr>
                <w:rFonts w:ascii="Times New Roman" w:cs="Times New Roman" w:eastAsia="Times New Roman" w:hAnsi="Times New Roman"/>
                <w:sz w:val="15"/>
                <w:szCs w:val="15"/>
                <w:color w:val="auto"/>
              </w:rPr>
              <w:t>​​ ​</w:t>
            </w:r>
          </w:p>
        </w:tc>
        <w:tc>
          <w:tcPr>
            <w:tcW w:w="50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(5)</w:t>
            </w:r>
            <w:r>
              <w:rPr>
                <w:rFonts w:ascii="Times New Roman" w:cs="Times New Roman" w:eastAsia="Times New Roman" w:hAnsi="Times New Roman"/>
                <w:sz w:val="28"/>
                <w:szCs w:val="28"/>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 (67)​​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​(29)</w:t>
            </w:r>
            <w:r>
              <w:rPr>
                <w:rFonts w:ascii="Times New Roman" w:cs="Times New Roman" w:eastAsia="Times New Roman" w:hAnsi="Times New Roman"/>
                <w:sz w:val="15"/>
                <w:szCs w:val="15"/>
                <w:color w:val="auto"/>
              </w:rPr>
              <w:t>​​ ​</w:t>
            </w:r>
          </w:p>
        </w:tc>
        <w:tc>
          <w:tcPr>
            <w:tcW w:w="20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 (96)</w:t>
            </w:r>
            <w:r>
              <w:rPr>
                <w:rFonts w:ascii="Times New Roman" w:cs="Times New Roman" w:eastAsia="Times New Roman" w:hAnsi="Times New Roman"/>
                <w:sz w:val="16"/>
                <w:szCs w:val="16"/>
                <w:b w:val="1"/>
                <w:bCs w:val="1"/>
                <w:color w:val="auto"/>
              </w:rPr>
              <w:t>​​ ​</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6 </w:t>
            </w:r>
            <w:r>
              <w:rPr>
                <w:rFonts w:ascii="Times New Roman" w:cs="Times New Roman" w:eastAsia="Times New Roman" w:hAnsi="Times New Roman"/>
                <w:sz w:val="30"/>
                <w:szCs w:val="30"/>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17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Parent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Equity</w:t>
            </w:r>
            <w:r>
              <w:rPr>
                <w:rFonts w:ascii="Times New Roman" w:cs="Times New Roman" w:eastAsia="Times New Roman" w:hAnsi="Times New Roman"/>
                <w:sz w:val="24"/>
                <w:szCs w:val="24"/>
                <w:b w:val="1"/>
                <w:bCs w:val="1"/>
                <w:color w:val="auto"/>
                <w:vertAlign w:val="subscript"/>
              </w:rPr>
              <w:t>​</w:t>
            </w:r>
          </w:p>
        </w:tc>
      </w:tr>
      <w:tr>
        <w:trPr>
          <w:trHeight w:val="24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-164465</wp:posOffset>
            </wp:positionV>
            <wp:extent cx="137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-164465</wp:posOffset>
            </wp:positionV>
            <wp:extent cx="1371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comprehensive income (loss),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Equity transaction in connection with the legal purchase of Moovit entities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distribution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sharing agreement with Parent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 ​ ​ ​</w:t>
      </w:r>
      <w:r>
        <w:rPr>
          <w:sz w:val="20"/>
          <w:szCs w:val="20"/>
          <w:color w:val="auto"/>
        </w:rPr>
        <w:tab/>
      </w: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​$15,884 ​​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​(3,500)​​ ​</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 ​</w:t>
        <w:tab/>
        <w:t>​</w:t>
      </w:r>
    </w:p>
    <w:p>
      <w:pPr>
        <w:spacing w:after="0" w:line="3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w:t>
        <w:tab/>
        <w:t>5</w:t>
      </w:r>
    </w:p>
    <w:p>
      <w:pPr>
        <w:spacing w:after="0" w:line="50" w:lineRule="exact"/>
        <w:rPr>
          <w:sz w:val="20"/>
          <w:szCs w:val="20"/>
          <w:color w:val="auto"/>
        </w:rPr>
      </w:pPr>
    </w:p>
    <w:p>
      <w:pPr>
        <w:ind w:left="100" w:hanging="96"/>
        <w:spacing w:after="0"/>
        <w:tabs>
          <w:tab w:leader="none" w:pos="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49"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243"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63"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58"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49" w:lineRule="exact"/>
        <w:rPr>
          <w:rFonts w:ascii="Times New Roman" w:cs="Times New Roman" w:eastAsia="Times New Roman" w:hAnsi="Times New Roman"/>
          <w:sz w:val="18"/>
          <w:szCs w:val="18"/>
          <w:color w:val="auto"/>
        </w:rPr>
      </w:pPr>
    </w:p>
    <w:p>
      <w:pPr>
        <w:ind w:left="100" w:hanging="96"/>
        <w:spacing w:after="0"/>
        <w:tabs>
          <w:tab w:leader="none" w:pos="1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6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 ​</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4">
            <w:col w:w="6300" w:space="220"/>
            <w:col w:w="1040" w:space="280"/>
            <w:col w:w="420" w:space="220"/>
            <w:col w:w="13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80" w:type="dxa"/>
            <w:vAlign w:val="bottom"/>
            <w:gridSpan w:val="2"/>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4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b w:val="1"/>
                <w:bCs w:val="1"/>
                <w:color w:val="auto"/>
              </w:rPr>
              <w:t xml:space="preserve"> ​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July 2, 2022</w:t>
            </w:r>
          </w:p>
        </w:tc>
        <w:tc>
          <w:tcPr>
            <w:tcW w:w="122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11,223 </w:t>
            </w:r>
            <w:r>
              <w:rPr>
                <w:rFonts w:ascii="Times New Roman" w:cs="Times New Roman" w:eastAsia="Times New Roman" w:hAnsi="Times New Roman"/>
                <w:sz w:val="28"/>
                <w:szCs w:val="28"/>
                <w:b w:val="1"/>
                <w:bCs w:val="1"/>
                <w:color w:val="auto"/>
                <w:vertAlign w:val="subscript"/>
              </w:rPr>
              <w:t>​​ ​</w:t>
            </w:r>
          </w:p>
        </w:tc>
        <w:tc>
          <w:tcPr>
            <w:tcW w:w="660" w:type="dxa"/>
            <w:vAlign w:val="bottom"/>
            <w:gridSpan w:val="4"/>
          </w:tcPr>
          <w:p>
            <w:pPr>
              <w:ind w:lef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$11,199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2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​$15,842 ​​ ​</w:t>
            </w: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48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740" w:type="dxa"/>
            <w:vAlign w:val="bottom"/>
            <w:gridSpan w:val="2"/>
          </w:tcPr>
          <w:p>
            <w:pPr>
              <w:jc w:val="right"/>
              <w:ind w:right="50"/>
              <w:spacing w:after="0" w:line="283" w:lineRule="exact"/>
              <w:rPr>
                <w:sz w:val="20"/>
                <w:szCs w:val="20"/>
                <w:color w:val="auto"/>
              </w:rPr>
            </w:pP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17"/>
                <w:szCs w:val="17"/>
                <w:color w:val="auto"/>
              </w:rPr>
              <w:t>​​ ​</w:t>
            </w:r>
          </w:p>
        </w:tc>
        <w:tc>
          <w:tcPr>
            <w:tcW w:w="660" w:type="dxa"/>
            <w:vAlign w:val="bottom"/>
            <w:gridSpan w:val="4"/>
          </w:tcPr>
          <w:p>
            <w:pPr>
              <w:ind w:left="1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b w:val="1"/>
                <w:bCs w:val="1"/>
                <w:color w:val="auto"/>
              </w:rPr>
              <w:t xml:space="preserve"> ​ —</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32"/>
                <w:szCs w:val="32"/>
                <w:color w:val="auto"/>
                <w:vertAlign w:val="subscript"/>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26, 2021</w:t>
            </w:r>
          </w:p>
        </w:tc>
        <w:tc>
          <w:tcPr>
            <w:tcW w:w="86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15,845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14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$15,847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-222250</wp:posOffset>
            </wp:positionV>
            <wp:extent cx="5143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7834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  Six Months ended</w:t>
            </w:r>
          </w:p>
        </w:tc>
        <w:tc>
          <w:tcPr>
            <w:tcW w:w="100" w:type="dxa"/>
            <w:vAlign w:val="bottom"/>
          </w:tcPr>
          <w:p>
            <w:pPr>
              <w:jc w:val="right"/>
              <w:ind w:right="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4"/>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620" w:type="dxa"/>
            <w:vAlign w:val="bottom"/>
            <w:tcBorders>
              <w:top w:val="single" w:sz="8" w:color="auto"/>
            </w:tcBorders>
            <w:gridSpan w:val="4"/>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0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w:t>
            </w:r>
          </w:p>
        </w:tc>
        <w:tc>
          <w:tcPr>
            <w:tcW w:w="62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4"/>
                <w:szCs w:val="14"/>
                <w:color w:val="auto"/>
              </w:rPr>
            </w:pPr>
          </w:p>
        </w:tc>
        <w:tc>
          <w:tcPr>
            <w:tcW w:w="100" w:type="dxa"/>
            <w:vAlign w:val="bottom"/>
          </w:tcPr>
          <w:p>
            <w:pPr>
              <w:jc w:val="right"/>
              <w:ind w:right="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 ​ ​</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(67​​) ​ ​$</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10​​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282​​ ​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245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 ​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(20)​​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on Dividend Note</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with related party</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 accounts receivable</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(39)​​</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payables and accrued expenses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Employee-related accrued expenses and long-term benefits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long-term assets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289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(55)​​</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of loan to related party</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(336​​)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 of loan due from related party</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344​​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​(335)​​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vMerge w:val="continue"/>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transfers from Parent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Dividend paid</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(186​​)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offering costs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withholding tax related to employee stock plans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(415​​)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purchase of property and equipment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Non-cash share-based compensation recharge</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101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Note with related party</w:t>
            </w:r>
          </w:p>
        </w:tc>
        <w:tc>
          <w:tcPr>
            <w:tcW w:w="8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​3,500​​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Equity transaction</w:t>
            </w:r>
          </w:p>
        </w:tc>
        <w:tc>
          <w:tcPr>
            <w:tcW w:w="4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 from related party</w:t>
            </w: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-1379220</wp:posOffset>
            </wp:positionV>
            <wp:extent cx="514350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-2022475</wp:posOffset>
            </wp:positionV>
            <wp:extent cx="52120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-2922270</wp:posOffset>
            </wp:positionV>
            <wp:extent cx="514350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-3856990</wp:posOffset>
            </wp:positionV>
            <wp:extent cx="51435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-6642735</wp:posOffset>
            </wp:positionV>
            <wp:extent cx="13716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LLC, Mobileye B.V. and its subsidiaries (“Mobileye”), GG Acquisition Ltd. and the Moovit App Global Ltd. and its subsidiaries (“Moovit”) and certain Intel employees mainly in research and development (the “Intel Aligned Groups”) (collectively, the “Company”, “we”, and “our”).</w:t>
      </w:r>
    </w:p>
    <w:p>
      <w:pPr>
        <w:spacing w:after="0" w:line="11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Company operates as a combination of wholly-owned businesses of Intel Corporation (“Intel” or the “Parent”).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Moovit, a leading urban mobility app and mobility- as-a-service (“MaaS”) solutions provider also operates as a component of Intel upon acquisition of the issued and outstanding equity interests of Moovit in May 2020 (the “Moovit Acquisition”). On May 31, 2022, we legally purchased from Intel 100% of the issued and outstanding equity interests of the Moovit entities, for further detail, see note 6.</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These condensed combined financial statements have been prepared in accordance with United States generally accepted accounting principles (“U.S. GAAP”) and applicable rules and regulations of the Securities and Exchange Commission (“SEC”) for interim financial reporting.</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GAAP have been condensed or omitted pursuant to such rules and regulations. These condensed combined financial statements have been prepared on the same basis as the Company’s annual audited combined financial statements and, in the opinion of management, reflect all adjustments, consisting only of normal recurring adjustments, which are necessary for the fair statement of the Company’s financial information.</w:t>
      </w:r>
    </w:p>
    <w:p>
      <w:pPr>
        <w:spacing w:after="0" w:line="3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six months ended July 2, 2022 shown in this report are not necessarily indicative of the results to be expected for the full year ending 2022. The condensed combined financial statements should be read in conjunction with the audited combined financial statements for the fiscal year ended December 25, 2021.</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condensed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condensed combined financial statements on a historical cost basis, as included in the consolidated financial statements of Intel.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condensed combined statements of operations and comprehensive income (loss). Intel Aligned Groups also participated in various Intel compensation and benefit plans. Portions of those plans’ costs were based on actual headcount and included in these condensed combined financial statements. These costs are not necessarily indicative of costs that would have been incurred had the Company operated on a stand-alone basis.</w:t>
      </w:r>
    </w:p>
    <w:p>
      <w:pPr>
        <w:spacing w:after="0" w:line="120"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condensed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condensed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condensed combined financial statements at the time the transactions were recorded, unless otherwise noted. The total net effect of the settlement of these transactions was reflected within parent net investment as a component of equity in the condensed combined balance sheets and within net transfers from Parent as a financing activity in the condensed combined statements of cash flows, unless otherwise noted.</w:t>
      </w:r>
    </w:p>
    <w:p>
      <w:pPr>
        <w:spacing w:after="0" w:line="337"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Net loss per share data has not been presented in the condensed combined financial statements because Mobileye Group did not operate as a separate legal entity with its own capital structure during the periods presented.</w:t>
      </w:r>
    </w:p>
    <w:p>
      <w:pPr>
        <w:spacing w:after="0" w:line="10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combined financial statements for the fiscal year ended December 25, 2021, other than described below regarding deferred offering costs and income tax. For further detail, see note 2 in the audited combined financial statements for the fiscal year ended December 25,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incurred that are directly related to the proposed IPO, are capitalized and recorded on the condensed combined balance sheet. These deferred costs will be reclassified to shareholders’ equity upon the consummation of the proposed public offering and recorded against the proceeds received. If the IPO is aborted, all the deferred offering costs will be expensed. The Company capitalized $14 million and zero of deferred offering costs within other long-term assets, in the condensed combined balance sheet as of July 2, 2022 and December 25, 2021, respectively. Transaction costs which are not directly related to the proposed public offering are expensed as incurred within general and administrative expenses. The Company recognized $3 million of these costs as an expense in the six months ended July 2, 2022.</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cash equivalents and restricted cash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60" w:type="dxa"/>
            <w:vAlign w:val="bottom"/>
            <w:gridSpan w:val="5"/>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 10</w:t>
            </w:r>
            <w:r>
              <w:rPr>
                <w:rFonts w:ascii="Times New Roman" w:cs="Times New Roman" w:eastAsia="Times New Roman" w:hAnsi="Times New Roman"/>
                <w:sz w:val="15"/>
                <w:szCs w:val="15"/>
                <w:color w:val="auto"/>
              </w:rPr>
              <w:t xml:space="preserve"> ​​ ​</w:t>
            </w:r>
          </w:p>
        </w:tc>
        <w:tc>
          <w:tcPr>
            <w:tcW w:w="240" w:type="dxa"/>
            <w:vAlign w:val="bottom"/>
          </w:tcPr>
          <w:p>
            <w:pPr>
              <w:spacing w:after="0"/>
              <w:rPr>
                <w:sz w:val="21"/>
                <w:szCs w:val="21"/>
                <w:color w:val="auto"/>
              </w:rPr>
            </w:pPr>
          </w:p>
        </w:tc>
        <w:tc>
          <w:tcPr>
            <w:tcW w:w="600" w:type="dxa"/>
            <w:vAlign w:val="bottom"/>
            <w:gridSpan w:val="3"/>
          </w:tcPr>
          <w:p>
            <w:pPr>
              <w:jc w:val="center"/>
              <w:ind w:right="2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$784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2"/>
                <w:szCs w:val="22"/>
                <w:color w:val="auto"/>
              </w:rPr>
            </w:pPr>
          </w:p>
        </w:tc>
        <w:tc>
          <w:tcPr>
            <w:tcW w:w="600" w:type="dxa"/>
            <w:vAlign w:val="bottom"/>
            <w:gridSpan w:val="3"/>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-711200</wp:posOffset>
            </wp:positionV>
            <wp:extent cx="13716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$683 million and $209 million as of July 2, 2022, and December 25, 2021, respectively.</w:t>
      </w:r>
    </w:p>
    <w:p>
      <w:pPr>
        <w:spacing w:after="0" w:line="99"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(assets), Dividend Note with related party, related party payable, trade accounts receivable and accounts payable, approximate fair value because of their generally short maturities.</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2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condensed combined statements of operations and comprehensive income (loss). Research and development reimbursements of $25 million and $22 million were offset against research and development costs in the six months ended July 2, 2022 and June 26, 2021,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forecasted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combined financial statements are recorded under accumulated other comprehensive income (loss) and reclassified into earnings in the same period or periods during which the hedged transaction affects earnings.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notional amount and fair value of derivatives outstanding at Intel on behalf of Mobileye were:</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48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​$371 ​​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 receivable from (payable to) Intel</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(25)​​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-505460</wp:posOffset>
            </wp:positionV>
            <wp:extent cx="1371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2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200" w:type="dxa"/>
            <w:vAlign w:val="bottom"/>
            <w:shd w:val="clear" w:color="auto" w:fill="CCEEFF"/>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00" w:type="dxa"/>
            <w:vAlign w:val="bottom"/>
          </w:tcPr>
          <w:p>
            <w:pPr>
              <w:spacing w:after="0"/>
              <w:rPr>
                <w:sz w:val="18"/>
                <w:szCs w:val="1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-454025</wp:posOffset>
            </wp:positionV>
            <wp:extent cx="4749165" cy="1714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-788035</wp:posOffset>
            </wp:positionV>
            <wp:extent cx="4749165" cy="1714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 million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for those jurisdictions is recorded separately.</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Certain legal entities of Mobileye file tax returns on a consolidated basis with our parent Intel Corporation. We have entered into a tax sharing agreement with Intel Corporation that establishes the amount of cash we will pay to our parent for our share of the tax liability owed on these consolidated filings. The income tax provision included in these combined financial statements has been calculated using the separate return method, as if the Company had filed its own tax returns. This method can limit our ability to benefit losses that may have been used by Intel in the consolidated tax returns. To the extent the tax sharing agreement and the separate return method differ, an adjustment to our net parent investment balance is recorded.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condensed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recognition and useful lives of intangible assets, impairment assessment of intangible assets and goodwill, and income taxes.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939" w:firstLine="360"/>
        <w:spacing w:after="0" w:line="274"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condensed combined balance sheets, statement of operations or cash flows. Legal fees are expensed as incurred.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10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05"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July 2, 2022 and December 25, 2021, the credit losses in respect of accounts receivable, which are determined with respect to specific debts that are doubtful of collection and netted against accounts receivable, were not material. The Company writes off accounts receivable when they are deemed uncollectible. For the six months ended July 2, 2022 and June 26, 2021, the charge-offs and recoveries in relation to the credit losses accounts were not material.</w:t>
      </w:r>
    </w:p>
    <w:p>
      <w:pPr>
        <w:spacing w:after="0" w:line="200" w:lineRule="exact"/>
        <w:rPr>
          <w:sz w:val="20"/>
          <w:szCs w:val="20"/>
          <w:color w:val="auto"/>
        </w:rPr>
      </w:pP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8 related to customers that accounted for more than 10% of the Company’s total revenue and accounts receivable for each of the periods presented in these condensed combined financial statements.</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has been experiencing during 2021 and through the first half of 2022.</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the Company’s business and could have a continued adverse effect on the Company’s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33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During the fiscal year ended December 25, 2021 and through the first half of 2022, the Company’s sole supplier was not able to meet demand of the Company for the EyeQ® SoC, causing a significant reduction in the Company’s inventory levels. The Company expects that it will continue to experience a shortfall of EyeQ® SoC during the second half of 2022 which has caused certain delays and may continue to cause further delays in our ability to fulfil customers’ orders. Since the EyeQ® SoC is the core of the ADAS and AV products, continued shortages in the supply of sufficient EyeQ®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156"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Government Assistance (Topic 832):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Business Entities About Government Assistance</w:t>
      </w:r>
      <w:r>
        <w:rPr>
          <w:rFonts w:ascii="Times New Roman" w:cs="Times New Roman" w:eastAsia="Times New Roman" w:hAnsi="Times New Roman"/>
          <w:sz w:val="18"/>
          <w:szCs w:val="18"/>
          <w:color w:val="auto"/>
        </w:rPr>
        <w:t>, which requires entities to provide disclosures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government assistance transactions for annual reporting periods. The disclosures include information around the nature of the assistance, the related accounting policies used to account for government assistance, the effect of government assistance on the entity’s condensed combined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 impact of adoption of this standard is immaterial.</w:t>
      </w:r>
    </w:p>
    <w:p>
      <w:pPr>
        <w:spacing w:after="0" w:line="341"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unaudited condensed combined financial statements. There was no material impact on these unaudited condensed combined financial statements. For further information, see note 6 regarding related party transactions.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​$24</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​69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25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5"/>
          </w:tcPr>
          <w:p>
            <w:pPr>
              <w:ind w:left="234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98</w:t>
            </w:r>
            <w:r>
              <w:rPr>
                <w:rFonts w:ascii="Times New Roman" w:cs="Times New Roman" w:eastAsia="Times New Roman" w:hAnsi="Times New Roman"/>
                <w:sz w:val="15"/>
                <w:szCs w:val="15"/>
                <w:color w:val="auto"/>
              </w:rPr>
              <w:t xml:space="preserve">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the periods presented in these condensed combined financial statements.</w:t>
      </w:r>
    </w:p>
    <w:p>
      <w:pPr>
        <w:sectPr>
          <w:pgSz w:w="11900" w:h="16838" w:orient="portrait"/>
          <w:cols w:equalWidth="0" w:num="1">
            <w:col w:w="9879"/>
          </w:cols>
          <w:pgMar w:left="580" w:top="97" w:right="1440" w:bottom="1440" w:gutter="0" w:footer="0" w:header="0"/>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3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Computers, electronic equipment, and software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Construction in process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property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​$ 96 ​​ ​</w:t>
            </w:r>
          </w:p>
        </w:tc>
        <w:tc>
          <w:tcPr>
            <w:tcW w:w="2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10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4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 18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​278</w:t>
            </w:r>
            <w:r>
              <w:rPr>
                <w:rFonts w:ascii="Times New Roman" w:cs="Times New Roman" w:eastAsia="Times New Roman" w:hAnsi="Times New Roman"/>
                <w:sz w:val="15"/>
                <w:szCs w:val="15"/>
                <w:color w:val="auto"/>
              </w:rPr>
              <w:t xml:space="preserve"> ​​ ​</w:t>
            </w:r>
          </w:p>
        </w:tc>
        <w:tc>
          <w:tcPr>
            <w:tcW w:w="260" w:type="dxa"/>
            <w:vAlign w:val="bottom"/>
          </w:tcPr>
          <w:p>
            <w:pPr>
              <w:spacing w:after="0"/>
              <w:rPr>
                <w:sz w:val="21"/>
                <w:szCs w:val="21"/>
                <w:color w:val="auto"/>
              </w:rPr>
            </w:pP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​249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​406 ​​ ​</w:t>
            </w:r>
          </w:p>
        </w:tc>
        <w:tc>
          <w:tcPr>
            <w:tcW w:w="2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​362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​(68)</w:t>
            </w:r>
            <w:r>
              <w:rPr>
                <w:rFonts w:ascii="Times New Roman" w:cs="Times New Roman" w:eastAsia="Times New Roman" w:hAnsi="Times New Roman"/>
                <w:sz w:val="28"/>
                <w:szCs w:val="28"/>
                <w:color w:val="auto"/>
                <w:vertAlign w:val="subscript"/>
              </w:rPr>
              <w:t>​​ ​</w:t>
            </w:r>
          </w:p>
        </w:tc>
        <w:tc>
          <w:tcPr>
            <w:tcW w:w="260" w:type="dxa"/>
            <w:vAlign w:val="bottom"/>
          </w:tcPr>
          <w:p>
            <w:pPr>
              <w:spacing w:after="0"/>
              <w:rPr>
                <w:sz w:val="21"/>
                <w:szCs w:val="21"/>
                <w:color w:val="auto"/>
              </w:rPr>
            </w:pP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$338</w:t>
            </w:r>
            <w:r>
              <w:rPr>
                <w:rFonts w:ascii="Times New Roman" w:cs="Times New Roman" w:eastAsia="Times New Roman" w:hAnsi="Times New Roman"/>
                <w:sz w:val="15"/>
                <w:szCs w:val="15"/>
                <w:color w:val="auto"/>
              </w:rPr>
              <w:t xml:space="preserve"> ​​ ​</w:t>
            </w:r>
          </w:p>
        </w:tc>
        <w:tc>
          <w:tcPr>
            <w:tcW w:w="260" w:type="dxa"/>
            <w:vAlign w:val="bottom"/>
          </w:tcPr>
          <w:p>
            <w:pPr>
              <w:spacing w:after="0"/>
              <w:rPr>
                <w:sz w:val="22"/>
                <w:szCs w:val="22"/>
                <w:color w:val="auto"/>
              </w:rPr>
            </w:pPr>
          </w:p>
        </w:tc>
        <w:tc>
          <w:tcPr>
            <w:tcW w:w="6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-1542415</wp:posOffset>
            </wp:positionV>
            <wp:extent cx="13716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3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Depreciation expenses totaled $10 million and $7 million for the six months ended July 2, 2022 and June 26, 2021, respectively.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 Stock-based compensation plans</w:t>
      </w:r>
    </w:p>
    <w:p>
      <w:pPr>
        <w:spacing w:after="0" w:line="162" w:lineRule="exact"/>
        <w:rPr>
          <w:sz w:val="20"/>
          <w:szCs w:val="20"/>
          <w:color w:val="auto"/>
        </w:rPr>
      </w:pPr>
    </w:p>
    <w:p>
      <w:pPr>
        <w:ind w:left="1260" w:right="779" w:firstLine="360"/>
        <w:spacing w:after="0" w:line="274"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July 2, 2022 were as follows: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6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contractual life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40" w:type="dxa"/>
            <w:vAlign w:val="bottom"/>
            <w:gridSpan w:val="4"/>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r>
      <w:tr>
        <w:trPr>
          <w:trHeight w:val="25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21.6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22.4 – 26.9</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​26.8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34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​2,290</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​2,227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gridSpan w:val="2"/>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-213995</wp:posOffset>
            </wp:positionV>
            <wp:extent cx="596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-213995</wp:posOffset>
            </wp:positionV>
            <wp:extent cx="30861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-213995</wp:posOffset>
            </wp:positionV>
            <wp:extent cx="30861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74586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05"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option activity for the six months ended July 2, 2022 for options granted to the Company’s employees for Intel’s common stock was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Aggregated</w:t>
            </w: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intrinsic</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options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price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value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680" w:type="dxa"/>
            <w:vAlign w:val="bottom"/>
            <w:gridSpan w:val="2"/>
          </w:tcPr>
          <w:p>
            <w:pPr>
              <w:jc w:val="center"/>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440" w:right="420" w:hanging="179"/>
        <w:spacing w:after="0" w:line="317" w:lineRule="auto"/>
        <w:rPr>
          <w:sz w:val="20"/>
          <w:szCs w:val="20"/>
          <w:color w:val="auto"/>
        </w:rPr>
      </w:pPr>
      <w:r>
        <w:rPr>
          <w:rFonts w:ascii="Times New Roman" w:cs="Times New Roman" w:eastAsia="Times New Roman" w:hAnsi="Times New Roman"/>
          <w:sz w:val="18"/>
          <w:szCs w:val="18"/>
          <w:color w:val="auto"/>
        </w:rPr>
        <w:t>Options outstanding as of December 25, 2021 Granted</w:t>
      </w:r>
    </w:p>
    <w:p>
      <w:pPr>
        <w:ind w:left="1440"/>
        <w:spacing w:after="0"/>
        <w:rPr>
          <w:sz w:val="20"/>
          <w:szCs w:val="20"/>
          <w:color w:val="auto"/>
        </w:rPr>
      </w:pPr>
      <w:r>
        <w:rPr>
          <w:rFonts w:ascii="Times New Roman" w:cs="Times New Roman" w:eastAsia="Times New Roman" w:hAnsi="Times New Roman"/>
          <w:sz w:val="18"/>
          <w:szCs w:val="18"/>
          <w:color w:val="auto"/>
        </w:rPr>
        <w:t>Exercised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Forfeited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outstanding as of July 2, 2022</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Options exercisable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​3,578</w:t>
            </w:r>
          </w:p>
        </w:tc>
        <w:tc>
          <w:tcPr>
            <w:tcW w:w="800" w:type="dxa"/>
            <w:vAlign w:val="bottom"/>
            <w:gridSpan w:val="4"/>
          </w:tcPr>
          <w:p>
            <w:pPr>
              <w:ind w:left="60"/>
              <w:spacing w:after="0" w:line="207" w:lineRule="exact"/>
              <w:rPr>
                <w:sz w:val="20"/>
                <w:szCs w:val="20"/>
                <w:color w:val="auto"/>
              </w:rPr>
            </w:pPr>
            <w:r>
              <w:rPr>
                <w:rFonts w:ascii="Times New Roman" w:cs="Times New Roman" w:eastAsia="Times New Roman" w:hAnsi="Times New Roman"/>
                <w:sz w:val="24"/>
                <w:szCs w:val="24"/>
                <w:color w:val="auto"/>
                <w:vertAlign w:val="subscript"/>
              </w:rPr>
              <w:t>​​ ​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29.2</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​1.5</w:t>
            </w:r>
          </w:p>
        </w:tc>
        <w:tc>
          <w:tcPr>
            <w:tcW w:w="1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9"/>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8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  ​​ ​ ​ ​ — ​​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(1,288)</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​$32.9</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7"/>
          </w:tcPr>
          <w:p>
            <w:pPr>
              <w:jc w:val="right"/>
              <w:ind w:right="1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2,290</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​$27.1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140" w:type="dxa"/>
            <w:vAlign w:val="bottom"/>
          </w:tcPr>
          <w:p>
            <w:pPr>
              <w:spacing w:after="0"/>
              <w:rPr>
                <w:sz w:val="23"/>
                <w:szCs w:val="23"/>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ind w:left="8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​2,227</w:t>
            </w:r>
          </w:p>
        </w:tc>
        <w:tc>
          <w:tcPr>
            <w:tcW w:w="80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​1.3</w:t>
            </w:r>
          </w:p>
        </w:tc>
        <w:tc>
          <w:tcPr>
            <w:tcW w:w="1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-710565</wp:posOffset>
            </wp:positionV>
            <wp:extent cx="5212080" cy="16319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-376555</wp:posOffset>
            </wp:positionV>
            <wp:extent cx="5212080" cy="1714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4019"/>
          </w:cols>
          <w:pgMar w:left="580" w:top="97" w:right="1440" w:bottom="1440" w:gutter="0" w:footer="0" w:header="0"/>
          <w:type w:val="continuous"/>
        </w:sectPr>
      </w:pPr>
    </w:p>
    <w:p>
      <w:pPr>
        <w:spacing w:after="0" w:line="52" w:lineRule="exact"/>
        <w:rPr>
          <w:sz w:val="20"/>
          <w:szCs w:val="20"/>
          <w:color w:val="auto"/>
        </w:rPr>
      </w:pPr>
    </w:p>
    <w:p>
      <w:pPr>
        <w:ind w:left="1620" w:right="419" w:hanging="360"/>
        <w:spacing w:after="0" w:line="259" w:lineRule="auto"/>
        <w:tabs>
          <w:tab w:leader="none" w:pos="1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July 2, 2022 and December 25, 2021, the share prices were $36.34 and $51.31, respectively. This represents the potential pre-tax amount receivable by the option holders had all option holders exercised their options as of such date.</w:t>
      </w:r>
    </w:p>
    <w:p>
      <w:pPr>
        <w:spacing w:after="0" w:line="254"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July 2, 2022 are 63 thousand options with an average weighted exercise price of $26.31.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six months period ended July 2, 2022 for RSUs granted to Company’s employees for Intel’s common stock was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5,278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3,458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​$44.53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(493)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​$49.67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$49.35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July 2, 2022</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​7,967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$45.34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460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-539115</wp:posOffset>
            </wp:positionV>
            <wp:extent cx="4749165" cy="1460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60"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combined statements of operations and comprehensive income (loss) was as follows:</w:t>
      </w:r>
    </w:p>
    <w:tbl>
      <w:tblPr>
        <w:tblLayout w:type="fixed"/>
        <w:tblInd w:w="1620" w:type="dxa"/>
        <w:tblCellMar>
          <w:top w:w="0" w:type="dxa"/>
          <w:left w:w="0" w:type="dxa"/>
          <w:bottom w:w="0" w:type="dxa"/>
          <w:right w:w="0" w:type="dxa"/>
        </w:tblCellMar>
      </w:tblPr>
      <w:tr>
        <w:trPr>
          <w:trHeight w:val="36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Six Months Ended </w:t>
            </w:r>
            <w:r>
              <w:rPr>
                <w:rFonts w:ascii="Times New Roman" w:cs="Times New Roman" w:eastAsia="Times New Roman" w:hAnsi="Times New Roman"/>
                <w:sz w:val="28"/>
                <w:szCs w:val="28"/>
                <w:b w:val="1"/>
                <w:bCs w:val="1"/>
                <w:color w:val="auto"/>
                <w:vertAlign w:val="subscript"/>
              </w:rPr>
              <w:t>​</w:t>
            </w:r>
          </w:p>
        </w:tc>
      </w:tr>
      <w:tr>
        <w:trPr>
          <w:trHeight w:val="171"/>
        </w:trPr>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Borders>
              <w:top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52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June 26,</w:t>
            </w:r>
          </w:p>
        </w:tc>
        <w:tc>
          <w:tcPr>
            <w:tcW w:w="40" w:type="dxa"/>
            <w:vAlign w:val="bottom"/>
          </w:tcPr>
          <w:p>
            <w:pPr>
              <w:spacing w:after="0"/>
              <w:rPr>
                <w:sz w:val="14"/>
                <w:szCs w:val="14"/>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​69 ​​ ​</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​37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$76</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74916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-847725</wp:posOffset>
            </wp:positionV>
            <wp:extent cx="44145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187" w:lineRule="exact"/>
        <w:rPr>
          <w:sz w:val="20"/>
          <w:szCs w:val="20"/>
          <w:color w:val="auto"/>
        </w:rPr>
      </w:pPr>
    </w:p>
    <w:p>
      <w:pPr>
        <w:ind w:left="1260"/>
        <w:spacing w:after="0"/>
        <w:tabs>
          <w:tab w:leader="none" w:pos="15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b w:val="1"/>
          <w:bCs w:val="1"/>
          <w:color w:val="auto"/>
        </w:rPr>
        <w:t>Dividends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May 12, 2022, the Company declared and paid a dividend in an aggregate amount of $336 million to Intel, net of $14 million of cash paid to tax authorities to settle related tax obligations.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paying for certain components to which such income relates.</w:t>
      </w:r>
    </w:p>
    <w:p>
      <w:pPr>
        <w:spacing w:after="0" w:line="95"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income tax provision included in these condensed combined financial statements has been calculated using the separate return method, as if the Company had filed its own tax returns. This method can limit the Company’s ability to benefit from losses that may have been used by Intel in its consolidated tax returns. The Company has entered into a tax sharing agreement with Intel, which establishes the amount of cash payable to Intel for our share of the tax liability owed on a consolidated tax filing basis with Intel. To the extent the tax sharing agreement and the separate return method differ, and the liability to Intel is higher or lower than the amount that would have been payable if the Company had filed its own tax returns, an adjustment to the net parent investment balance is recorded within equity. The adjustment to the net parent investment for the six months ended July 2, 2022 was an aggregate decrease in net parent investment of $7 million because amounts payable under the tax sharing agreement in respect of the six-month period exceeded amounts calculated under the separate return method.</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tax expense for the six months ended July 2, 2022, was unfavorably impacted by an accrued withholding tax expense and valuation allowances for certain jurisdictions. A withholding tax expense of $14 million related to a dividend distribution between entities within the Mobileye Group (see note 4 b regarding a dividend distribution to Intel) was recorded in the six months ended July 2, 2022. As the Company has jurisdictions that have sustained recent losses based on the separate return method, a valuation allowance is required for deferred tax assets for which no benefit can be currently realized. The Company also estimates cash taxes for these jurisdictions this year due to unfavorable timing adjustments based upon tax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the maturity date was extended to December 2022.</w:t>
      </w:r>
    </w:p>
    <w:p>
      <w:pPr>
        <w:spacing w:after="0" w:line="114" w:lineRule="exact"/>
        <w:rPr>
          <w:sz w:val="20"/>
          <w:szCs w:val="20"/>
          <w:color w:val="auto"/>
        </w:rPr>
      </w:pPr>
    </w:p>
    <w:p>
      <w:pPr>
        <w:ind w:left="1260" w:right="1119" w:firstLine="360"/>
        <w:spacing w:after="0" w:line="250"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2”) to make cash available to either party up to an aggregate principal amount of $750 million. Arrangement 2 matures September 2022 with a mechanism of automatic renewal of Arrangement 2 for additional periods of one year.</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2021, the Company and Intel entered into a bilateral lending/borrowing arrangement</w:t>
      </w:r>
    </w:p>
    <w:p>
      <w:pPr>
        <w:spacing w:after="0" w:line="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(“Arrangement 3”) to make cash available to either party up to an aggregate principal amount of</w:t>
      </w:r>
    </w:p>
    <w:p>
      <w:pPr>
        <w:spacing w:after="0" w:line="7"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$100 million. Arrangement 3 has a maturity date of July 2022 with a mechanism for automatic renewal for additional periods of one year.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1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During March 2022, Arrangement 2 and Arrangement 3 were amended to increase the aggregate principal amount available to draw from $750 million to $1.0 billion and from $100 million to $500 million, respectively. In addition, due to reference rate reform, Arrangement 1 and Arrangement 2 were also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six months ended July 2, 2022.</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total outstanding balance of the aforementioned loan arrangements was approximately</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$901 million and $1.3 billion as of July 2, 2022 and December 25, 2021 respectively, and is reflected in current assets as a related party loan based on the maturity date as of each balance sheet period (accumulated interest is presented within other current assets). Interest income recognized by the Company totaled $4 million, and $2 million for the six months ended July 2, 2022 and June 26, 2021, respectively.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combined balance sheets, under related party payable was approximately $24 million and $162 million as of July 2, 2022 and December 25, 2021, respectively. As for the inclusion of the Company’s employees in Intel’s equity incentive plan, see Note 4.</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60"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70"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condensed combined statements of operations and comprehensive income (loss) primarily on a specific and direct attribution basis.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60" w:lineRule="exact"/>
        <w:rPr>
          <w:sz w:val="20"/>
          <w:szCs w:val="20"/>
          <w:color w:val="auto"/>
        </w:rPr>
      </w:pPr>
    </w:p>
    <w:p>
      <w:pPr>
        <w:ind w:left="1260" w:right="639" w:firstLine="360"/>
        <w:spacing w:after="0" w:line="274"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Travel expenses totaled $0.3 million for both the six months ended July 2, 2022 and June 26, 2021.</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 Note</w:t>
      </w:r>
    </w:p>
    <w:p>
      <w:pPr>
        <w:spacing w:after="0" w:line="160"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On April 21, 2022, Intel and Mobileye Group signed a loan agreement whereby Mobileye Group agreed to issue a promissory note to Intel in an aggregate principal amount of $3.5 billion (the “Dividend Note”).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Mobileye Group has the right, at its option, on any business day, to prepay the loan, including principal and any accrued interest thereon, in whole or in part without premium or penalty. In the six months ended July 2, 2022, accrued interest expense in respect of the Dividend Note was $9 million. The aggregate principal amount plus related accrued interest is presented as Dividend Note with related party.</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transaction in connection with the legal purchase of Moovit entities</w:t>
      </w:r>
    </w:p>
    <w:p>
      <w:pPr>
        <w:spacing w:after="0" w:line="146"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On May 31, 2022, we entered into an agreement with Intel pursuant to which we legally purchased from Intel 100% of the issued and outstanding equity interests of the Moovit entities for an aggregate amount of $900 million that is payable in cash to Intel and presented within related party payable. Moovit’s operations are already reflected as part of the Mobileye Group in these condensed combined financial statements as further detailed in note 1 and therefore the transaction is treated within equity.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IDENTIFIED INTANGIBLE ASSETS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July 2, 2022</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Carrying</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Carrying</w:t>
            </w: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w:t>
            </w:r>
          </w:p>
        </w:tc>
        <w:tc>
          <w:tcPr>
            <w:tcW w:w="7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104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8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​​$3,991​​ ​</w:t>
            </w: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​$1,658</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​$2,333</w:t>
            </w:r>
          </w:p>
        </w:tc>
        <w:tc>
          <w:tcPr>
            <w:tcW w:w="9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​​$3,991​​ ​</w:t>
            </w:r>
          </w:p>
        </w:tc>
        <w:tc>
          <w:tcPr>
            <w:tcW w:w="8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​$1,419</w:t>
            </w:r>
          </w:p>
        </w:tc>
        <w:tc>
          <w:tcPr>
            <w:tcW w:w="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​$2,572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116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831</w:t>
            </w:r>
            <w:r>
              <w:rPr>
                <w:rFonts w:ascii="Times New Roman" w:cs="Times New Roman" w:eastAsia="Times New Roman" w:hAnsi="Times New Roman"/>
                <w:sz w:val="17"/>
                <w:szCs w:val="17"/>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375</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456</w:t>
            </w:r>
          </w:p>
        </w:tc>
        <w:tc>
          <w:tcPr>
            <w:tcW w:w="9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831</w:t>
            </w:r>
            <w:r>
              <w:rPr>
                <w:rFonts w:ascii="Times New Roman" w:cs="Times New Roman" w:eastAsia="Times New Roman" w:hAnsi="Times New Roman"/>
                <w:sz w:val="17"/>
                <w:szCs w:val="17"/>
                <w:color w:val="auto"/>
              </w:rPr>
              <w:t>​​ ​</w:t>
            </w:r>
          </w:p>
        </w:tc>
        <w:tc>
          <w:tcPr>
            <w:tcW w:w="84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332</w:t>
            </w:r>
          </w:p>
        </w:tc>
        <w:tc>
          <w:tcPr>
            <w:tcW w:w="7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499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3"/>
            <w:shd w:val="clear" w:color="auto" w:fill="CCEEFF"/>
          </w:tcPr>
          <w:p>
            <w:pPr>
              <w:ind w:left="32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4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2,033</w:t>
            </w:r>
          </w:p>
        </w:tc>
        <w:tc>
          <w:tcPr>
            <w:tcW w:w="76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2,789</w:t>
            </w:r>
          </w:p>
        </w:tc>
        <w:tc>
          <w:tcPr>
            <w:tcW w:w="9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8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78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-213995</wp:posOffset>
            </wp:positionV>
            <wp:extent cx="254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-213995</wp:posOffset>
            </wp:positionV>
            <wp:extent cx="25717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-213995</wp:posOffset>
            </wp:positionV>
            <wp:extent cx="23177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-213995</wp:posOffset>
            </wp:positionV>
            <wp:extent cx="17145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24003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66573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66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-556895</wp:posOffset>
            </wp:positionV>
            <wp:extent cx="1371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-556895</wp:posOffset>
            </wp:positionV>
            <wp:extent cx="13716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-556895</wp:posOffset>
            </wp:positionV>
            <wp:extent cx="1371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-556895</wp:posOffset>
            </wp:positionV>
            <wp:extent cx="12001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57175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7175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-1079500</wp:posOffset>
            </wp:positionV>
            <wp:extent cx="1371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July 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June 26,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60" w:type="dxa"/>
            <w:vAlign w:val="bottom"/>
          </w:tcPr>
          <w:p>
            <w:pPr>
              <w:spacing w:after="0"/>
              <w:rPr>
                <w:sz w:val="13"/>
                <w:szCs w:val="13"/>
                <w:color w:val="auto"/>
              </w:rPr>
            </w:pPr>
          </w:p>
        </w:tc>
      </w:tr>
      <w:tr>
        <w:trPr>
          <w:trHeight w:val="22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auto"/>
            </w:tcBorders>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940" w:type="dxa"/>
            <w:vAlign w:val="bottom"/>
            <w:gridSpan w:val="6"/>
          </w:tcPr>
          <w:p>
            <w:pPr>
              <w:jc w:val="center"/>
              <w:ind w:right="2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28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42</w:t>
            </w:r>
          </w:p>
        </w:tc>
        <w:tc>
          <w:tcPr>
            <w:tcW w:w="1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​282</w:t>
            </w:r>
          </w:p>
        </w:tc>
        <w:tc>
          <w:tcPr>
            <w:tcW w:w="1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5"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2022</w:t>
            </w:r>
          </w:p>
        </w:tc>
        <w:tc>
          <w:tcPr>
            <w:tcW w:w="4060" w:type="dxa"/>
            <w:vAlign w:val="bottom"/>
            <w:gridSpan w:val="1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2023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2024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2026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Thereafter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262</w:t>
            </w:r>
          </w:p>
        </w:tc>
        <w:tc>
          <w:tcPr>
            <w:tcW w:w="2680" w:type="dxa"/>
            <w:vAlign w:val="bottom"/>
            <w:gridSpan w:val="9"/>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2,789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-368300</wp:posOffset>
            </wp:positionV>
            <wp:extent cx="13716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-368300</wp:posOffset>
            </wp:positionV>
            <wp:extent cx="13716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-368300</wp:posOffset>
            </wp:positionV>
            <wp:extent cx="13716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-368300</wp:posOffset>
            </wp:positionV>
            <wp:extent cx="13716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-368300</wp:posOffset>
            </wp:positionV>
            <wp:extent cx="13716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-368300</wp:posOffset>
            </wp:positionV>
            <wp:extent cx="137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and IPO-related expenses that are not capitalized. The measure of assets has not been disclosed for each segment as it is not regularly reviewed by the CODM.</w:t>
      </w:r>
    </w:p>
    <w:p>
      <w:pPr>
        <w:spacing w:after="0" w:line="32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combined financial statements for the fiscal year ended December 25, 2021.</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2, 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not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allocated to</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​$843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​207</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240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​341</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​18​​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17</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12</w:t>
            </w:r>
          </w:p>
        </w:tc>
        <w:tc>
          <w:tcPr>
            <w:tcW w:w="44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36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18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266</w:t>
            </w:r>
          </w:p>
        </w:tc>
        <w:tc>
          <w:tcPr>
            <w:tcW w:w="8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u w:val="single" w:color="auto"/>
                <w:color w:val="auto"/>
                <w:vertAlign w:val="superscript"/>
              </w:rPr>
              <w:t>$</w:t>
            </w:r>
            <w:r>
              <w:rPr>
                <w:rFonts w:ascii="Times New Roman" w:cs="Times New Roman" w:eastAsia="Times New Roman" w:hAnsi="Times New Roman"/>
                <w:sz w:val="30"/>
                <w:szCs w:val="30"/>
                <w:color w:val="auto"/>
                <w:vertAlign w:val="superscript"/>
              </w:rPr>
              <w:t>(17)</w:t>
            </w:r>
            <w:r>
              <w:rPr>
                <w:rFonts w:ascii="Times New Roman" w:cs="Times New Roman" w:eastAsia="Times New Roman" w:hAnsi="Times New Roman"/>
                <w:sz w:val="16"/>
                <w:szCs w:val="16"/>
                <w:color w:val="auto"/>
              </w:rPr>
              <w:t>​​ ​</w:t>
            </w:r>
          </w:p>
        </w:tc>
        <w:tc>
          <w:tcPr>
            <w:tcW w:w="80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(285)</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(36) </w:t>
            </w:r>
            <w:r>
              <w:rPr>
                <w:rFonts w:ascii="Times New Roman" w:cs="Times New Roman" w:eastAsia="Times New Roman" w:hAnsi="Times New Roman"/>
                <w:sz w:val="30"/>
                <w:szCs w:val="30"/>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(expenses) with a related party, net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-1353820</wp:posOffset>
            </wp:positionV>
            <wp:extent cx="13716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-1353820</wp:posOffset>
            </wp:positionV>
            <wp:extent cx="1371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-1353820</wp:posOffset>
            </wp:positionV>
            <wp:extent cx="13716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July 2, 2022</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7"/>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60" w:type="dxa"/>
            <w:vAlign w:val="bottom"/>
            <w:gridSpan w:val="7"/>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w:t>
            </w:r>
          </w:p>
        </w:tc>
        <w:tc>
          <w:tcPr>
            <w:tcW w:w="6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9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19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left w:val="single" w:sz="8" w:color="CCEEFF"/>
            </w:tcBorders>
          </w:tcPr>
          <w:p>
            <w:pPr>
              <w:spacing w:after="0"/>
              <w:rPr>
                <w:sz w:val="23"/>
                <w:szCs w:val="23"/>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68</w:t>
            </w:r>
          </w:p>
        </w:tc>
        <w:tc>
          <w:tcPr>
            <w:tcW w:w="440" w:type="dxa"/>
            <w:vAlign w:val="bottom"/>
            <w:gridSpan w:val="5"/>
          </w:tcPr>
          <w:p>
            <w:pPr>
              <w:jc w:val="center"/>
              <w:ind w:right="20"/>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5"/>
                <w:szCs w:val="15"/>
                <w:color w:val="auto"/>
              </w:rPr>
              <w:t xml:space="preserve"> ​​ ​</w:t>
            </w:r>
          </w:p>
        </w:tc>
        <w:tc>
          <w:tcPr>
            <w:tcW w:w="160" w:type="dxa"/>
            <w:vAlign w:val="bottom"/>
          </w:tcPr>
          <w:p>
            <w:pPr>
              <w:spacing w:after="0"/>
              <w:rPr>
                <w:sz w:val="21"/>
                <w:szCs w:val="21"/>
                <w:color w:val="auto"/>
              </w:rPr>
            </w:pPr>
          </w:p>
        </w:tc>
        <w:tc>
          <w:tcPr>
            <w:tcW w:w="600" w:type="dxa"/>
            <w:vAlign w:val="bottom"/>
            <w:gridSpan w:val="5"/>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10</w:t>
            </w:r>
          </w:p>
        </w:tc>
        <w:tc>
          <w:tcPr>
            <w:tcW w:w="440" w:type="dxa"/>
            <w:vAlign w:val="bottom"/>
            <w:gridSpan w:val="5"/>
          </w:tcPr>
          <w:p>
            <w:pPr>
              <w:jc w:val="center"/>
              <w:ind w:right="20"/>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4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160" w:type="dxa"/>
            <w:vAlign w:val="bottom"/>
          </w:tcPr>
          <w:p>
            <w:pPr>
              <w:spacing w:after="0"/>
              <w:rPr>
                <w:sz w:val="21"/>
                <w:szCs w:val="21"/>
                <w:color w:val="auto"/>
              </w:rPr>
            </w:pPr>
          </w:p>
        </w:tc>
        <w:tc>
          <w:tcPr>
            <w:tcW w:w="600" w:type="dxa"/>
            <w:vAlign w:val="bottom"/>
            <w:gridSpan w:val="5"/>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 June 26, 2021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not</w:t>
            </w: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allocated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7"/>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w:t>
            </w:r>
          </w:p>
        </w:tc>
        <w:tc>
          <w:tcPr>
            <w:tcW w:w="6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​$694</w:t>
            </w:r>
          </w:p>
        </w:tc>
        <w:tc>
          <w:tcPr>
            <w:tcW w:w="8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​​$ 10​​ ​</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​$704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​154</w:t>
            </w: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 ​ 200</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​356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​239</w:t>
            </w:r>
          </w:p>
        </w:tc>
        <w:tc>
          <w:tcPr>
            <w:tcW w:w="8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​19​​ ​</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12</w:t>
            </w: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 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4"/>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w:t>
            </w:r>
          </w:p>
        </w:tc>
        <w:tc>
          <w:tcPr>
            <w:tcW w:w="440" w:type="dxa"/>
            <w:vAlign w:val="bottom"/>
            <w:gridSpan w:val="5"/>
            <w:shd w:val="clear" w:color="auto" w:fill="CCEEFF"/>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7"/>
                <w:szCs w:val="17"/>
                <w:color w:val="auto"/>
              </w:rPr>
              <w:t>​​ ​</w:t>
            </w:r>
          </w:p>
        </w:tc>
        <w:tc>
          <w:tcPr>
            <w:tcW w:w="340" w:type="dxa"/>
            <w:vAlign w:val="bottom"/>
            <w:gridSpan w:val="3"/>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3"/>
            <w:shd w:val="clear" w:color="auto" w:fill="CCEEFF"/>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4"/>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277</w:t>
            </w:r>
          </w:p>
        </w:tc>
        <w:tc>
          <w:tcPr>
            <w:tcW w:w="88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(25)</w:t>
            </w:r>
            <w:r>
              <w:rPr>
                <w:rFonts w:ascii="Times New Roman" w:cs="Times New Roman" w:eastAsia="Times New Roman" w:hAnsi="Times New Roman"/>
                <w:sz w:val="15"/>
                <w:szCs w:val="15"/>
                <w:color w:val="auto"/>
              </w:rPr>
              <w:t>​​ ​</w:t>
            </w:r>
          </w:p>
        </w:tc>
        <w:tc>
          <w:tcPr>
            <w:tcW w:w="760" w:type="dxa"/>
            <w:vAlign w:val="bottom"/>
            <w:gridSpan w:val="6"/>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(245)</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gridSpan w:val="3"/>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left w:val="single" w:sz="8" w:color="CCEEFF"/>
              <w:bottom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43</w:t>
            </w:r>
          </w:p>
        </w:tc>
        <w:tc>
          <w:tcPr>
            <w:tcW w:w="440" w:type="dxa"/>
            <w:vAlign w:val="bottom"/>
            <w:gridSpan w:val="5"/>
          </w:tcPr>
          <w:p>
            <w:pPr>
              <w:jc w:val="center"/>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4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5"/>
                <w:szCs w:val="15"/>
                <w:color w:val="auto"/>
              </w:rPr>
              <w:t>​​ ​</w:t>
            </w:r>
          </w:p>
        </w:tc>
        <w:tc>
          <w:tcPr>
            <w:tcW w:w="340" w:type="dxa"/>
            <w:vAlign w:val="bottom"/>
            <w:gridSpan w:val="3"/>
          </w:tcPr>
          <w:p>
            <w:pPr>
              <w:ind w:left="16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3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7"/>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40" w:type="dxa"/>
            <w:vAlign w:val="bottom"/>
            <w:gridSpan w:val="3"/>
            <w:shd w:val="clear" w:color="auto" w:fill="CCEEFF"/>
          </w:tcPr>
          <w:p>
            <w:pPr>
              <w:ind w:left="16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6900" w:type="dxa"/>
            <w:vAlign w:val="bottom"/>
            <w:gridSpan w:val="18"/>
          </w:tcPr>
          <w:p>
            <w:pPr>
              <w:ind w:left="36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4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9"/>
          </w:tcPr>
          <w:p>
            <w:pPr>
              <w:ind w:lef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July 2, 2022 </w:t>
            </w:r>
            <w:r>
              <w:rPr>
                <w:rFonts w:ascii="Times New Roman" w:cs="Times New Roman" w:eastAsia="Times New Roman" w:hAnsi="Times New Roman"/>
                <w:sz w:val="27"/>
                <w:szCs w:val="27"/>
                <w:b w:val="1"/>
                <w:bCs w:val="1"/>
                <w:color w:val="auto"/>
                <w:vertAlign w:val="subscript"/>
              </w:rPr>
              <w:t>​</w:t>
            </w:r>
          </w:p>
        </w:tc>
        <w:tc>
          <w:tcPr>
            <w:tcW w:w="100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June 26, 2021 </w:t>
            </w:r>
            <w:r>
              <w:rPr>
                <w:rFonts w:ascii="Times New Roman" w:cs="Times New Roman" w:eastAsia="Times New Roman" w:hAnsi="Times New Roman"/>
                <w:sz w:val="27"/>
                <w:szCs w:val="27"/>
                <w:b w:val="1"/>
                <w:bCs w:val="1"/>
                <w:color w:val="auto"/>
                <w:vertAlign w:val="subscript"/>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-4424680</wp:posOffset>
            </wp:positionV>
            <wp:extent cx="5212080" cy="1714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-4056380</wp:posOffset>
            </wp:positionV>
            <wp:extent cx="5212080" cy="1974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-4561840</wp:posOffset>
            </wp:positionV>
            <wp:extent cx="137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-4561840</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-4561840</wp:posOffset>
            </wp:positionV>
            <wp:extent cx="1371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-1442085</wp:posOffset>
            </wp:positionV>
            <wp:extent cx="52120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-2967355</wp:posOffset>
            </wp:positionV>
            <wp:extent cx="1371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-2967355</wp:posOffset>
            </wp:positionV>
            <wp:extent cx="1371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-2967355</wp:posOffset>
            </wp:positionV>
            <wp:extent cx="1371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25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4"/>
              </w:rPr>
              <w:t>​$229</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​$181</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​234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​117</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​102</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​137</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​113</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​115</w:t>
            </w: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55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55</w:t>
            </w: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44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8</w:t>
            </w:r>
          </w:p>
        </w:tc>
      </w:tr>
      <w:tr>
        <w:trPr>
          <w:trHeight w:val="26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37</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38</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15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24</w:t>
            </w:r>
          </w:p>
        </w:tc>
      </w:tr>
      <w:tr>
        <w:trPr>
          <w:trHeight w:val="2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25</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29</w:t>
            </w:r>
          </w:p>
        </w:tc>
      </w:tr>
      <w:tr>
        <w:trPr>
          <w:trHeight w:val="20"/>
        </w:trPr>
        <w:tc>
          <w:tcPr>
            <w:tcW w:w="5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40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00"/>
              <w:spacing w:after="0" w:line="400" w:lineRule="exact"/>
              <w:rPr>
                <w:sz w:val="20"/>
                <w:szCs w:val="20"/>
                <w:color w:val="auto"/>
              </w:rPr>
            </w:pPr>
            <w:r>
              <w:rPr>
                <w:rFonts w:ascii="Times New Roman" w:cs="Times New Roman" w:eastAsia="Times New Roman" w:hAnsi="Times New Roman"/>
                <w:sz w:val="35"/>
                <w:szCs w:val="35"/>
                <w:color w:val="auto"/>
                <w:w w:val="94"/>
                <w:vertAlign w:val="subscript"/>
              </w:rPr>
              <w:t>​</w:t>
            </w:r>
            <w:r>
              <w:rPr>
                <w:rFonts w:ascii="Times New Roman" w:cs="Times New Roman" w:eastAsia="Times New Roman" w:hAnsi="Times New Roman"/>
                <w:sz w:val="18"/>
                <w:szCs w:val="18"/>
                <w:color w:val="auto"/>
                <w:w w:val="94"/>
              </w:rPr>
              <w:t>$854</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400" w:lineRule="exact"/>
              <w:rPr>
                <w:sz w:val="20"/>
                <w:szCs w:val="20"/>
                <w:color w:val="auto"/>
              </w:rPr>
            </w:pPr>
            <w:r>
              <w:rPr>
                <w:rFonts w:ascii="Times New Roman" w:cs="Times New Roman" w:eastAsia="Times New Roman" w:hAnsi="Times New Roman"/>
                <w:sz w:val="35"/>
                <w:szCs w:val="35"/>
                <w:color w:val="auto"/>
                <w:w w:val="94"/>
                <w:vertAlign w:val="subscript"/>
              </w:rPr>
              <w:t>​</w:t>
            </w:r>
            <w:r>
              <w:rPr>
                <w:rFonts w:ascii="Times New Roman" w:cs="Times New Roman" w:eastAsia="Times New Roman" w:hAnsi="Times New Roman"/>
                <w:sz w:val="18"/>
                <w:szCs w:val="18"/>
                <w:color w:val="auto"/>
                <w:w w:val="94"/>
              </w:rPr>
              <w:t>$704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-1431925</wp:posOffset>
            </wp:positionV>
            <wp:extent cx="4749165" cy="16256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-1106170</wp:posOffset>
            </wp:positionV>
            <wp:extent cx="4749165" cy="16319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-780415</wp:posOffset>
            </wp:positionV>
            <wp:extent cx="4749165" cy="16319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-446405</wp:posOffset>
            </wp:positionV>
            <wp:extent cx="4749165" cy="18859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260" w:firstLine="360"/>
        <w:spacing w:after="0" w:line="246"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 SoCs to OEM customers through Tier 1 suppliers. Revenue generated by other product types was deemed to be not material.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59" w:lineRule="exact"/>
        <w:rPr>
          <w:sz w:val="20"/>
          <w:szCs w:val="20"/>
          <w:color w:val="auto"/>
        </w:rPr>
      </w:pPr>
    </w:p>
    <w:p>
      <w:pPr>
        <w:sectPr>
          <w:pgSz w:w="11900" w:h="16838" w:orient="portrait"/>
          <w:cols w:equalWidth="0" w:num="2">
            <w:col w:w="9060" w:space="40"/>
            <w:col w:w="779"/>
          </w:cols>
          <w:pgMar w:left="580" w:top="97" w:right="1440" w:bottom="1440" w:gutter="0" w:footer="0" w:header="0"/>
          <w:type w:val="continuous"/>
        </w:sectPr>
      </w:pPr>
    </w:p>
    <w:p>
      <w:pPr>
        <w:spacing w:after="0" w:line="1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gridSpan w:val="2"/>
          </w:tcPr>
          <w:p>
            <w:pPr>
              <w:ind w:left="18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July 2, 2022</w:t>
            </w:r>
          </w:p>
        </w:tc>
        <w:tc>
          <w:tcPr>
            <w:tcW w:w="10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June 26, 2021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0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vMerge w:val="continue"/>
            <w:shd w:val="clear" w:color="auto" w:fill="CCEEFF"/>
          </w:tcPr>
          <w:p>
            <w:pPr>
              <w:spacing w:after="0"/>
              <w:rPr>
                <w:sz w:val="21"/>
                <w:szCs w:val="21"/>
                <w:color w:val="auto"/>
              </w:rPr>
            </w:pP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21767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3"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ectPr>
          <w:pgSz w:w="11900" w:h="16838" w:orient="portrait"/>
          <w:cols w:equalWidth="0" w:num="1">
            <w:col w:w="9879"/>
          </w:cols>
          <w:pgMar w:left="580" w:top="97" w:right="1440" w:bottom="1440" w:gutter="0" w:footer="0" w:header="0"/>
        </w:sectPr>
      </w:pPr>
    </w:p>
    <w:p>
      <w:pPr>
        <w:spacing w:after="0" w:line="3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256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Percent of total accounts receivable balance: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B</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C</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2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40"/>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-830580</wp:posOffset>
            </wp:positionV>
            <wp:extent cx="13716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35"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condensed combined financial statements of the Company are derived from the consolidated financial statements of Intel, which were previously issued for the three and six months ended July 2, 2022 on July 28, 2022. Accordingly, the Company has evaluated transactions or other events for consideration as recognized subsequent events in these condensed combined financial statements through July 28, 2022. Additionally, the Company has evaluated transactions and other events that occurred through August 22, 2022, the date these condensed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31"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589915</wp:posOffset>
            </wp:positionV>
            <wp:extent cx="2726055" cy="42037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7260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850900</wp:posOffset>
            </wp:positionV>
            <wp:extent cx="234886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236220</wp:posOffset>
            </wp:positionV>
            <wp:extent cx="234886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99"/>
        <w:spacing w:after="0"/>
        <w:tabs>
          <w:tab w:leader="none" w:pos="188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609600</wp:posOffset>
            </wp:positionV>
            <wp:extent cx="521208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Financial Industry Regulatory Authority, Inc. (“FINRA”) filing fee.</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0" w:type="dxa"/>
            <w:vAlign w:val="bottom"/>
            <w:gridSpan w:val="3"/>
          </w:tcPr>
          <w:p>
            <w:pPr>
              <w:ind w:left="32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Be Paid</w:t>
            </w:r>
            <w:r>
              <w:rPr>
                <w:rFonts w:ascii="Times New Roman" w:cs="Times New Roman" w:eastAsia="Times New Roman" w:hAnsi="Times New Roman"/>
                <w:sz w:val="24"/>
                <w:szCs w:val="24"/>
                <w:b w:val="1"/>
                <w:bCs w:val="1"/>
                <w:color w:val="auto"/>
                <w:vertAlign w:val="subscript"/>
              </w:rPr>
              <w:t>​</w:t>
            </w:r>
          </w:p>
        </w:tc>
      </w:tr>
      <w:tr>
        <w:trPr>
          <w:trHeight w:val="20"/>
        </w:trPr>
        <w:tc>
          <w:tcPr>
            <w:tcW w:w="3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Registration fee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Listing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Transfer agent and registrar fees and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hanging="360"/>
        <w:spacing w:after="0"/>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6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tcBorders>
              <w:top w:val="single" w:sz="8" w:color="auto"/>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b w:val="1"/>
                <w:bCs w:val="1"/>
                <w:color w:val="auto"/>
                <w:vertAlign w:val="superscript"/>
              </w:rPr>
              <w:t>​</w:t>
            </w:r>
          </w:p>
        </w:tc>
        <w:tc>
          <w:tcPr>
            <w:tcW w:w="0" w:type="dxa"/>
            <w:vAlign w:val="bottom"/>
          </w:tcPr>
          <w:p>
            <w:pPr>
              <w:spacing w:after="0"/>
              <w:rPr>
                <w:sz w:val="1"/>
                <w:szCs w:val="1"/>
                <w:color w:val="auto"/>
              </w:rPr>
            </w:pPr>
          </w:p>
        </w:tc>
      </w:tr>
      <w:tr>
        <w:trPr>
          <w:trHeight w:val="21"/>
        </w:trPr>
        <w:tc>
          <w:tcPr>
            <w:tcW w:w="2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7540" w:space="720"/>
            <w:col w:w="1619"/>
          </w:cols>
          <w:pgMar w:left="580" w:top="97" w:right="1440" w:bottom="1440" w:gutter="0" w:footer="0" w:header="0"/>
          <w:type w:val="continuous"/>
        </w:sect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32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99"/>
        <w:spacing w:after="0" w:line="266" w:lineRule="auto"/>
        <w:rPr>
          <w:sz w:val="20"/>
          <w:szCs w:val="20"/>
          <w:color w:val="auto"/>
        </w:rPr>
      </w:pPr>
      <w:r>
        <w:rPr>
          <w:rFonts w:ascii="Times New Roman" w:cs="Times New Roman" w:eastAsia="Times New Roman" w:hAnsi="Times New Roman"/>
          <w:sz w:val="18"/>
          <w:szCs w:val="18"/>
          <w:color w:val="auto"/>
        </w:rPr>
        <w:t>Registrant to advance any expenses incurred by its directors and officers as a result of any proceeding against them as to which they could be indemnified and to obtain and maintain directors’ and officers’ insurance.</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2"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On January 21, 2022, in connection with the formation of Mobileye Global Inc., we sold 100 shares of our common stock, par value $0.01 per share, to Intel Overseas Funding Corporation, a wholly owned subsidiary of Intel Corporation, at par value for an aggregate purchase price of $1.00 pursuant to Section 4(a)(2) of the Securities Act. We intend to effect a recapitalization in connection with the Reorganization.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1980" w:hanging="360"/>
        <w:spacing w:after="0"/>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exhibit index attached hereto is incorporated herein by reference.</w:t>
      </w:r>
    </w:p>
    <w:p>
      <w:pPr>
        <w:spacing w:after="0" w:line="158" w:lineRule="exact"/>
        <w:rPr>
          <w:sz w:val="20"/>
          <w:szCs w:val="20"/>
          <w:color w:val="auto"/>
        </w:rPr>
      </w:pPr>
    </w:p>
    <w:p>
      <w:pPr>
        <w:ind w:left="1980" w:hanging="360"/>
        <w:spacing w:after="0"/>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applicable or is shown in the financial statements or notes thereto.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ind w:left="2340" w:right="679" w:hanging="360"/>
        <w:spacing w:after="0" w:line="258" w:lineRule="auto"/>
        <w:tabs>
          <w:tab w:leader="none" w:pos="2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15" w:lineRule="exact"/>
        <w:rPr>
          <w:rFonts w:ascii="Times New Roman" w:cs="Times New Roman" w:eastAsia="Times New Roman" w:hAnsi="Times New Roman"/>
          <w:sz w:val="18"/>
          <w:szCs w:val="18"/>
          <w:color w:val="auto"/>
        </w:rPr>
      </w:pPr>
    </w:p>
    <w:p>
      <w:pPr>
        <w:ind w:left="2340" w:right="659" w:hanging="360"/>
        <w:spacing w:after="0" w:line="261" w:lineRule="auto"/>
        <w:tabs>
          <w:tab w:leader="none" w:pos="2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Certificate of Incorporation of the Registrant, as currently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Certificate of Amendment to the Certificate of Incorporation of the Registrant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Certificate of Amendment to the Certificate of Incorporation of the Registrant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Bylaws of the Registrant, as currently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 Form of Amended and Restated Certificate of Incorporation of the Registrant, to be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upon completion of this offering</w:t>
            </w:r>
          </w:p>
        </w:tc>
        <w:tc>
          <w:tcPr>
            <w:tcW w:w="60" w:type="dxa"/>
            <w:vAlign w:val="bottom"/>
          </w:tcPr>
          <w:p>
            <w:pPr>
              <w:spacing w:after="0"/>
              <w:rPr>
                <w:sz w:val="20"/>
                <w:szCs w:val="20"/>
                <w:color w:val="auto"/>
              </w:rPr>
            </w:pPr>
          </w:p>
        </w:tc>
      </w:tr>
      <w:tr>
        <w:trPr>
          <w:trHeight w:val="25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 Form of Amended and Restated Bylaws of the Registrant, to be in effect upon completion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this offering</w:t>
            </w:r>
          </w:p>
        </w:tc>
        <w:tc>
          <w:tcPr>
            <w:tcW w:w="60" w:type="dxa"/>
            <w:vAlign w:val="bottom"/>
          </w:tcPr>
          <w:p>
            <w:pPr>
              <w:spacing w:after="0"/>
              <w:rPr>
                <w:sz w:val="19"/>
                <w:szCs w:val="19"/>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Opinion of Skadden, Arps, Slate, Meagher &amp; Flom LLP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Director and Officer Indemnification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Master Transaction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Administrative Services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Employee Matters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Technology and Services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Lidar Commercial Terms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Tax Sharing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Mobileye Global Inc. 2022 Equity Incentive Plan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Form of Restricted Share Unit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Agreement between the Registrant and Amnon Shashua, dated July 24, 2014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Letter Agreement between Amnon Shashua and Intel, dated June 1,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Agreement between the Registrant and Anat Heller, dated September 1, 2015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730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Employment Agreement between the Registrant and Erez Dagan, dated October 1, 2016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7300" w:type="dxa"/>
            <w:vAlign w:val="bottom"/>
            <w:gridSpan w:val="8"/>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Employment Agreement between the Registrant and Gavriel Hayon, dated August 1, 1999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10.15**†​ ​ Employment Agreement between the Registrant and Shai Shalev-Shwartz, dated August 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w:t>
            </w: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7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 Stock Compensation Recharge Agreement, dated August 8, 2017, between Mobileye B.V. and ​</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its subsidiaries, on the one hand, and Intel, on the other hand</w:t>
            </w:r>
          </w:p>
        </w:tc>
        <w:tc>
          <w:tcPr>
            <w:tcW w:w="60" w:type="dxa"/>
            <w:vAlign w:val="bottom"/>
          </w:tcPr>
          <w:p>
            <w:pPr>
              <w:spacing w:after="0"/>
              <w:rPr>
                <w:sz w:val="20"/>
                <w:szCs w:val="20"/>
                <w:color w:val="auto"/>
              </w:rPr>
            </w:pPr>
          </w:p>
        </w:tc>
      </w:tr>
      <w:tr>
        <w:trPr>
          <w:trHeight w:val="26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 Loan Agreement, dated April 21, 2022, between Cyclops Holdings Corporation and Intel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Overseas Funding Corporation.</w:t>
            </w:r>
          </w:p>
        </w:tc>
        <w:tc>
          <w:tcPr>
            <w:tcW w:w="60" w:type="dxa"/>
            <w:vAlign w:val="bottom"/>
          </w:tcPr>
          <w:p>
            <w:pPr>
              <w:spacing w:after="0"/>
              <w:rPr>
                <w:sz w:val="20"/>
                <w:szCs w:val="20"/>
                <w:color w:val="auto"/>
              </w:rPr>
            </w:pP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Memorandum of Understanding, dated October 17, 2006, between STMicroelectronics N.V.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and Mobileye Technologies Limited, as amended</w:t>
            </w:r>
          </w:p>
        </w:tc>
        <w:tc>
          <w:tcPr>
            <w:tcW w:w="3220" w:type="dxa"/>
            <w:vAlign w:val="bottom"/>
            <w:tcBorders>
              <w:top w:val="single" w:sz="8" w:color="0000EE"/>
            </w:tcBorders>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8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 Agreement between Intel Corporation and Intel Subsidiaries, dated August 8, 2017, between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Mobileye B.V. and its subsidiaries, on the one hand, and Intel, on the other hand</w:t>
            </w:r>
          </w:p>
        </w:tc>
        <w:tc>
          <w:tcPr>
            <w:tcW w:w="60" w:type="dxa"/>
            <w:vAlign w:val="bottom"/>
          </w:tcPr>
          <w:p>
            <w:pPr>
              <w:spacing w:after="0"/>
              <w:rPr>
                <w:sz w:val="20"/>
                <w:szCs w:val="20"/>
                <w:color w:val="auto"/>
              </w:rPr>
            </w:pP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7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Share &amp; Note Sale and Purchase Agreement, dated May 31, 2022, between Intel Finance B.V.</w:t>
            </w:r>
            <w:r>
              <w:rPr>
                <w:rFonts w:ascii="Times New Roman" w:cs="Times New Roman" w:eastAsia="Times New Roman" w:hAnsi="Times New Roman"/>
                <w:sz w:val="18"/>
                <w:szCs w:val="18"/>
                <w:color w:val="auto"/>
              </w:rPr>
              <w:t xml:space="preserve"> ​</w:t>
            </w:r>
          </w:p>
        </w:tc>
      </w:tr>
      <w:tr>
        <w:trPr>
          <w:trHeight w:val="196"/>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and Mobileye B.V.</w:t>
            </w:r>
          </w:p>
        </w:tc>
        <w:tc>
          <w:tcPr>
            <w:tcW w:w="564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9"/>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21.1**</w:t>
            </w:r>
          </w:p>
        </w:tc>
        <w:tc>
          <w:tcPr>
            <w:tcW w:w="7300" w:type="dxa"/>
            <w:vAlign w:val="bottom"/>
            <w:gridSpan w:val="8"/>
          </w:tcPr>
          <w:p>
            <w:pPr>
              <w:spacing w:after="0" w:line="299"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 xml:space="preserve"> List of Subsidiaries of the Registrant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7300" w:type="dxa"/>
            <w:vAlign w:val="bottom"/>
            <w:gridSpan w:val="8"/>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Consent of Skadden, Arps, Slate, Meagher &amp; Flom LLP (included in Exhibit 5.1)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w:t>
            </w: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 Consent of Kesselman &amp; Kesselman, Certified Public Accountants (Isr.), a member firm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PricewaterhouseCoopers International Limited, an independent registered public accounting</w:t>
            </w: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firm.</w:t>
            </w:r>
          </w:p>
        </w:tc>
        <w:tc>
          <w:tcPr>
            <w:tcW w:w="60" w:type="dxa"/>
            <w:vAlign w:val="bottom"/>
          </w:tcPr>
          <w:p>
            <w:pPr>
              <w:spacing w:after="0"/>
              <w:rPr>
                <w:sz w:val="20"/>
                <w:szCs w:val="20"/>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w:t>
            </w:r>
          </w:p>
        </w:tc>
        <w:tc>
          <w:tcPr>
            <w:tcW w:w="7300" w:type="dxa"/>
            <w:vAlign w:val="bottom"/>
            <w:gridSpan w:val="8"/>
          </w:tcPr>
          <w:p>
            <w:pPr>
              <w:spacing w:after="0" w:line="256" w:lineRule="exact"/>
              <w:rPr>
                <w:sz w:val="20"/>
                <w:szCs w:val="20"/>
                <w:color w:val="auto"/>
              </w:rPr>
            </w:pPr>
            <w:r>
              <w:rPr>
                <w:rFonts w:ascii="Times New Roman" w:cs="Times New Roman" w:eastAsia="Times New Roman" w:hAnsi="Times New Roman"/>
                <w:sz w:val="29"/>
                <w:szCs w:val="29"/>
                <w:color w:val="000000"/>
                <w:vertAlign w:val="superscript"/>
              </w:rPr>
              <w:t>​ ​</w:t>
            </w:r>
            <w:r>
              <w:rPr>
                <w:rFonts w:ascii="Times New Roman" w:cs="Times New Roman" w:eastAsia="Times New Roman" w:hAnsi="Times New Roman"/>
                <w:sz w:val="16"/>
                <w:szCs w:val="16"/>
                <w:color w:val="0000EE"/>
              </w:rPr>
              <w:t xml:space="preserve"> Powers of Attorney (included on the signature pages)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7300" w:type="dxa"/>
            <w:vAlign w:val="bottom"/>
            <w:gridSpan w:val="8"/>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Consent of Eyal Desheh</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260"/>
        <w:spacing w:after="0"/>
        <w:tabs>
          <w:tab w:leader="none" w:pos="1480" w:val="left"/>
          <w:tab w:leader="none" w:pos="2020" w:val="left"/>
          <w:tab w:leader="none" w:pos="4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031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ind w:left="1440" w:hanging="180"/>
        <w:spacing w:after="0" w:line="207" w:lineRule="auto"/>
        <w:tabs>
          <w:tab w:leader="none" w:pos="1440" w:val="left"/>
        </w:tabs>
        <w:numPr>
          <w:ilvl w:val="0"/>
          <w:numId w:val="1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Consent of Jon M. Huntsman, Jr.</w:t>
      </w:r>
    </w:p>
    <w:p>
      <w:pPr>
        <w:ind w:left="1440" w:hanging="180"/>
        <w:spacing w:after="0" w:line="184" w:lineRule="auto"/>
        <w:tabs>
          <w:tab w:leader="none" w:pos="1440" w:val="left"/>
        </w:tabs>
        <w:numPr>
          <w:ilvl w:val="0"/>
          <w:numId w:val="1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 xml:space="preserve">99.3**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Consent of Claire C. McCaskill</w:t>
      </w:r>
    </w:p>
    <w:p>
      <w:pPr>
        <w:ind w:left="1440" w:hanging="180"/>
        <w:spacing w:after="0" w:line="184" w:lineRule="auto"/>
        <w:tabs>
          <w:tab w:leader="none" w:pos="1440" w:val="left"/>
        </w:tabs>
        <w:numPr>
          <w:ilvl w:val="0"/>
          <w:numId w:val="1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 xml:space="preserve">99.4**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Consent of Christine Pambianchi</w:t>
      </w:r>
    </w:p>
    <w:p>
      <w:pPr>
        <w:ind w:left="1440" w:hanging="180"/>
        <w:spacing w:after="0" w:line="184" w:lineRule="auto"/>
        <w:tabs>
          <w:tab w:leader="none" w:pos="1440" w:val="left"/>
        </w:tabs>
        <w:numPr>
          <w:ilvl w:val="0"/>
          <w:numId w:val="1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 xml:space="preserve">99.5**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Consent of Frank D. Yeary</w:t>
      </w:r>
    </w:p>
    <w:p>
      <w:pPr>
        <w:ind w:left="1440" w:hanging="180"/>
        <w:spacing w:after="0" w:line="180" w:lineRule="auto"/>
        <w:tabs>
          <w:tab w:leader="none" w:pos="1440" w:val="left"/>
        </w:tabs>
        <w:numPr>
          <w:ilvl w:val="0"/>
          <w:numId w:val="1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99.6**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Consent of Saf Yeboah-Amankwah</w:t>
      </w:r>
    </w:p>
    <w:tbl>
      <w:tblPr>
        <w:tblLayout w:type="fixed"/>
        <w:tblInd w:w="1260" w:type="dxa"/>
        <w:tblCellMar>
          <w:top w:w="0" w:type="dxa"/>
          <w:left w:w="0" w:type="dxa"/>
          <w:bottom w:w="0" w:type="dxa"/>
          <w:right w:w="0" w:type="dxa"/>
        </w:tblCellMar>
      </w:tblPr>
      <w:tr>
        <w:trPr>
          <w:trHeight w:val="161"/>
        </w:trPr>
        <w:tc>
          <w:tcPr>
            <w:tcW w:w="56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0" w:lineRule="exact"/>
        <w:rPr>
          <w:sz w:val="20"/>
          <w:szCs w:val="20"/>
          <w:color w:val="auto"/>
        </w:rPr>
      </w:pPr>
    </w:p>
    <w:p>
      <w:pPr>
        <w:ind w:left="1260" w:right="5720"/>
        <w:spacing w:after="0" w:line="336"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submitted.</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Compensatory plan or arrangement.</w:t>
      </w:r>
    </w:p>
    <w:p>
      <w:pPr>
        <w:spacing w:after="0" w:line="77" w:lineRule="exact"/>
        <w:rPr>
          <w:sz w:val="20"/>
          <w:szCs w:val="20"/>
          <w:color w:val="auto"/>
        </w:rPr>
      </w:pPr>
    </w:p>
    <w:p>
      <w:pPr>
        <w:ind w:left="1620" w:hanging="360"/>
        <w:spacing w:after="0" w:line="266" w:lineRule="auto"/>
        <w:tabs>
          <w:tab w:leader="none" w:pos="1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360" w:space="100"/>
            <w:col w:w="41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Jerusalem, Israel, on                , 2022.</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 ​</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p>
        </w:tc>
        <w:tc>
          <w:tcPr>
            <w:tcW w:w="60" w:type="dxa"/>
            <w:vAlign w:val="bottom"/>
          </w:tcPr>
          <w:p>
            <w:pPr>
              <w:spacing w:after="0"/>
              <w:rPr>
                <w:sz w:val="21"/>
                <w:szCs w:val="21"/>
                <w:color w:val="auto"/>
              </w:rPr>
            </w:pPr>
          </w:p>
        </w:tc>
      </w:tr>
      <w:tr>
        <w:trPr>
          <w:trHeight w:val="54"/>
        </w:trPr>
        <w:tc>
          <w:tcPr>
            <w:tcW w:w="1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2"/>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Name:  Professor Amnon Shashua</w:t>
            </w:r>
          </w:p>
        </w:tc>
        <w:tc>
          <w:tcPr>
            <w:tcW w:w="60" w:type="dxa"/>
            <w:vAlign w:val="bottom"/>
          </w:tcPr>
          <w:p>
            <w:pPr>
              <w:spacing w:after="0"/>
              <w:rPr>
                <w:sz w:val="20"/>
                <w:szCs w:val="20"/>
                <w:color w:val="auto"/>
              </w:rPr>
            </w:pPr>
          </w:p>
        </w:tc>
      </w:tr>
      <w:tr>
        <w:trPr>
          <w:trHeight w:val="234"/>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c>
          <w:tcPr>
            <w:tcW w:w="60" w:type="dxa"/>
            <w:vAlign w:val="bottom"/>
          </w:tcPr>
          <w:p>
            <w:pPr>
              <w:spacing w:after="0"/>
              <w:rPr>
                <w:sz w:val="20"/>
                <w:szCs w:val="20"/>
                <w:color w:val="auto"/>
              </w:rPr>
            </w:pPr>
          </w:p>
        </w:tc>
      </w:tr>
    </w:tbl>
    <w:p>
      <w:pPr>
        <w:spacing w:after="0" w:line="19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Professor Amnon Shashua, Anat Heller, and Patrick P. Gelsinger,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12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2"/>
        </w:trPr>
        <w:tc>
          <w:tcPr>
            <w:tcW w:w="18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4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rPr>
              <w:t>Professor Amnon Shashua</w:t>
            </w:r>
          </w:p>
        </w:tc>
        <w:tc>
          <w:tcPr>
            <w:tcW w:w="2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vMerge w:val="continue"/>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420" w:type="dxa"/>
            <w:vAlign w:val="bottom"/>
            <w:vMerge w:val="restart"/>
          </w:tcPr>
          <w:p>
            <w:pPr>
              <w:jc w:val="center"/>
              <w:ind w:right="93"/>
              <w:spacing w:after="0"/>
              <w:rPr>
                <w:sz w:val="20"/>
                <w:szCs w:val="20"/>
                <w:color w:val="auto"/>
              </w:rPr>
            </w:pPr>
            <w:r>
              <w:rPr>
                <w:rFonts w:ascii="Times New Roman" w:cs="Times New Roman" w:eastAsia="Times New Roman" w:hAnsi="Times New Roman"/>
                <w:sz w:val="18"/>
                <w:szCs w:val="18"/>
                <w:color w:val="auto"/>
              </w:rPr>
              <w:t>Anat Heller</w:t>
            </w:r>
          </w:p>
        </w:tc>
        <w:tc>
          <w:tcPr>
            <w:tcW w:w="2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vMerge w:val="continue"/>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Patrick P. Gelsinger</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4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MEMORANDUM OF UNDERSTANDING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Memorandum of Understanding (“</w:t>
      </w:r>
      <w:r>
        <w:rPr>
          <w:rFonts w:ascii="Times New Roman" w:cs="Times New Roman" w:eastAsia="Times New Roman" w:hAnsi="Times New Roman"/>
          <w:sz w:val="18"/>
          <w:szCs w:val="18"/>
          <w:u w:val="single" w:color="auto"/>
          <w:color w:val="auto"/>
        </w:rPr>
        <w:t>MOU</w:t>
      </w:r>
      <w:r>
        <w:rPr>
          <w:rFonts w:ascii="Times New Roman" w:cs="Times New Roman" w:eastAsia="Times New Roman" w:hAnsi="Times New Roman"/>
          <w:sz w:val="18"/>
          <w:szCs w:val="18"/>
          <w:color w:val="auto"/>
        </w:rPr>
        <w:t>”) sets forth the mutual intent and agreement of</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STMicroelectronics N.V. </w:t>
      </w:r>
      <w:r>
        <w:rPr>
          <w:rFonts w:ascii="Times New Roman" w:cs="Times New Roman" w:eastAsia="Times New Roman" w:hAnsi="Times New Roman"/>
          <w:sz w:val="18"/>
          <w:szCs w:val="18"/>
          <w:color w:val="auto"/>
        </w:rPr>
        <w:t>(“ST”), a company organized and existing under the laws of The Netherlands, having its registered offices at WTC Schiphol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Airport, Schiphol Boulevard 265, 1118 BH Schiphol Airport Amsterdam The Netherlands, acting through its Swiss branch, with a registered office at 39, chemin du Champ-des-Filles, 1228 Plan-les-Ouates, Geneva, Switzerland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Mobileye Technologies Limitied </w:t>
      </w:r>
      <w:r>
        <w:rPr>
          <w:rFonts w:ascii="Times New Roman" w:cs="Times New Roman" w:eastAsia="Times New Roman" w:hAnsi="Times New Roman"/>
          <w:sz w:val="18"/>
          <w:szCs w:val="18"/>
          <w:color w:val="auto"/>
        </w:rPr>
        <w:t>(“Mobileye”) having offices at Julia House 3, Themistokli Dervis street, Nicosia, Cyprus.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individually called a “Party” and collectively called the “Parties”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660" w:right="42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MOU reflects the understandings reached by both parties on the terms and conditions of a cooperation which would include joint development and manufacturing of a product referred to as the “EyeQ2” and manufacturing services for an existing product referred to as the “EyeQ1”.</w:t>
      </w:r>
    </w:p>
    <w:p>
      <w:pPr>
        <w:spacing w:after="0" w:line="17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MOU would be later replaced by a definitive agreement (the “Final Agreement”) which is anticipated to reflect more elaborately the terms agreed upon in the MOU and add missing items when necessary. In case of possible conflict on items that have been agreed upon in this MOU, the MOU interpretation would be prevail.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negotiation points below represent issues that have been discussed by the Parties and are to be used as a basis for preparing the Final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u w:val="single" w:color="auto"/>
          <w:color w:val="auto"/>
        </w:rPr>
        <w:t>Manufacturing Service Obligations for EyeQ1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requested by Mobileye, ST is available to assume the manufacturing services for the EyeQ1 device currently manufactured in TSMC.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would provide free of charge to ST the EyeQ1 mask set to allow ST to have the device produced by TSMC.</w:t>
      </w:r>
    </w:p>
    <w:p>
      <w:pPr>
        <w:spacing w:after="0" w:line="225" w:lineRule="exact"/>
        <w:rPr>
          <w:sz w:val="20"/>
          <w:szCs w:val="20"/>
          <w:color w:val="auto"/>
        </w:rPr>
      </w:pPr>
    </w:p>
    <w:p>
      <w:pPr>
        <w:ind w:left="1300" w:right="5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Additionally, ST will assume the assembly and test services for the EyeQ1 device using the test programs written by Mobileye and agreed between the Parties in advance of testing.</w:t>
      </w:r>
    </w:p>
    <w:p>
      <w:pPr>
        <w:spacing w:after="0" w:line="162" w:lineRule="exact"/>
        <w:rPr>
          <w:sz w:val="20"/>
          <w:szCs w:val="20"/>
          <w:color w:val="auto"/>
        </w:rPr>
      </w:pPr>
    </w:p>
    <w:p>
      <w:pPr>
        <w:ind w:left="1300" w:right="1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Mobileye would perform qualification tests for the EyeQ1 in order the device to meet automotive qualification following the AEC-Q100 rev. F. In the event of any deficiencies in the qualification, ST will work with Mobileye to address any gaps in the EyeQ1.</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ST would perform a test program review and acceptance of the existing EyeQ1 test program procedure.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ST would sell the EyeQ1 to Mobileye with an appropriate warranty that is consistent with the following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7" w:name="page248"/>
    <w:bookmarkEnd w:id="247"/>
    <w:p>
      <w:pPr>
        <w:ind w:left="1960" w:right="60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Mobileye will be responsible for all product failures that are a result of the product not meeting the EyeQ1 specification including design and mask errors.</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ST will be responsible for failures due to manufacturing, testing and assembly.</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ST will be responsible for failure analysis and ongoing improvements of test program, to be agreed between the Parties.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EyeQ1 responsibility handover would be completed by end of 2005.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u w:val="single" w:color="auto"/>
          <w:color w:val="auto"/>
        </w:rPr>
        <w:t>Development Activities for EyeQ2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EyeQ2 is a custom product intended for automotive image recognition systems. Block diagrams are outlined in Appendix A.</w:t>
      </w:r>
    </w:p>
    <w:p>
      <w:pPr>
        <w:spacing w:after="0" w:line="225" w:lineRule="exact"/>
        <w:rPr>
          <w:sz w:val="20"/>
          <w:szCs w:val="20"/>
          <w:color w:val="auto"/>
        </w:rPr>
      </w:pPr>
    </w:p>
    <w:p>
      <w:pPr>
        <w:ind w:left="660" w:right="460"/>
        <w:spacing w:after="0" w:line="289" w:lineRule="auto"/>
        <w:rPr>
          <w:sz w:val="20"/>
          <w:szCs w:val="20"/>
          <w:color w:val="auto"/>
        </w:rPr>
      </w:pPr>
      <w:r>
        <w:rPr>
          <w:rFonts w:ascii="Times New Roman" w:cs="Times New Roman" w:eastAsia="Times New Roman" w:hAnsi="Times New Roman"/>
          <w:sz w:val="17"/>
          <w:szCs w:val="17"/>
          <w:color w:val="auto"/>
        </w:rPr>
        <w:t>Mobileye will be principally responsible for the design of EyeQ2. ST is available to support Mobileye in the form of specific IP delivery, including standard cell libraries and memory compilers. ST is also available to provide assistance in design for test and design for manufacturability. More specifically, Mobileye and ST intend to work together to develop the EyeQ2 following the business scheme below:</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ST Duties. And Mobileye Duties, Technical responsibilities and Schedule are defined in the APPENDIX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7"/>
          <w:szCs w:val="17"/>
          <w:b w:val="1"/>
          <w:bCs w:val="1"/>
          <w:u w:val="single" w:color="auto"/>
          <w:color w:val="auto"/>
        </w:rPr>
        <w:t>Product Exclusivity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Both the EyeQ1 and EyeQ2 are products that are specifically for Mobileye.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Mobileye is partnering exclusively with ST on the EyeQ1 and EyeQ2.</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u w:val="single" w:color="auto"/>
          <w:color w:val="auto"/>
        </w:rPr>
        <w:t>Support of Technical Issues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If products fail to perform to applicable specifications, the products will be returned via a FAR (Failure Analysis Request). As required for practical reasons by Mobileye, ST systems will accommodate a service for issuing Failure Analysis to Mobileye’s end customers directly after having informed in writing Mobileye of the results of the FAR. Mobileye expressly agrees to automatically accept any FAR issued by ST.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FAR may or may not result in a Return Material Authorization (RMA),</w:t>
      </w:r>
    </w:p>
    <w:p>
      <w:pPr>
        <w:spacing w:after="0" w:line="225" w:lineRule="exact"/>
        <w:rPr>
          <w:sz w:val="20"/>
          <w:szCs w:val="20"/>
          <w:color w:val="auto"/>
        </w:rPr>
      </w:pPr>
    </w:p>
    <w:p>
      <w:pPr>
        <w:ind w:left="1300" w:right="3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ST will perform initial failure analysis on products returned from Mobileye’s end customers, in accordance with the FAR process set forth above. 8D reports will be created as appropriate and will be provided to Mobileye and Mobileye’s end customers; Mobileye expressly agrees to automatically accept any 8D issued by ST.</w:t>
      </w:r>
    </w:p>
    <w:p>
      <w:pPr>
        <w:spacing w:after="0" w:line="176"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Mobileye and will assist as required for application related problems, including providing application boards and consultation for the failure analysis team.</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Applications support and technical assistance are the responsibility of Mobileye.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7"/>
          <w:szCs w:val="17"/>
          <w:b w:val="1"/>
          <w:bCs w:val="1"/>
          <w:u w:val="single" w:color="auto"/>
          <w:color w:val="auto"/>
        </w:rPr>
        <w:t>CONFIDENTIALITY</w:t>
      </w:r>
    </w:p>
    <w:p>
      <w:pPr>
        <w:spacing w:after="0" w:line="229"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For the purpose of this article 5.0, Confidential Information shall mean any information disclosed by either party (“the Discloser”) to the other (“the Recipient”) in pursuance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48" w:name="page249"/>
    <w:bookmarkEnd w:id="248"/>
    <w:p>
      <w:pPr>
        <w:ind w:left="660" w:right="260"/>
        <w:spacing w:after="0" w:line="266" w:lineRule="auto"/>
        <w:rPr>
          <w:sz w:val="20"/>
          <w:szCs w:val="20"/>
          <w:color w:val="auto"/>
        </w:rPr>
      </w:pPr>
      <w:r>
        <w:rPr>
          <w:rFonts w:ascii="Times New Roman" w:cs="Times New Roman" w:eastAsia="Times New Roman" w:hAnsi="Times New Roman"/>
          <w:sz w:val="18"/>
          <w:szCs w:val="18"/>
          <w:color w:val="auto"/>
        </w:rPr>
        <w:t>Confidential Information in tangible form will be marked by the Discloser with a legend identifying it as “CONFIDENTIAL” and Confidential Information disclosed verbally or by demonstration will be identified as confidential at the time of disclosure, and summarized in a written document that is sent to the Recipient of the Confidential Information within thirty (30) days after the disclosure.</w:t>
      </w:r>
    </w:p>
    <w:p>
      <w:pPr>
        <w:spacing w:after="0" w:line="176"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Each Party undertakes to use the same degree of care as it uses with respect its own information of a similar nature to avoid disclosing the Confidential Information received from the other Party unless the Discloser previously consented in writing to such disclosure.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undertaking will not apply to any information that:</w:t>
      </w:r>
    </w:p>
    <w:p>
      <w:pPr>
        <w:spacing w:after="0" w:line="225" w:lineRule="exact"/>
        <w:rPr>
          <w:sz w:val="20"/>
          <w:szCs w:val="20"/>
          <w:color w:val="auto"/>
        </w:rPr>
      </w:pPr>
    </w:p>
    <w:p>
      <w:pPr>
        <w:ind w:left="130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public domain at the time of disclosure to the Recipient or, thereafter enters the public domain without breach of the terms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already known by the Recipient at the time of disclosure;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developed by or on behalf of the Recipient independently of the Discloser’s Confidential Information;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known from a third party without breach of the terms of this Agreement.</w:t>
      </w:r>
    </w:p>
    <w:p>
      <w:pPr>
        <w:spacing w:after="0" w:line="225" w:lineRule="exact"/>
        <w:rPr>
          <w:sz w:val="20"/>
          <w:szCs w:val="20"/>
          <w:color w:val="auto"/>
        </w:rPr>
      </w:pPr>
    </w:p>
    <w:p>
      <w:pPr>
        <w:jc w:val="both"/>
        <w:ind w:left="660" w:right="300"/>
        <w:spacing w:after="0" w:line="282" w:lineRule="auto"/>
        <w:rPr>
          <w:sz w:val="20"/>
          <w:szCs w:val="20"/>
          <w:color w:val="auto"/>
        </w:rPr>
      </w:pPr>
      <w:r>
        <w:rPr>
          <w:rFonts w:ascii="Times New Roman" w:cs="Times New Roman" w:eastAsia="Times New Roman" w:hAnsi="Times New Roman"/>
          <w:sz w:val="18"/>
          <w:szCs w:val="18"/>
          <w:color w:val="auto"/>
        </w:rPr>
        <w:t>ST and Mobileye shall not use the Confidential Information for another or other purposes than for the joint development and manufacturing of “EyeQ2” and manufacturing services for “EyeQ1”.</w:t>
      </w:r>
    </w:p>
    <w:p>
      <w:pPr>
        <w:spacing w:after="0" w:line="162" w:lineRule="exact"/>
        <w:rPr>
          <w:sz w:val="20"/>
          <w:szCs w:val="20"/>
          <w:color w:val="auto"/>
        </w:rPr>
      </w:pPr>
    </w:p>
    <w:p>
      <w:pPr>
        <w:jc w:val="both"/>
        <w:ind w:left="660" w:right="300"/>
        <w:spacing w:after="0" w:line="266" w:lineRule="auto"/>
        <w:rPr>
          <w:sz w:val="20"/>
          <w:szCs w:val="20"/>
          <w:color w:val="auto"/>
        </w:rPr>
      </w:pPr>
      <w:r>
        <w:rPr>
          <w:rFonts w:ascii="Times New Roman" w:cs="Times New Roman" w:eastAsia="Times New Roman" w:hAnsi="Times New Roman"/>
          <w:sz w:val="18"/>
          <w:szCs w:val="18"/>
          <w:color w:val="auto"/>
        </w:rPr>
        <w:t>Either Party may disclose any Confidential Information hereabove to its employees having the reasonable need for access to such Confidential Information in connection with or during the performance of this Agreement and the Parties shall ensure that such employees comply with the provisions of this article.</w:t>
      </w:r>
    </w:p>
    <w:p>
      <w:pPr>
        <w:spacing w:after="0" w:line="176"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ST reserves the right and Mobileye agrees that ST may disclose the Confidential Information of Mobileye to any of the Affiliates on a “need to know” basis, and ST shall ensure that such Affiliates comply with the provisions of this MOU.</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6.0</w:t>
      </w:r>
      <w:r>
        <w:rPr>
          <w:sz w:val="20"/>
          <w:szCs w:val="20"/>
          <w:color w:val="auto"/>
        </w:rPr>
        <w:tab/>
      </w:r>
      <w:r>
        <w:rPr>
          <w:rFonts w:ascii="Times New Roman" w:cs="Times New Roman" w:eastAsia="Times New Roman" w:hAnsi="Times New Roman"/>
          <w:sz w:val="17"/>
          <w:szCs w:val="17"/>
          <w:b w:val="1"/>
          <w:bCs w:val="1"/>
          <w:u w:val="single" w:color="auto"/>
          <w:color w:val="auto"/>
        </w:rPr>
        <w:t>Intellectual Property Rights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Each Party will continue to own all background technology it brings to the relationship.</w:t>
      </w:r>
    </w:p>
    <w:p>
      <w:pPr>
        <w:spacing w:after="0" w:line="225" w:lineRule="exact"/>
        <w:rPr>
          <w:sz w:val="20"/>
          <w:szCs w:val="20"/>
          <w:color w:val="auto"/>
        </w:rPr>
      </w:pPr>
    </w:p>
    <w:p>
      <w:pPr>
        <w:ind w:left="1300" w:right="8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Mobileye shall own all of the technologies developed solely by Mobileye and will have the right to modify, adapt, or extend them in any fashion it chooses.</w:t>
      </w:r>
    </w:p>
    <w:p>
      <w:pPr>
        <w:spacing w:after="0" w:line="162" w:lineRule="exact"/>
        <w:rPr>
          <w:sz w:val="20"/>
          <w:szCs w:val="20"/>
          <w:color w:val="auto"/>
        </w:rPr>
      </w:pPr>
    </w:p>
    <w:p>
      <w:pPr>
        <w:ind w:left="1300" w:right="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ST shall own all of the technologies developed solely by ST, ST and will have the right to modify, adapt, or extend them in any fashion it chooses.</w:t>
      </w:r>
    </w:p>
    <w:p>
      <w:pPr>
        <w:spacing w:after="0" w:line="162" w:lineRule="exact"/>
        <w:rPr>
          <w:sz w:val="20"/>
          <w:szCs w:val="20"/>
          <w:color w:val="auto"/>
        </w:rPr>
      </w:pPr>
    </w:p>
    <w:p>
      <w:pPr>
        <w:ind w:left="1300" w:right="2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ST will grant Mobileye the necessary non-exclusive licenses to use the delivered ST IPs solely for the purpose of designing and selling the EyeQ2 product.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Mobileye shall grant ST the necessary licenses for manufacturing and selling to Mobileye the EyeQ2 product.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7.0</w:t>
      </w:r>
      <w:r>
        <w:rPr>
          <w:sz w:val="20"/>
          <w:szCs w:val="20"/>
          <w:color w:val="auto"/>
        </w:rPr>
        <w:tab/>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The Parties agree to issue a mutually agreed upon press release related to the subject matter of the Final Agreement immediately after the signature of MOU.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9" w:name="page250"/>
    <w:bookmarkEnd w:id="24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8"/>
          <w:szCs w:val="18"/>
          <w:b w:val="1"/>
          <w:bCs w:val="1"/>
          <w:u w:val="single" w:color="auto"/>
          <w:color w:val="auto"/>
        </w:rPr>
        <w:t>Sales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ST will ship the EyeQ1 and EyeQ2 directly to the end customer address as specified by Mobileye.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Invoicing will be between end customer and Mobileye and between Mobileye and ST.</w:t>
      </w:r>
    </w:p>
    <w:p>
      <w:pPr>
        <w:spacing w:after="0" w:line="225" w:lineRule="exact"/>
        <w:rPr>
          <w:sz w:val="20"/>
          <w:szCs w:val="20"/>
          <w:color w:val="auto"/>
        </w:rPr>
      </w:pPr>
    </w:p>
    <w:p>
      <w:pPr>
        <w:ind w:left="1300" w:right="14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ST will sell the EyeQ1 and EyeQ2 to Mobileye according to ST’s terms and conditions of sale (in particular with a 3 Years product warranty) that have to be compliant with the terms and conditions of sale of Mobileye versus its end customer. To remove doubt, ST’s terms and conditions should reflect the standard practice given by ST, on other similar ST products, to Mobileye’s end customers. In the event of a conflict between the MOU and ST’s standard terms and conditions, the MOU shall prevail.</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EyeQ1 and EyeQ2 devices would bear the branding of both Parties.</w:t>
      </w:r>
    </w:p>
    <w:p>
      <w:pPr>
        <w:spacing w:after="0" w:line="225" w:lineRule="exact"/>
        <w:rPr>
          <w:sz w:val="20"/>
          <w:szCs w:val="20"/>
          <w:color w:val="auto"/>
        </w:rPr>
      </w:pPr>
    </w:p>
    <w:p>
      <w:pPr>
        <w:ind w:left="1300" w:right="6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Mobileye will sell the EyeQ1 and EyeQ2 together with the Mobileye specific software to its end customers as Mobileye products under the terms and conditions established by Mobileye directly with its end customers. Mobileye is liable to its end customers for the products sold by Mobileye.</w:t>
      </w:r>
    </w:p>
    <w:p>
      <w:pPr>
        <w:spacing w:after="0" w:line="176" w:lineRule="exact"/>
        <w:rPr>
          <w:sz w:val="20"/>
          <w:szCs w:val="20"/>
          <w:color w:val="auto"/>
        </w:rPr>
      </w:pPr>
    </w:p>
    <w:p>
      <w:pPr>
        <w:ind w:left="1300" w:right="5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The natural expiration of the Final. Agreement will not prevent Mobileye from purchasing products under ST’s standard terms and conditions of sale as consistent with Section 8.3.</w:t>
      </w:r>
    </w:p>
    <w:p>
      <w:pPr>
        <w:spacing w:after="0" w:line="162" w:lineRule="exact"/>
        <w:rPr>
          <w:sz w:val="20"/>
          <w:szCs w:val="20"/>
          <w:color w:val="auto"/>
        </w:rPr>
      </w:pPr>
    </w:p>
    <w:p>
      <w:pPr>
        <w:ind w:left="1300" w:right="3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End of life initiated by ST without concurrence from Mobileye (referred to herein as a “unilateral” end of life) for EyeQ1 and EyeQ2 cannot occur within the first six (6) years from qualification.</w:t>
      </w:r>
    </w:p>
    <w:p>
      <w:pPr>
        <w:spacing w:after="0" w:line="162" w:lineRule="exact"/>
        <w:rPr>
          <w:sz w:val="20"/>
          <w:szCs w:val="20"/>
          <w:color w:val="auto"/>
        </w:rPr>
      </w:pPr>
    </w:p>
    <w:p>
      <w:pPr>
        <w:ind w:left="1300" w:right="3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Termination of agreement prior to production of EyeQ1 and/or EyeQ2 will only be permitted for cause or for failure of EyeQ1 and/or EyeQ2 to meet technical feasibility criteria.</w:t>
      </w:r>
    </w:p>
    <w:p>
      <w:pPr>
        <w:spacing w:after="0" w:line="162" w:lineRule="exact"/>
        <w:rPr>
          <w:sz w:val="20"/>
          <w:szCs w:val="20"/>
          <w:color w:val="auto"/>
        </w:rPr>
      </w:pPr>
    </w:p>
    <w:p>
      <w:pPr>
        <w:ind w:left="1300" w:right="58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In the event that ST issues a unilateral end-of-life notice for EyeQ1/EyeQ2, ST would transfer, free of charge, all the accumulated changes to the test program, burn-in boards, test boards, and qualification boards.</w:t>
      </w:r>
    </w:p>
    <w:p>
      <w:pPr>
        <w:spacing w:after="0" w:line="162" w:lineRule="exact"/>
        <w:rPr>
          <w:sz w:val="20"/>
          <w:szCs w:val="20"/>
          <w:color w:val="auto"/>
        </w:rPr>
      </w:pPr>
    </w:p>
    <w:p>
      <w:pPr>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8"/>
          <w:szCs w:val="18"/>
          <w:color w:val="auto"/>
        </w:rPr>
        <w:t>In the event that ST issues a unilateral end-of-life notice for the EyeQ1 or EyeQ2, ST will provide the end-of-life notice under the following terms: provided that a three (3) years production warranty is in any way released to Mobileye, ST will provide three (3) years advance notice of end-of-life and ST will allow up to twelve (12) months for Mobileye to place orders following the expiration of the three (3) years notice, and twelve (12) months for Mobileye to take final delivery of the products. For clarification, a unilateral end-of-life would take effect no sooner than ten (10) years from qualification.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9.0</w:t>
      </w:r>
      <w:r>
        <w:rPr>
          <w:sz w:val="20"/>
          <w:szCs w:val="20"/>
          <w:color w:val="auto"/>
        </w:rPr>
        <w:tab/>
      </w:r>
      <w:r>
        <w:rPr>
          <w:rFonts w:ascii="Times New Roman" w:cs="Times New Roman" w:eastAsia="Times New Roman" w:hAnsi="Times New Roman"/>
          <w:sz w:val="17"/>
          <w:szCs w:val="17"/>
          <w:b w:val="1"/>
          <w:bCs w:val="1"/>
          <w:u w:val="single" w:color="auto"/>
          <w:color w:val="auto"/>
        </w:rPr>
        <w:t>Quality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1300" w:right="16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ST would be accessible to Mobileye end customers and assist in responding to audits, and common quality reporting requests which are consistent with ST’s current practices. Mobileye may not contractually commit to audits of ST or ST’s manufacturing facilities without ST’s express written approval.</w:t>
      </w:r>
    </w:p>
    <w:p>
      <w:pPr>
        <w:spacing w:after="0" w:line="176" w:lineRule="exact"/>
        <w:rPr>
          <w:sz w:val="20"/>
          <w:szCs w:val="20"/>
          <w:color w:val="auto"/>
        </w:rPr>
      </w:pPr>
    </w:p>
    <w:p>
      <w:pPr>
        <w:ind w:left="1300" w:right="1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ST will comply with ST’s automotive quality policies as expected by Mobileye’s end customers. Mobileye must manage end customer’s quality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0" w:name="page251"/>
    <w:bookmarkEnd w:id="25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10.0</w:t>
      </w:r>
      <w:r>
        <w:rPr>
          <w:sz w:val="20"/>
          <w:szCs w:val="20"/>
          <w:color w:val="auto"/>
        </w:rPr>
        <w:tab/>
      </w:r>
      <w:r>
        <w:rPr>
          <w:rFonts w:ascii="Times New Roman" w:cs="Times New Roman" w:eastAsia="Times New Roman" w:hAnsi="Times New Roman"/>
          <w:sz w:val="17"/>
          <w:szCs w:val="17"/>
          <w:b w:val="1"/>
          <w:bCs w:val="1"/>
          <w:u w:val="single" w:color="auto"/>
          <w:color w:val="auto"/>
        </w:rPr>
        <w:t>Non-Competition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lifetime of this MOU and for eighteen (18) months after termination or expiration of this MOU, ST shall not engage in the sale of a custom device, which is designed and marketed as an application specific (ASIC) to one or more of the existing applications running on EyeQ1 or EyeQ2.</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exclusivity relation between the Parties assumes the following: (1) ST shall actively promote EyeQ1 and EyeQ2 to its automotive customers by, among other things, including EyeQ1 and EyeQ2 in any materials (catalogues) it provides to customers on its future plans for automotive microprocessors; and (2) ST shall not develop with another party a device for use in automotive specific image recognition applications equal or resembling to the specific applications promoted by Mobileye on the EyeQ1 and EyeQ2 devices. If items (1) or (2) are violated then the exclusivity expires, however, this does not constitute a cause for termination of the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b w:val="1"/>
          <w:bCs w:val="1"/>
          <w:u w:val="single" w:color="auto"/>
          <w:color w:val="auto"/>
        </w:rPr>
        <w:t>Various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Mobileye ceases doing business or, in connection with bankruptcy proceedings is no longer supplying the EyeQ1 or EyeQ2 to its customers directly, ST agrees that it shall accept purchase orders from Mobileye customers authorized in writing (and in subject to such written authorization) to make such and for any then-existing EyeQ1 and EyeQ2 products under the same terms and conditions applicable to purchase orders accepted from Mobileye in the immediately preceding 12 months, or if no purchase orders were accepted during such period, under commercially reasonable terms and conditions. ST agrees that it shall execute any documents reasonably requested by Mobileye to evidence this obligation to customers.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Mobileye shall have the right to assign this MOU in connection with a merger, corporate reorganization, acquisition, or sale of all or substantially all of the assets to which this MOU pertains.</w:t>
      </w:r>
    </w:p>
    <w:p>
      <w:pPr>
        <w:spacing w:after="0" w:line="162"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issue: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can cancel or reduce the amount of an order before wafer start.</w:t>
      </w:r>
    </w:p>
    <w:p>
      <w:pPr>
        <w:spacing w:after="0" w:line="225"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payment: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should be within 45 days of receipt of invoice except as otherwise agreed in writing.</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b w:val="1"/>
          <w:bCs w:val="1"/>
          <w:u w:val="single" w:color="auto"/>
          <w:color w:val="auto"/>
        </w:rPr>
        <w:t>NRE &amp;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outlines the fees that have been discussed:</w:t>
      </w:r>
    </w:p>
    <w:p>
      <w:pPr>
        <w:spacing w:after="0" w:line="225"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 contract signature for design libraries and basic IPs delivery.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 tapeout.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 first samples delivery.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would be deducted from the *** devices at $***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13.0</w:t>
            </w: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Budget Pricing: EyeQ1</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Volume</w:t>
            </w:r>
          </w:p>
        </w:tc>
        <w:tc>
          <w:tcPr>
            <w:tcW w:w="30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2006</w:t>
            </w:r>
          </w:p>
        </w:tc>
        <w:tc>
          <w:tcPr>
            <w:tcW w:w="16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2008</w:t>
            </w:r>
          </w:p>
        </w:tc>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2010</w:t>
            </w:r>
          </w:p>
        </w:tc>
        <w:tc>
          <w:tcPr>
            <w:tcW w:w="14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4"/>
                <w:szCs w:val="24"/>
                <w:color w:val="auto"/>
              </w:rPr>
            </w:pPr>
          </w:p>
        </w:tc>
      </w:tr>
      <w:tr>
        <w:trPr>
          <w:trHeight w:val="209"/>
        </w:trPr>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4"/>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prices are based on the following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LINES REDACTED]***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b w:val="1"/>
          <w:bCs w:val="1"/>
          <w:u w:val="single" w:color="auto"/>
          <w:color w:val="auto"/>
        </w:rPr>
        <w:t>Budget Pricing: EyeQ2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Volume</w:t>
            </w:r>
          </w:p>
        </w:tc>
        <w:tc>
          <w:tcPr>
            <w:tcW w:w="1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15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tcPr>
          <w:p>
            <w:pPr>
              <w:spacing w:after="0"/>
              <w:rPr>
                <w:sz w:val="18"/>
                <w:szCs w:val="18"/>
                <w:color w:val="auto"/>
              </w:rPr>
            </w:pPr>
          </w:p>
        </w:tc>
        <w:tc>
          <w:tcPr>
            <w:tcW w:w="1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prices are based on the following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LINES REDACTED]***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15.0</w:t>
      </w:r>
      <w:r>
        <w:rPr>
          <w:sz w:val="20"/>
          <w:szCs w:val="20"/>
          <w:color w:val="auto"/>
        </w:rPr>
        <w:tab/>
      </w:r>
      <w:r>
        <w:rPr>
          <w:rFonts w:ascii="Times New Roman" w:cs="Times New Roman" w:eastAsia="Times New Roman" w:hAnsi="Times New Roman"/>
          <w:sz w:val="17"/>
          <w:szCs w:val="17"/>
          <w:b w:val="1"/>
          <w:bCs w:val="1"/>
          <w:u w:val="single" w:color="auto"/>
          <w:color w:val="auto"/>
        </w:rPr>
        <w:t>Duration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MOU provides the guidelines for the Final Agreement between the Parties. The MOU will be replaced by the Final Agreement which will contain more technical details about the technical activities of both Parties and additional elaborations and appendices as required. Following the signature of this MOU both Parties would immediately fix the necessary steps to start the cooperation.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7"/>
          <w:szCs w:val="17"/>
          <w:b w:val="1"/>
          <w:bCs w:val="1"/>
          <w:u w:val="single" w:color="auto"/>
          <w:color w:val="auto"/>
        </w:rPr>
        <w:t>Disputes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All disputes between the Parties in connection to this MOU shall first be discussed in good faith between the Parties in order to try to find an amicable solution. If no solution can be found to settle the dispute within 45 days after giving notice to the defaulting party, then the dispute will be submitted to the Court of the jurisdiction of London, England. This agreement shall be governed by and construed in accordance with the laws of England.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above read, confirmed and 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Ugo Carena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Corporate VP STMicroelectronics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Ugo Carena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place: Agrate, October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Mobileye Technologies Limitied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Ziv Aviram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35" w:lineRule="auto"/>
        <w:rPr>
          <w:sz w:val="20"/>
          <w:szCs w:val="20"/>
          <w:color w:val="auto"/>
        </w:rPr>
      </w:pPr>
      <w:r>
        <w:rPr>
          <w:rFonts w:ascii="Times New Roman" w:cs="Times New Roman" w:eastAsia="Times New Roman" w:hAnsi="Times New Roman"/>
          <w:sz w:val="22"/>
          <w:szCs w:val="22"/>
          <w:color w:val="auto"/>
        </w:rPr>
        <w:t>Signature: /s/ Ziv Aviram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 2005</w:t>
      </w:r>
    </w:p>
    <w:p>
      <w:pPr>
        <w:spacing w:after="0" w:line="187" w:lineRule="exact"/>
        <w:rPr>
          <w:sz w:val="20"/>
          <w:szCs w:val="20"/>
          <w:color w:val="auto"/>
        </w:rPr>
      </w:pPr>
    </w:p>
    <w:p>
      <w:pPr>
        <w:spacing w:after="0"/>
        <w:tabs>
          <w:tab w:leader="none" w:pos="9960" w:val="left"/>
        </w:tabs>
        <w:rPr>
          <w:sz w:val="20"/>
          <w:szCs w:val="20"/>
          <w:color w:val="auto"/>
        </w:rPr>
      </w:pPr>
      <w:r>
        <w:rPr>
          <w:rFonts w:ascii="Times New Roman" w:cs="Times New Roman" w:eastAsia="Times New Roman" w:hAnsi="Times New Roman"/>
          <w:sz w:val="18"/>
          <w:szCs w:val="18"/>
          <w:b w:val="1"/>
          <w:bCs w:val="1"/>
          <w:color w:val="auto"/>
        </w:rPr>
        <w:t>STM — ME Agreement appendix</w:t>
      </w:r>
      <w:r>
        <w:rPr>
          <w:sz w:val="20"/>
          <w:szCs w:val="20"/>
          <w:color w:val="auto"/>
        </w:rPr>
        <w:tab/>
      </w:r>
      <w:r>
        <w:rPr>
          <w:rFonts w:ascii="Times New Roman" w:cs="Times New Roman" w:eastAsia="Times New Roman" w:hAnsi="Times New Roman"/>
          <w:sz w:val="17"/>
          <w:szCs w:val="17"/>
          <w:b w:val="1"/>
          <w:bCs w:val="1"/>
          <w:color w:val="auto"/>
        </w:rPr>
        <w:t>28 October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 TO THE MOU BETWEEN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MOBILEYE &amp; ST MICROELECTRONICS ON EYEQ2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ASIC (8 PAGES) REDACTED]***</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Information contained in this document has been prepared exclusively for the use of Mobileye &amp; STMicroelectronics. The information contained herein may not be disclosed or duplicated for others without proper authorization from Mobileye &amp; STMicroelectronics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w:t>
            </w: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Ofer Maharshak</w:t>
            </w:r>
          </w:p>
        </w:tc>
        <w:tc>
          <w:tcPr>
            <w:tcW w:w="254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Sent:</w:t>
            </w: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16:19 2010 [Hebrew text] 08 [Hebrew text]</w:t>
            </w:r>
          </w:p>
        </w:tc>
        <w:tc>
          <w:tcPr>
            <w:tcW w:w="254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Martin Russell DUNCAN</w:t>
            </w:r>
          </w:p>
        </w:tc>
        <w:tc>
          <w:tcPr>
            <w:tcW w:w="254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Cc:</w:t>
            </w:r>
          </w:p>
        </w:tc>
        <w:tc>
          <w:tcPr>
            <w:tcW w:w="6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Amnon Shashua; Ziv Aviram; Mordehay CHOUCHAN; Elchanan Rushinek</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 EyeQ3 budgetary quotation</w:t>
            </w:r>
          </w:p>
        </w:tc>
        <w:tc>
          <w:tcPr>
            <w:tcW w:w="25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Tracking:</w:t>
            </w: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Recipient</w:t>
            </w: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Delivery</w:t>
            </w:r>
          </w:p>
        </w:tc>
      </w:tr>
      <w:tr>
        <w:trPr>
          <w:trHeight w:val="216"/>
        </w:trPr>
        <w:tc>
          <w:tcPr>
            <w:tcW w:w="12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Martin Russell DUNCAN</w:t>
            </w:r>
          </w:p>
        </w:tc>
        <w:tc>
          <w:tcPr>
            <w:tcW w:w="25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Amnon Shashua</w:t>
            </w:r>
          </w:p>
        </w:tc>
        <w:tc>
          <w:tcPr>
            <w:tcW w:w="25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Ziv Aviram</w:t>
            </w:r>
          </w:p>
        </w:tc>
        <w:tc>
          <w:tcPr>
            <w:tcW w:w="25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Mordehay CHOUCHAN</w:t>
            </w:r>
          </w:p>
        </w:tc>
        <w:tc>
          <w:tcPr>
            <w:tcW w:w="254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Elchanan Rushinek</w:t>
            </w:r>
          </w:p>
        </w:tc>
        <w:tc>
          <w:tcPr>
            <w:tcW w:w="2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Failed: 08/06/2010 16:19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Martin,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prompt response.</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Following an internal review we decided to accept your offer. For the sake of minimizing possible mis-understanding please find below the terms as we understood them: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LINES REDACTED]***</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3. EyeQ2 – prices will be adjusted as follows: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EyeQ2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400" w:type="dxa"/>
            <w:vAlign w:val="bottom"/>
            <w:gridSpan w:val="2"/>
          </w:tcPr>
          <w:p>
            <w:pPr>
              <w:spacing w:after="0" w:line="250" w:lineRule="exact"/>
              <w:rPr>
                <w:sz w:val="20"/>
                <w:szCs w:val="20"/>
                <w:color w:val="auto"/>
              </w:rPr>
            </w:pPr>
            <w:r>
              <w:rPr>
                <w:rFonts w:ascii="Times New Roman" w:cs="Times New Roman" w:eastAsia="Times New Roman" w:hAnsi="Times New Roman"/>
                <w:sz w:val="17"/>
                <w:szCs w:val="17"/>
                <w:color w:val="auto"/>
              </w:rPr>
              <w:t>Accumulated from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unit</w:t>
            </w:r>
          </w:p>
        </w:tc>
        <w:tc>
          <w:tcPr>
            <w:tcW w:w="13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3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3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3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13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3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657"/>
        </w:trPr>
        <w:tc>
          <w:tcPr>
            <w:tcW w:w="3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color w:val="auto"/>
        </w:rPr>
        <w:t>All other business terms will be identical to EyeQ1 and EyeQ2.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suggest a simple addendum to reflect the above.</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Martin - thank you very much for your support and help during this period that enabled us to come to this point and continue our true partnership. I am confident that both companies will benefit from this.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Mobileye, Thank you and ST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Ofer Maharshak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w:t>
      </w:r>
    </w:p>
    <w:p>
      <w:pPr>
        <w:spacing w:after="0" w:line="9" w:lineRule="exact"/>
        <w:rPr>
          <w:sz w:val="20"/>
          <w:szCs w:val="20"/>
          <w:color w:val="auto"/>
        </w:rPr>
      </w:pPr>
    </w:p>
    <w:p>
      <w:pPr>
        <w:ind w:left="200" w:hanging="192"/>
        <w:spacing w:after="0"/>
        <w:tabs>
          <w:tab w:leader="none" w:pos="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+972 2 5417375</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+972 54 4850289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07124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Martin Russell DUNCAN [mailto:martin.duncan©st.com]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Sent: </w:t>
      </w:r>
      <w:r>
        <w:rPr>
          <w:rFonts w:ascii="Times New Roman" w:cs="Times New Roman" w:eastAsia="Times New Roman" w:hAnsi="Times New Roman"/>
          <w:sz w:val="18"/>
          <w:szCs w:val="18"/>
          <w:color w:val="auto"/>
        </w:rPr>
        <w:t>Tuesday, June 08, 2010 12:10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‘Martin Russell DUNCAN’; elchanan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Cc: </w:t>
      </w:r>
      <w:r>
        <w:rPr>
          <w:rFonts w:ascii="Times New Roman" w:cs="Times New Roman" w:eastAsia="Times New Roman" w:hAnsi="Times New Roman"/>
          <w:sz w:val="18"/>
          <w:szCs w:val="18"/>
          <w:color w:val="auto"/>
        </w:rPr>
        <w:t>Amnon Shashua; Ziv Aviram; Ofer Maharshak; ‘Mordehay CHOUCHAN’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RE: EyeQ3 budgetary quotation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all,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hope this is a little closer to your expectations for the high volumes that we are envisaging. If you wish to discuss further, please do not hesitate to call me and I will make myself available as I know this is very urgent to you.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LINES 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54" w:name="page255"/>
    <w:bookmarkEnd w:id="2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3 to the Memorandum of understanding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to the Memorandum of Understanding is made this day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of April 2013 by and between:</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STMicroelectronics International N.V., </w:t>
      </w:r>
      <w:r>
        <w:rPr>
          <w:rFonts w:ascii="Times New Roman" w:cs="Times New Roman" w:eastAsia="Times New Roman" w:hAnsi="Times New Roman"/>
          <w:sz w:val="18"/>
          <w:szCs w:val="18"/>
          <w:color w:val="auto"/>
        </w:rPr>
        <w:t>a Dutch Corporation, with a Swiss Branch and its Headquarters located at 39, Chemin du Champ-des-Filles,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Plan-les-Ouates, 1228 Geneva, Switzerland (“ST”)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Technologies Limited</w:t>
      </w:r>
      <w:r>
        <w:rPr>
          <w:rFonts w:ascii="Times New Roman" w:cs="Times New Roman" w:eastAsia="Times New Roman" w:hAnsi="Times New Roman"/>
          <w:sz w:val="18"/>
          <w:szCs w:val="18"/>
          <w:color w:val="auto"/>
        </w:rPr>
        <w:t>, having offices at Julia House 3, Themistokli Dervis street, Nicosia, Cyprus (“Mobileye”)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collectively “Parties” and individually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980" w:right="140" w:hanging="324"/>
        <w:spacing w:after="0" w:line="266"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2005 the Parties entered into a Memorandum of Understanding (“MOU”) reflecting the understandings of both Parties on a cooperation for the development and manufacturing of a product named “EyeQ2” and for manufacturing services for a product named “EyeQ1”;</w:t>
      </w:r>
    </w:p>
    <w:p>
      <w:pPr>
        <w:spacing w:after="0" w:line="17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26, 2006, the Parties signed an agreement implementing the MOU in relation to the costs connected to a new silicon revision of the “EyeQ1”, and granting to ST additional NRE fees;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2009, the Parties signed an agreement revising the budget pricing related to the “ByeQ2”.</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recitals hereabove and subject to the terms, conditions and covenants set forth hereunder, ST and Mobileye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defined terms consisting of one or more words bearing an initial capitalized letter used and not defined herein shall have the meanings assigned to them in the Agreement as amended hereby.</w:t>
      </w:r>
    </w:p>
    <w:p>
      <w:pPr>
        <w:spacing w:after="0" w:line="15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15.0 of the MOU is hereby amended and restated in its entirety and shall read as follows: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This MOU shall be legally binding on the Parties and in force until the execution by the Parties of a “Final Agreement” (is defined in the MOU) or December 31, 2022 whichever event occurs first”</w:t>
      </w:r>
    </w:p>
    <w:p>
      <w:pPr>
        <w:spacing w:after="0" w:line="158"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Entire Agreement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Amendment acts forth the entire agreement of the Parties hereto with respect to the matters coveted herein and, except as otherwise provided herein, supersedes, all prior agreements, covenants, arrangements, communications, representations and warranties, whether oral or written by any officer, employee or representative of any of either Party, it being acknowledged, however, that other than those sections specifically amended in Article 2 herein, nothing in-this Amendment shall affect the validity and enforceability of the provisions of the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Amendment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 amendment to any provision of this Amendment shall be effective or binding on either of the Parties unless set forth in writing and executed by a duly authorized representative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55" w:name="page256"/>
    <w:bookmarkEnd w:id="25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Severability</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case any provision in this Amendment shall be invalid, illegal or unenforceable, the validity, legality and enforceability of the remaining provisions shall not in any way be affected or impaired thereby. The invalidity, illegality or unenforceability of any provision in this Amendment in any jurisdiction shall not invalidate or render illegal or unenforceable such provision in any other jurisdiction.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i w:val="1"/>
          <w:iCs w:val="1"/>
          <w:color w:val="auto"/>
        </w:rPr>
        <w:t>Counterparts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Amendment shall be executed in two counterparts, each of which shall be deemed to be an original, and all shall constitute one and the same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i w:val="1"/>
          <w:iCs w:val="1"/>
          <w:color w:val="auto"/>
        </w:rPr>
        <w:t>Governing Law and Dispute Resolution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shall be governed by and interpreted according to the terms and conditions set forth in Section 16.0 of the MOU.</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disputes arising out of or in connection with this Amendment shall be finally settled according to the terms and conditions set forth in Section 16.0 of the MOU.</w:t>
      </w:r>
    </w:p>
    <w:p>
      <w:pPr>
        <w:spacing w:after="0" w:line="158"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Entry into Force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comes into effect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2013.</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is signed by duly authorized representatives of the Parties at the date mentioned on the first page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 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STMicroelectronics International N.V.</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Mobileye Technologies Limited</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Marco Maria Monti</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Ziv Avram</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60" w:type="dxa"/>
            <w:vAlign w:val="bottom"/>
          </w:tcPr>
          <w:p>
            <w:pPr>
              <w:spacing w:after="0"/>
              <w:rPr>
                <w:sz w:val="16"/>
                <w:szCs w:val="16"/>
                <w:color w:val="auto"/>
              </w:rPr>
            </w:pPr>
          </w:p>
        </w:tc>
        <w:tc>
          <w:tcPr>
            <w:tcW w:w="4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General Manager, Executive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0" w:type="dxa"/>
            <w:vAlign w:val="bottom"/>
            <w:vMerge w:val="continue"/>
          </w:tcPr>
          <w:p>
            <w:pPr>
              <w:spacing w:after="0"/>
              <w:rPr>
                <w:sz w:val="20"/>
                <w:szCs w:val="20"/>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Vice President</w:t>
            </w:r>
          </w:p>
        </w:tc>
        <w:tc>
          <w:tcPr>
            <w:tcW w:w="1120" w:type="dxa"/>
            <w:vAlign w:val="bottom"/>
            <w:vMerge w:val="continue"/>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vMerge w:val="continue"/>
          </w:tcPr>
          <w:p>
            <w:pPr>
              <w:spacing w:after="0"/>
              <w:rPr>
                <w:sz w:val="24"/>
                <w:szCs w:val="24"/>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22-06-2013</w:t>
            </w:r>
          </w:p>
        </w:tc>
        <w:tc>
          <w:tcPr>
            <w:tcW w:w="11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26-5-2013</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 w:type="dxa"/>
            <w:vAlign w:val="bottom"/>
            <w:vMerge w:val="continue"/>
          </w:tcPr>
          <w:p>
            <w:pPr>
              <w:spacing w:after="0"/>
              <w:rPr>
                <w:sz w:val="24"/>
                <w:szCs w:val="24"/>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Marco Maria Monti</w:t>
            </w:r>
          </w:p>
        </w:tc>
        <w:tc>
          <w:tcPr>
            <w:tcW w:w="11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 Ziv Avram</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vMerge w:val="continue"/>
          </w:tcPr>
          <w:p>
            <w:pPr>
              <w:spacing w:after="0"/>
              <w:rPr>
                <w:sz w:val="24"/>
                <w:szCs w:val="24"/>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Paul Grimme</w:t>
            </w:r>
          </w:p>
        </w:tc>
        <w:tc>
          <w:tcPr>
            <w:tcW w:w="11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Chrystalla Mylona for and on behalf of Evan Directors LTD.</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vMerge w:val="continue"/>
          </w:tcPr>
          <w:p>
            <w:pPr>
              <w:spacing w:after="0"/>
              <w:rPr>
                <w:sz w:val="24"/>
                <w:szCs w:val="24"/>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vMerge w:val="continue"/>
          </w:tcPr>
          <w:p>
            <w:pPr>
              <w:spacing w:after="0"/>
              <w:rPr>
                <w:sz w:val="24"/>
                <w:szCs w:val="24"/>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30-04-2013</w:t>
            </w:r>
          </w:p>
        </w:tc>
        <w:tc>
          <w:tcPr>
            <w:tcW w:w="11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03-06-2013</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vMerge w:val="continue"/>
          </w:tcPr>
          <w:p>
            <w:pPr>
              <w:spacing w:after="0"/>
              <w:rPr>
                <w:sz w:val="24"/>
                <w:szCs w:val="24"/>
                <w:color w:val="auto"/>
              </w:rPr>
            </w:pPr>
          </w:p>
        </w:tc>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Paul Grimme</w:t>
            </w:r>
          </w:p>
        </w:tc>
        <w:tc>
          <w:tcPr>
            <w:tcW w:w="11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 Chrystalla Mylona</w:t>
            </w:r>
          </w:p>
        </w:tc>
        <w:tc>
          <w:tcPr>
            <w:tcW w:w="0" w:type="dxa"/>
            <w:vAlign w:val="bottom"/>
          </w:tcPr>
          <w:p>
            <w:pPr>
              <w:spacing w:after="0"/>
              <w:rPr>
                <w:sz w:val="1"/>
                <w:szCs w:val="1"/>
                <w:color w:val="auto"/>
              </w:rPr>
            </w:pPr>
          </w:p>
        </w:tc>
      </w:tr>
      <w:tr>
        <w:trPr>
          <w:trHeight w:val="668"/>
        </w:trPr>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58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&amp; NOTE SALE AND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7" w:lineRule="exact"/>
        <w:rPr>
          <w:sz w:val="20"/>
          <w:szCs w:val="20"/>
          <w:color w:val="auto"/>
        </w:rPr>
      </w:pPr>
    </w:p>
    <w:p>
      <w:pPr>
        <w:jc w:val="both"/>
        <w:ind w:left="620" w:hanging="612"/>
        <w:spacing w:after="0" w:line="267" w:lineRule="auto"/>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INTEL FINANCE B.V.,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with its corporate seat in Amsterdam, the Netherlands, registered with the trade register of the Chamber of Commerce under number 57978972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620" w:hanging="612"/>
        <w:spacing w:after="0" w:line="267" w:lineRule="auto"/>
        <w:tabs>
          <w:tab w:leader="none" w:pos="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MOBILEYE B.V.,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with its corporate seat in Amsterdam, the Netherlands, its place of business at 13 Hartom Street, PO Box 45157, 97775 Jerusalem, Israel, and registered with the trade register of the Chamber of Commerce under number 34158597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and Purchaser hereafter collectively referred to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individually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20" w:hanging="612"/>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form part of the Intel Corporation (INTC) group of companies.</w:t>
      </w:r>
    </w:p>
    <w:p>
      <w:pPr>
        <w:spacing w:after="0" w:line="225" w:lineRule="exact"/>
        <w:rPr>
          <w:rFonts w:ascii="Times New Roman" w:cs="Times New Roman" w:eastAsia="Times New Roman" w:hAnsi="Times New Roman"/>
          <w:sz w:val="18"/>
          <w:szCs w:val="18"/>
          <w:color w:val="auto"/>
        </w:rPr>
      </w:pPr>
    </w:p>
    <w:p>
      <w:pPr>
        <w:ind w:left="620" w:hanging="612"/>
        <w:spacing w:after="0" w:line="282" w:lineRule="auto"/>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restructuring project, sufficiently known to the Parties as Project Oak, the Parties have agreed on a transaction whereby Seller shall sell and transfer certain shares and certain capital notes held by it to the Purchaser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20" w:hanging="612"/>
        <w:spacing w:after="0" w:line="282" w:lineRule="auto"/>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obtained all relevant internal and external approvals for entering into this agreement and for effectuating the Transaction, and now wish to lay down in writing their agreement and arrangements in relation to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HEREBY AGREED AS FOLLOWS:</w:t>
      </w:r>
    </w:p>
    <w:p>
      <w:pPr>
        <w:spacing w:after="0" w:line="225" w:lineRule="exact"/>
        <w:rPr>
          <w:sz w:val="20"/>
          <w:szCs w:val="20"/>
          <w:color w:val="auto"/>
        </w:rPr>
      </w:pPr>
    </w:p>
    <w:p>
      <w:pPr>
        <w:ind w:left="620" w:hanging="612"/>
        <w:spacing w:after="0"/>
        <w:tabs>
          <w:tab w:leader="none" w:pos="6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the following definitions are used: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 31, 2022;</w:t>
            </w:r>
          </w:p>
        </w:tc>
      </w:tr>
      <w:tr>
        <w:trPr>
          <w:trHeight w:val="414"/>
        </w:trPr>
        <w:tc>
          <w:tcPr>
            <w:tcW w:w="23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Capital Note #1</w:t>
            </w:r>
          </w:p>
        </w:tc>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first capital note, issued by GG Acquisition Ltd, a corporation duly organized under the laws of the state</w:t>
            </w:r>
          </w:p>
        </w:tc>
      </w:tr>
      <w:tr>
        <w:trPr>
          <w:trHeight w:val="234"/>
        </w:trPr>
        <w:tc>
          <w:tcPr>
            <w:tcW w:w="2340" w:type="dxa"/>
            <w:vAlign w:val="bottom"/>
          </w:tcPr>
          <w:p>
            <w:pPr>
              <w:spacing w:after="0"/>
              <w:rPr>
                <w:sz w:val="20"/>
                <w:szCs w:val="20"/>
                <w:color w:val="auto"/>
              </w:rPr>
            </w:pPr>
          </w:p>
        </w:tc>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Israel, for the Seller as note holder, effective as of May 4, 2020;</w:t>
            </w:r>
          </w:p>
        </w:tc>
      </w:tr>
      <w:tr>
        <w:trPr>
          <w:trHeight w:val="414"/>
        </w:trPr>
        <w:tc>
          <w:tcPr>
            <w:tcW w:w="23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Capital Note #2</w:t>
            </w:r>
          </w:p>
        </w:tc>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means the second capital note, issued by GG Acquisition Ltd, a corporation duly organized under the laws of the</w:t>
            </w:r>
          </w:p>
        </w:tc>
      </w:tr>
      <w:tr>
        <w:trPr>
          <w:trHeight w:val="234"/>
        </w:trPr>
        <w:tc>
          <w:tcPr>
            <w:tcW w:w="2340" w:type="dxa"/>
            <w:vAlign w:val="bottom"/>
          </w:tcPr>
          <w:p>
            <w:pPr>
              <w:spacing w:after="0"/>
              <w:rPr>
                <w:sz w:val="20"/>
                <w:szCs w:val="20"/>
                <w:color w:val="auto"/>
              </w:rPr>
            </w:pPr>
          </w:p>
        </w:tc>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 of Israel, for the Seller as note holder, effective as of May 4, 2020;</w:t>
            </w:r>
          </w:p>
        </w:tc>
      </w:tr>
      <w:tr>
        <w:trPr>
          <w:trHeight w:val="675"/>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8820"/>
              <w:spacing w:after="0"/>
              <w:rPr>
                <w:sz w:val="20"/>
                <w:szCs w:val="20"/>
                <w:color w:val="auto"/>
              </w:rPr>
            </w:pPr>
            <w:r>
              <w:rPr>
                <w:rFonts w:ascii="Times New Roman" w:cs="Times New Roman" w:eastAsia="Times New Roman" w:hAnsi="Times New Roman"/>
                <w:sz w:val="17"/>
                <w:szCs w:val="17"/>
                <w:color w:val="auto"/>
                <w:w w:val="70"/>
              </w:rPr>
              <w:t>1</w:t>
            </w:r>
          </w:p>
        </w:tc>
      </w:tr>
    </w:tbl>
    <w:p>
      <w:pPr>
        <w:sectPr>
          <w:pgSz w:w="11900" w:h="16838" w:orient="portrait"/>
          <w:cols w:equalWidth="0" w:num="1">
            <w:col w:w="11240"/>
          </w:cols>
          <w:pgMar w:left="320" w:top="108" w:right="339" w:bottom="1440" w:gutter="0" w:footer="0" w:header="0"/>
        </w:sectPr>
      </w:pPr>
    </w:p>
    <w:bookmarkStart w:id="257" w:name="page258"/>
    <w:bookmarkEnd w:id="257"/>
    <w:p>
      <w:pPr>
        <w:ind w:left="625"/>
        <w:spacing w:after="0"/>
        <w:rPr>
          <w:sz w:val="20"/>
          <w:szCs w:val="20"/>
          <w:color w:val="auto"/>
        </w:rPr>
      </w:pPr>
      <w:r>
        <w:rPr>
          <w:rFonts w:ascii="Times New Roman" w:cs="Times New Roman" w:eastAsia="Times New Roman" w:hAnsi="Times New Roman"/>
          <w:sz w:val="17"/>
          <w:szCs w:val="17"/>
          <w:b w:val="1"/>
          <w:bCs w:val="1"/>
          <w:color w:val="auto"/>
        </w:rPr>
        <w:t>Capital Note #3</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third capital note, issued by GG Acquisition Ltd, a corporation duly organized under the laws of the state of Israel, for the Seller as note holder, effective as of May 4, 2020;</w:t>
      </w:r>
    </w:p>
    <w:p>
      <w:pPr>
        <w:spacing w:after="0" w:line="158" w:lineRule="exact"/>
        <w:rPr>
          <w:sz w:val="20"/>
          <w:szCs w:val="20"/>
          <w:color w:val="auto"/>
        </w:rPr>
      </w:pPr>
    </w:p>
    <w:p>
      <w:pPr>
        <w:sectPr>
          <w:pgSz w:w="11900" w:h="16838" w:orient="portrait"/>
          <w:cols w:equalWidth="0" w:num="2">
            <w:col w:w="2065" w:space="720"/>
            <w:col w:w="8420"/>
          </w:cols>
          <w:pgMar w:left="355" w:top="927" w:right="339" w:bottom="1440" w:gutter="0" w:footer="0" w:header="0"/>
        </w:sectPr>
      </w:pPr>
    </w:p>
    <w:p>
      <w:pPr>
        <w:ind w:left="625"/>
        <w:spacing w:after="0"/>
        <w:rPr>
          <w:sz w:val="20"/>
          <w:szCs w:val="20"/>
          <w:color w:val="auto"/>
        </w:rPr>
      </w:pPr>
      <w:r>
        <w:rPr>
          <w:rFonts w:ascii="Times New Roman" w:cs="Times New Roman" w:eastAsia="Times New Roman" w:hAnsi="Times New Roman"/>
          <w:sz w:val="17"/>
          <w:szCs w:val="17"/>
          <w:b w:val="1"/>
          <w:bCs w:val="1"/>
          <w:color w:val="auto"/>
        </w:rPr>
        <w:t>Capital Note #4</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fourth capital note, issued by GG Acquisition Ltd, a corporation duly organized under the laws of the state of Israel, for the Seller as note holder, effective as of May 4, 2020;</w:t>
      </w:r>
    </w:p>
    <w:p>
      <w:pPr>
        <w:spacing w:after="0" w:line="158"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ind w:left="625"/>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17"/>
          <w:szCs w:val="17"/>
          <w:color w:val="auto"/>
        </w:rPr>
        <w:t>means the Capital Note #1, the Capital Note #2, the Capital Note #3, and the Capital Note #4;</w:t>
      </w:r>
    </w:p>
    <w:p>
      <w:pPr>
        <w:spacing w:after="0" w:line="200"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spacing w:after="0" w:line="33"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Notes Purchase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in clause 4;</w:t>
      </w:r>
    </w:p>
    <w:p>
      <w:pPr>
        <w:spacing w:after="0" w:line="200" w:lineRule="exact"/>
        <w:rPr>
          <w:sz w:val="20"/>
          <w:szCs w:val="20"/>
          <w:color w:val="auto"/>
        </w:rPr>
      </w:pPr>
    </w:p>
    <w:p>
      <w:pPr>
        <w:sectPr>
          <w:pgSz w:w="11900" w:h="16838" w:orient="portrait"/>
          <w:cols w:equalWidth="0" w:num="2">
            <w:col w:w="2245" w:space="540"/>
            <w:col w:w="8420"/>
          </w:cols>
          <w:pgMar w:left="355" w:top="927" w:right="339" w:bottom="1440" w:gutter="0" w:footer="0" w:header="0"/>
          <w:type w:val="continuous"/>
        </w:sectPr>
      </w:pPr>
    </w:p>
    <w:p>
      <w:pPr>
        <w:spacing w:after="0" w:line="33"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 xml:space="preserve">Parties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Party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to it in the preamble of this Agreement;</w:t>
      </w:r>
    </w:p>
    <w:p>
      <w:pPr>
        <w:spacing w:after="0" w:line="200"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spacing w:after="0" w:line="33"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Purchase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in clause 4;</w:t>
      </w:r>
    </w:p>
    <w:p>
      <w:pPr>
        <w:spacing w:after="0" w:line="200"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spacing w:after="0" w:line="33"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in the preamble of this Agreement under II;</w:t>
      </w:r>
    </w:p>
    <w:p>
      <w:pPr>
        <w:spacing w:after="0" w:line="200"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spacing w:after="0" w:line="33"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in the preamble of this Agreement under I; and</w:t>
      </w:r>
    </w:p>
    <w:p>
      <w:pPr>
        <w:spacing w:after="0" w:line="200"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spacing w:after="0" w:line="21"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100 ordinary shares, par value NIS 0.01 each, of GG Acquisitions Ltd., a company incorporated under the laws of the State of Israel, Company No. 516186376 ("</w:t>
      </w:r>
      <w:r>
        <w:rPr>
          <w:rFonts w:ascii="Times New Roman" w:cs="Times New Roman" w:eastAsia="Times New Roman" w:hAnsi="Times New Roman"/>
          <w:sz w:val="18"/>
          <w:szCs w:val="18"/>
          <w:b w:val="1"/>
          <w:bCs w:val="1"/>
          <w:color w:val="auto"/>
        </w:rPr>
        <w:t>GG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ind w:left="625"/>
        <w:spacing w:after="0"/>
        <w:rPr>
          <w:sz w:val="20"/>
          <w:szCs w:val="20"/>
          <w:color w:val="auto"/>
        </w:rPr>
      </w:pPr>
      <w:r>
        <w:rPr>
          <w:rFonts w:ascii="Times New Roman" w:cs="Times New Roman" w:eastAsia="Times New Roman" w:hAnsi="Times New Roman"/>
          <w:sz w:val="17"/>
          <w:szCs w:val="17"/>
          <w:b w:val="1"/>
          <w:bCs w:val="1"/>
          <w:color w:val="auto"/>
        </w:rPr>
        <w:t>Shares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given in clause 4;</w:t>
      </w:r>
    </w:p>
    <w:p>
      <w:pPr>
        <w:spacing w:after="0" w:line="200" w:lineRule="exact"/>
        <w:rPr>
          <w:sz w:val="20"/>
          <w:szCs w:val="20"/>
          <w:color w:val="auto"/>
        </w:rPr>
      </w:pPr>
    </w:p>
    <w:p>
      <w:pPr>
        <w:sectPr>
          <w:pgSz w:w="11900" w:h="16838" w:orient="portrait"/>
          <w:cols w:equalWidth="0" w:num="2">
            <w:col w:w="2325" w:space="460"/>
            <w:col w:w="8420"/>
          </w:cols>
          <w:pgMar w:left="355" w:top="927" w:right="339" w:bottom="1440" w:gutter="0" w:footer="0" w:header="0"/>
          <w:type w:val="continuous"/>
        </w:sectPr>
      </w:pPr>
    </w:p>
    <w:p>
      <w:pPr>
        <w:spacing w:after="0" w:line="33"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Transaction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in Recital B.</w:t>
      </w:r>
    </w:p>
    <w:p>
      <w:pPr>
        <w:spacing w:after="0" w:line="200" w:lineRule="exact"/>
        <w:rPr>
          <w:sz w:val="20"/>
          <w:szCs w:val="20"/>
          <w:color w:val="auto"/>
        </w:rPr>
      </w:pPr>
    </w:p>
    <w:p>
      <w:pPr>
        <w:sectPr>
          <w:pgSz w:w="11900" w:h="16838" w:orient="portrait"/>
          <w:cols w:equalWidth="0" w:num="2">
            <w:col w:w="2065" w:space="720"/>
            <w:col w:w="8420"/>
          </w:cols>
          <w:pgMar w:left="355" w:top="927" w:right="339" w:bottom="1440" w:gutter="0" w:footer="0" w:header="0"/>
          <w:type w:val="continuous"/>
        </w:sectPr>
      </w:pPr>
    </w:p>
    <w:p>
      <w:pPr>
        <w:spacing w:after="0" w:line="33" w:lineRule="exact"/>
        <w:rPr>
          <w:sz w:val="20"/>
          <w:szCs w:val="20"/>
          <w:color w:val="auto"/>
        </w:rPr>
      </w:pPr>
    </w:p>
    <w:p>
      <w:pPr>
        <w:ind w:left="625" w:hanging="625"/>
        <w:spacing w:after="0"/>
        <w:tabs>
          <w:tab w:leader="none" w:pos="625"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THE SHARES AND THE NOTES</w:t>
      </w:r>
    </w:p>
    <w:p>
      <w:pPr>
        <w:spacing w:after="0" w:line="229" w:lineRule="exact"/>
        <w:rPr>
          <w:sz w:val="20"/>
          <w:szCs w:val="20"/>
          <w:color w:val="auto"/>
        </w:rPr>
      </w:pPr>
    </w:p>
    <w:p>
      <w:pPr>
        <w:jc w:val="both"/>
        <w:ind w:left="625" w:hanging="620"/>
        <w:spacing w:after="0" w:line="282" w:lineRule="auto"/>
        <w:tabs>
          <w:tab w:leader="none" w:pos="605"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hereby sells and agrees to assign, transfer, set over, convey and deliver to the Purchaser, and the Purchaser hereby purchases and agrees to acquire, take over, assume and accept from the Sellers, with effect as of May 31, 2022 the Shares and the Notes.</w:t>
      </w:r>
    </w:p>
    <w:p>
      <w:pPr>
        <w:spacing w:after="0" w:line="162" w:lineRule="exact"/>
        <w:rPr>
          <w:sz w:val="20"/>
          <w:szCs w:val="20"/>
          <w:color w:val="auto"/>
        </w:rPr>
      </w:pPr>
    </w:p>
    <w:p>
      <w:pPr>
        <w:jc w:val="both"/>
        <w:ind w:left="625" w:hanging="620"/>
        <w:spacing w:after="0" w:line="282" w:lineRule="auto"/>
        <w:tabs>
          <w:tab w:leader="none" w:pos="605"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Subject to the terms and conditions set out herein, transfer of the Shares and the Notes shall take place in accordance with clause 3 of this Agreement.</w:t>
      </w:r>
    </w:p>
    <w:p>
      <w:pPr>
        <w:spacing w:after="0" w:line="162" w:lineRule="exact"/>
        <w:rPr>
          <w:sz w:val="20"/>
          <w:szCs w:val="20"/>
          <w:color w:val="auto"/>
        </w:rPr>
      </w:pPr>
    </w:p>
    <w:p>
      <w:pPr>
        <w:jc w:val="both"/>
        <w:ind w:left="625" w:hanging="620"/>
        <w:spacing w:after="0" w:line="266" w:lineRule="auto"/>
        <w:tabs>
          <w:tab w:leader="none" w:pos="605"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legal transfer of the Shares and the Notes shall – if and to the extent permitted by law – be effective as of May 31, 2022, and the economic benefit and risk of the Shares and the Notes shall be for the benefit and account of Seller until (but excluding) May 31, 2022. From (and including) May 31, 2022, the economic benefit and risk of the Shares and the Notes shall be for the benefit and account of the Purchaser.</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5"/>
          </w:cols>
          <w:pgMar w:left="355" w:top="927" w:right="339" w:bottom="1440" w:gutter="0" w:footer="0" w:header="0"/>
          <w:type w:val="continuous"/>
        </w:sectPr>
      </w:pPr>
    </w:p>
    <w:bookmarkStart w:id="258" w:name="page259"/>
    <w:bookmarkEnd w:id="258"/>
    <w:p>
      <w:pPr>
        <w:ind w:left="625" w:hanging="625"/>
        <w:spacing w:after="0"/>
        <w:tabs>
          <w:tab w:leader="none" w:pos="62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w:t>
      </w:r>
    </w:p>
    <w:p>
      <w:pPr>
        <w:spacing w:after="0" w:line="229" w:lineRule="exact"/>
        <w:rPr>
          <w:rFonts w:ascii="Times New Roman" w:cs="Times New Roman" w:eastAsia="Times New Roman" w:hAnsi="Times New Roman"/>
          <w:sz w:val="18"/>
          <w:szCs w:val="18"/>
          <w:b w:val="1"/>
          <w:bCs w:val="1"/>
          <w:color w:val="auto"/>
        </w:rPr>
      </w:pPr>
    </w:p>
    <w:p>
      <w:pPr>
        <w:ind w:left="625"/>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of the Shares and the Notes will take place with effect as from May 31, 2022 free and clear of any and all liens and encumbrances, in accordance with the following and with all other legal requirements under any applicable law:</w:t>
      </w:r>
    </w:p>
    <w:p>
      <w:pPr>
        <w:spacing w:after="0" w:line="157" w:lineRule="exact"/>
        <w:rPr>
          <w:rFonts w:ascii="Times New Roman" w:cs="Times New Roman" w:eastAsia="Times New Roman" w:hAnsi="Times New Roman"/>
          <w:sz w:val="18"/>
          <w:szCs w:val="18"/>
          <w:b w:val="1"/>
          <w:bCs w:val="1"/>
          <w:color w:val="auto"/>
        </w:rPr>
      </w:pPr>
    </w:p>
    <w:p>
      <w:pPr>
        <w:ind w:left="945" w:right="20" w:hanging="324"/>
        <w:spacing w:after="0" w:line="286" w:lineRule="auto"/>
        <w:tabs>
          <w:tab w:leader="none" w:pos="94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shall be transferred by way of the Parties executing the share transfer deed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transfer Deed</w:t>
      </w:r>
      <w:r>
        <w:rPr>
          <w:rFonts w:ascii="Times New Roman" w:cs="Times New Roman" w:eastAsia="Times New Roman" w:hAnsi="Times New Roman"/>
          <w:sz w:val="18"/>
          <w:szCs w:val="18"/>
          <w:color w:val="auto"/>
        </w:rPr>
        <w:t>) and updating the share register of GG;</w:t>
      </w:r>
    </w:p>
    <w:p>
      <w:pPr>
        <w:spacing w:after="0" w:line="154" w:lineRule="exact"/>
        <w:rPr>
          <w:rFonts w:ascii="Times New Roman" w:cs="Times New Roman" w:eastAsia="Times New Roman" w:hAnsi="Times New Roman"/>
          <w:sz w:val="18"/>
          <w:szCs w:val="18"/>
          <w:color w:val="auto"/>
        </w:rPr>
      </w:pPr>
    </w:p>
    <w:p>
      <w:pPr>
        <w:jc w:val="both"/>
        <w:ind w:left="945" w:hanging="324"/>
        <w:spacing w:after="0" w:line="268" w:lineRule="auto"/>
        <w:tabs>
          <w:tab w:leader="none" w:pos="94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transferred by way of the Parties executing the </w:t>
      </w:r>
      <w:r>
        <w:rPr>
          <w:rFonts w:ascii="Times New Roman" w:cs="Times New Roman" w:eastAsia="Times New Roman" w:hAnsi="Times New Roman"/>
          <w:sz w:val="18"/>
          <w:szCs w:val="18"/>
          <w:i w:val="1"/>
          <w:iCs w:val="1"/>
          <w:color w:val="auto"/>
        </w:rPr>
        <w:t>deed of assignment</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Deed of Assignment</w:t>
      </w:r>
      <w:r>
        <w:rPr>
          <w:rFonts w:ascii="Times New Roman" w:cs="Times New Roman" w:eastAsia="Times New Roman" w:hAnsi="Times New Roman"/>
          <w:sz w:val="18"/>
          <w:szCs w:val="18"/>
          <w:color w:val="auto"/>
        </w:rPr>
        <w:t>); the Parties have given notice to the debtor under the Notes of the intended transfer and assignment of the Notes; the debtor has accepted the transfer and assignment of the Notes.</w:t>
      </w:r>
    </w:p>
    <w:p>
      <w:pPr>
        <w:spacing w:after="0" w:line="170" w:lineRule="exact"/>
        <w:rPr>
          <w:rFonts w:ascii="Times New Roman" w:cs="Times New Roman" w:eastAsia="Times New Roman" w:hAnsi="Times New Roman"/>
          <w:sz w:val="18"/>
          <w:szCs w:val="18"/>
          <w:color w:val="auto"/>
        </w:rPr>
      </w:pPr>
    </w:p>
    <w:p>
      <w:pPr>
        <w:ind w:left="625" w:hanging="625"/>
        <w:spacing w:after="0"/>
        <w:tabs>
          <w:tab w:leader="none" w:pos="62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AND SETTLEMENT</w:t>
      </w:r>
    </w:p>
    <w:p>
      <w:pPr>
        <w:spacing w:after="0" w:line="225" w:lineRule="exact"/>
        <w:rPr>
          <w:rFonts w:ascii="Times New Roman" w:cs="Times New Roman" w:eastAsia="Times New Roman" w:hAnsi="Times New Roman"/>
          <w:sz w:val="18"/>
          <w:szCs w:val="18"/>
          <w:b w:val="1"/>
          <w:bCs w:val="1"/>
          <w:color w:val="auto"/>
        </w:rPr>
      </w:pPr>
    </w:p>
    <w:p>
      <w:pPr>
        <w:ind w:left="945" w:hanging="324"/>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The purchase price payable by the Purchaser to the Seller for the Shares shall be NIS 1 (the "</w:t>
      </w:r>
      <w:r>
        <w:rPr>
          <w:rFonts w:ascii="Times New Roman" w:cs="Times New Roman" w:eastAsia="Times New Roman" w:hAnsi="Times New Roman"/>
          <w:sz w:val="18"/>
          <w:szCs w:val="18"/>
          <w:b w:val="1"/>
          <w:bCs w:val="1"/>
          <w:color w:val="auto"/>
        </w:rPr>
        <w:t>Shares Purchase Price</w:t>
      </w:r>
      <w:r>
        <w:rPr>
          <w:rFonts w:ascii="Times New Roman" w:cs="Times New Roman" w:eastAsia="Times New Roman" w:hAnsi="Times New Roman"/>
          <w:sz w:val="18"/>
          <w:szCs w:val="18"/>
          <w:color w:val="auto"/>
        </w:rPr>
        <w:t>"). The purchase price payable by the Purchaser to the Seller for the Notes shall be USD 899,999,999.70 (the "</w:t>
      </w:r>
      <w:r>
        <w:rPr>
          <w:rFonts w:ascii="Times New Roman" w:cs="Times New Roman" w:eastAsia="Times New Roman" w:hAnsi="Times New Roman"/>
          <w:sz w:val="18"/>
          <w:szCs w:val="18"/>
          <w:b w:val="1"/>
          <w:bCs w:val="1"/>
          <w:color w:val="auto"/>
        </w:rPr>
        <w:t>Notes Purchase Price</w:t>
      </w:r>
      <w:r>
        <w:rPr>
          <w:rFonts w:ascii="Times New Roman" w:cs="Times New Roman" w:eastAsia="Times New Roman" w:hAnsi="Times New Roman"/>
          <w:sz w:val="18"/>
          <w:szCs w:val="18"/>
          <w:color w:val="auto"/>
        </w:rPr>
        <w:t>"; the Notes Purchase Price and the Shares Purchase Price jointly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b w:val="1"/>
          <w:bCs w:val="1"/>
          <w:color w:val="auto"/>
        </w:rPr>
      </w:pPr>
    </w:p>
    <w:p>
      <w:pPr>
        <w:ind w:left="945" w:hanging="32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 If and as required under applicable law, the Purchase Price shall be paid by the Purchaser to the Seller after deducting any applicable withholding tax that may be due on account thereof, pursuant to applicable law, unless the Seller has provided the Purchaser with a certificate of exemption from tax withholding (or a certificate of reduced tax withholding) from the Israel Tax Authorities (the “</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in a form reasonably satisfactory to the Purchaser, in which case the Purchaser shall act in accordance with the certificate of exemption from tax withholding (or the certificate of reduced tax withholding).</w:t>
      </w:r>
    </w:p>
    <w:p>
      <w:pPr>
        <w:spacing w:after="0" w:line="179" w:lineRule="exact"/>
        <w:rPr>
          <w:rFonts w:ascii="Times New Roman" w:cs="Times New Roman" w:eastAsia="Times New Roman" w:hAnsi="Times New Roman"/>
          <w:sz w:val="18"/>
          <w:szCs w:val="18"/>
          <w:b w:val="1"/>
          <w:bCs w:val="1"/>
          <w:color w:val="auto"/>
        </w:rPr>
      </w:pPr>
    </w:p>
    <w:p>
      <w:pPr>
        <w:ind w:left="625" w:hanging="625"/>
        <w:spacing w:after="0"/>
        <w:tabs>
          <w:tab w:leader="none" w:pos="62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left="625" w:hanging="620"/>
        <w:spacing w:after="0" w:line="266" w:lineRule="auto"/>
        <w:tabs>
          <w:tab w:leader="none" w:pos="605"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Seller represents and warrants that it has the right to transfer title to the Shares and that it sells and transfers the Shares and the Notes free from all liens, pledge, charges and encumbrances and from all other rights exercisable by or claims by third parties, unless expressly provided in this Agreement.</w:t>
      </w:r>
    </w:p>
    <w:p>
      <w:pPr>
        <w:spacing w:after="0" w:line="176" w:lineRule="exact"/>
        <w:rPr>
          <w:sz w:val="20"/>
          <w:szCs w:val="20"/>
          <w:color w:val="auto"/>
        </w:rPr>
      </w:pPr>
    </w:p>
    <w:p>
      <w:pPr>
        <w:jc w:val="both"/>
        <w:ind w:left="625" w:hanging="620"/>
        <w:spacing w:after="0" w:line="266" w:lineRule="auto"/>
        <w:tabs>
          <w:tab w:leader="none" w:pos="605"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represents and warrants that it has fairly presented to Purchaser the financial condition of GG in all material respects, and that as of the date hereof, GG has no material liabilities or obligations, contingent or otherwise, which would have a material adverse effect on the financial condition of GG.</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5"/>
          </w:cols>
          <w:pgMar w:left="355" w:top="900" w:right="339" w:bottom="1440" w:gutter="0" w:footer="0" w:header="0"/>
        </w:sectPr>
      </w:pPr>
    </w:p>
    <w:bookmarkStart w:id="259" w:name="page260"/>
    <w:bookmarkEnd w:id="259"/>
    <w:p>
      <w:pPr>
        <w:ind w:left="625" w:hanging="620"/>
        <w:spacing w:after="0" w:line="282" w:lineRule="auto"/>
        <w:tabs>
          <w:tab w:leader="none" w:pos="605"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All other representations and warranties, whether express or implied, other than the representations and warranties in this Agreement are hereby excluded to the fullest extent possible.</w:t>
      </w:r>
    </w:p>
    <w:p>
      <w:pPr>
        <w:spacing w:after="0" w:line="158" w:lineRule="exact"/>
        <w:rPr>
          <w:sz w:val="20"/>
          <w:szCs w:val="20"/>
          <w:color w:val="auto"/>
        </w:rPr>
      </w:pPr>
    </w:p>
    <w:p>
      <w:pPr>
        <w:ind w:left="625" w:hanging="625"/>
        <w:spacing w:after="0"/>
        <w:tabs>
          <w:tab w:leader="none" w:pos="625"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Assignment</w:t>
      </w:r>
    </w:p>
    <w:p>
      <w:pPr>
        <w:spacing w:after="0" w:line="227" w:lineRule="exact"/>
        <w:rPr>
          <w:sz w:val="20"/>
          <w:szCs w:val="20"/>
          <w:color w:val="auto"/>
        </w:rPr>
      </w:pPr>
    </w:p>
    <w:p>
      <w:pPr>
        <w:jc w:val="both"/>
        <w:ind w:left="625"/>
        <w:spacing w:after="0" w:line="267" w:lineRule="auto"/>
        <w:rPr>
          <w:sz w:val="20"/>
          <w:szCs w:val="20"/>
          <w:color w:val="auto"/>
        </w:rPr>
      </w:pPr>
      <w:r>
        <w:rPr>
          <w:rFonts w:ascii="Times New Roman" w:cs="Times New Roman" w:eastAsia="Times New Roman" w:hAnsi="Times New Roman"/>
          <w:sz w:val="18"/>
          <w:szCs w:val="18"/>
          <w:color w:val="auto"/>
        </w:rPr>
        <w:t>Without the prior written consent of the other Party, rights under this Agreement cannot be assigned or encumbered (</w:t>
      </w:r>
      <w:r>
        <w:rPr>
          <w:rFonts w:ascii="Times New Roman" w:cs="Times New Roman" w:eastAsia="Times New Roman" w:hAnsi="Times New Roman"/>
          <w:sz w:val="18"/>
          <w:szCs w:val="18"/>
          <w:i w:val="1"/>
          <w:iCs w:val="1"/>
          <w:color w:val="auto"/>
        </w:rPr>
        <w:t>goederenrechtelijk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onoverdraagbaar en niet te bezwaren</w:t>
      </w:r>
      <w:r>
        <w:rPr>
          <w:rFonts w:ascii="Times New Roman" w:cs="Times New Roman" w:eastAsia="Times New Roman" w:hAnsi="Times New Roman"/>
          <w:sz w:val="18"/>
          <w:szCs w:val="18"/>
          <w:color w:val="auto"/>
        </w:rPr>
        <w:t>) as provided for in Article 3:83(2) of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 nor can any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this Agreement in any way be transferred or disposed of.</w:t>
      </w:r>
    </w:p>
    <w:p>
      <w:pPr>
        <w:spacing w:after="0" w:line="171"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25"/>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agreement between the Parties on its subject matter. This Agreement replaces and supersedes any previous written or oral agreements between the Parties about the matters dealt with in this Agreement.</w:t>
      </w:r>
    </w:p>
    <w:p>
      <w:pPr>
        <w:spacing w:after="0" w:line="158"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b w:val="1"/>
          <w:bCs w:val="1"/>
          <w:color w:val="auto"/>
        </w:rPr>
        <w:t>Amendment</w:t>
      </w:r>
    </w:p>
    <w:p>
      <w:pPr>
        <w:spacing w:after="0" w:line="229"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8"/>
          <w:szCs w:val="18"/>
          <w:color w:val="auto"/>
        </w:rPr>
        <w:t>This Agreement can only be amended by a written and signed agreement between the Parties.</w:t>
      </w:r>
    </w:p>
    <w:p>
      <w:pPr>
        <w:spacing w:after="0" w:line="223" w:lineRule="exact"/>
        <w:rPr>
          <w:sz w:val="20"/>
          <w:szCs w:val="20"/>
          <w:color w:val="auto"/>
        </w:rPr>
      </w:pPr>
    </w:p>
    <w:p>
      <w:pPr>
        <w:jc w:val="both"/>
        <w:ind w:left="625"/>
        <w:spacing w:after="0" w:line="284" w:lineRule="auto"/>
        <w:rPr>
          <w:sz w:val="20"/>
          <w:szCs w:val="20"/>
          <w:color w:val="auto"/>
        </w:rPr>
      </w:pPr>
      <w:r>
        <w:rPr>
          <w:rFonts w:ascii="Times New Roman" w:cs="Times New Roman" w:eastAsia="Times New Roman" w:hAnsi="Times New Roman"/>
          <w:sz w:val="18"/>
          <w:szCs w:val="18"/>
          <w:color w:val="auto"/>
        </w:rPr>
        <w:t>Each Party waives its right under Article 6:230(2) of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 to request a competent court to amend this Agreement. The other Party hereby accepts this waiver.</w:t>
      </w:r>
    </w:p>
    <w:p>
      <w:pPr>
        <w:spacing w:after="0" w:line="156"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Exclusions Title 1 Book 7 Dutch Civil Code</w:t>
      </w:r>
    </w:p>
    <w:p>
      <w:pPr>
        <w:spacing w:after="0" w:line="227"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8"/>
          <w:szCs w:val="18"/>
          <w:color w:val="auto"/>
        </w:rPr>
        <w:t>Articles 7:17 and 7:20 through 7:23 of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 will not apply to this agreement.</w:t>
      </w:r>
    </w:p>
    <w:p>
      <w:pPr>
        <w:spacing w:after="0" w:line="223"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No recission / nullification</w:t>
      </w:r>
    </w:p>
    <w:p>
      <w:pPr>
        <w:spacing w:after="0" w:line="227" w:lineRule="exact"/>
        <w:rPr>
          <w:sz w:val="20"/>
          <w:szCs w:val="20"/>
          <w:color w:val="auto"/>
        </w:rPr>
      </w:pPr>
    </w:p>
    <w:p>
      <w:pPr>
        <w:jc w:val="both"/>
        <w:ind w:left="625"/>
        <w:spacing w:after="0" w:line="261" w:lineRule="auto"/>
        <w:rPr>
          <w:sz w:val="20"/>
          <w:szCs w:val="20"/>
          <w:color w:val="auto"/>
        </w:rPr>
      </w:pPr>
      <w:r>
        <w:rPr>
          <w:rFonts w:ascii="Times New Roman" w:cs="Times New Roman" w:eastAsia="Times New Roman" w:hAnsi="Times New Roman"/>
          <w:sz w:val="18"/>
          <w:szCs w:val="18"/>
          <w:color w:val="auto"/>
        </w:rPr>
        <w:t>Each Party hereby waives to the extent permitted by law, the right to (i) rescind (</w:t>
      </w:r>
      <w:r>
        <w:rPr>
          <w:rFonts w:ascii="Times New Roman" w:cs="Times New Roman" w:eastAsia="Times New Roman" w:hAnsi="Times New Roman"/>
          <w:sz w:val="18"/>
          <w:szCs w:val="18"/>
          <w:i w:val="1"/>
          <w:iCs w:val="1"/>
          <w:color w:val="auto"/>
        </w:rPr>
        <w:t>ontbinden</w:t>
      </w:r>
      <w:r>
        <w:rPr>
          <w:rFonts w:ascii="Times New Roman" w:cs="Times New Roman" w:eastAsia="Times New Roman" w:hAnsi="Times New Roman"/>
          <w:sz w:val="18"/>
          <w:szCs w:val="18"/>
          <w:color w:val="auto"/>
        </w:rPr>
        <w:t>) this Agreement in whole or in part, (ii) nullify (</w:t>
      </w:r>
      <w:r>
        <w:rPr>
          <w:rFonts w:ascii="Times New Roman" w:cs="Times New Roman" w:eastAsia="Times New Roman" w:hAnsi="Times New Roman"/>
          <w:sz w:val="18"/>
          <w:szCs w:val="18"/>
          <w:i w:val="1"/>
          <w:iCs w:val="1"/>
          <w:color w:val="auto"/>
        </w:rPr>
        <w:t>vernietigen</w:t>
      </w:r>
      <w:r>
        <w:rPr>
          <w:rFonts w:ascii="Times New Roman" w:cs="Times New Roman" w:eastAsia="Times New Roman" w:hAnsi="Times New Roman"/>
          <w:sz w:val="18"/>
          <w:szCs w:val="18"/>
          <w:color w:val="auto"/>
        </w:rPr>
        <w:t>) this Agreement in whole or in part, (iii) otherwise terminate this Agreement in whole or in part or (iv) to seek the rescission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or nullification (</w:t>
      </w:r>
      <w:r>
        <w:rPr>
          <w:rFonts w:ascii="Times New Roman" w:cs="Times New Roman" w:eastAsia="Times New Roman" w:hAnsi="Times New Roman"/>
          <w:sz w:val="18"/>
          <w:szCs w:val="18"/>
          <w:i w:val="1"/>
          <w:iCs w:val="1"/>
          <w:color w:val="auto"/>
        </w:rPr>
        <w:t>vernietiging</w:t>
      </w:r>
      <w:r>
        <w:rPr>
          <w:rFonts w:ascii="Times New Roman" w:cs="Times New Roman" w:eastAsia="Times New Roman" w:hAnsi="Times New Roman"/>
          <w:sz w:val="18"/>
          <w:szCs w:val="18"/>
          <w:color w:val="auto"/>
        </w:rPr>
        <w:t>) in whole or in part of this Agreement in court, other than in accordance with its terms. The other Party hereby accepts this waiver.</w:t>
      </w:r>
    </w:p>
    <w:p>
      <w:pPr>
        <w:spacing w:after="0" w:line="178"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jc w:val="both"/>
        <w:ind w:left="625"/>
        <w:spacing w:after="0" w:line="282" w:lineRule="auto"/>
        <w:rPr>
          <w:sz w:val="20"/>
          <w:szCs w:val="20"/>
          <w:color w:val="auto"/>
        </w:rPr>
      </w:pPr>
      <w:r>
        <w:rPr>
          <w:rFonts w:ascii="Times New Roman" w:cs="Times New Roman" w:eastAsia="Times New Roman" w:hAnsi="Times New Roman"/>
          <w:sz w:val="18"/>
          <w:szCs w:val="18"/>
          <w:color w:val="auto"/>
        </w:rPr>
        <w:t>This Agreement may be entered into in any number of counterparts. This has the same effect as if the signatures on the counterparts were on a single copy of this Agreement.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5"/>
          </w:cols>
          <w:pgMar w:left="355" w:top="904" w:right="339" w:bottom="1440" w:gutter="0" w:footer="0" w:header="0"/>
        </w:sectPr>
      </w:pPr>
    </w:p>
    <w:bookmarkStart w:id="260" w:name="page261"/>
    <w:bookmarkEnd w:id="260"/>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b w:val="1"/>
          <w:bCs w:val="1"/>
          <w:color w:val="auto"/>
        </w:rPr>
        <w:t>Digital 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digital signature, including, without limitation, (i) any electronic symbol, process, or data attached to, or associated with this Agreement and</w:t>
      </w:r>
    </w:p>
    <w:p>
      <w:pPr>
        <w:spacing w:after="0" w:line="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(ii) any facsimile, ..pdf or other digital record of a handwritten signature, used by a person with the apparent intent to sign this Agreement, will constitute such person's signing of this Agreement and have the same legal effect as a handwritten signature (</w:t>
      </w:r>
      <w:r>
        <w:rPr>
          <w:rFonts w:ascii="Times New Roman" w:cs="Times New Roman" w:eastAsia="Times New Roman" w:hAnsi="Times New Roman"/>
          <w:sz w:val="18"/>
          <w:szCs w:val="18"/>
          <w:i w:val="1"/>
          <w:iCs w:val="1"/>
          <w:color w:val="auto"/>
        </w:rPr>
        <w:t>natte handtekening</w:t>
      </w:r>
      <w:r>
        <w:rPr>
          <w:rFonts w:ascii="Times New Roman" w:cs="Times New Roman" w:eastAsia="Times New Roman" w:hAnsi="Times New Roman"/>
          <w:sz w:val="18"/>
          <w:szCs w:val="18"/>
          <w:color w:val="auto"/>
        </w:rPr>
        <w:t>) on this Agreement's signature page. The Parties agree that any such digital signature provides for a sufficiently reliable method of signing within the meaning of Article 3:15a of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hanging="625"/>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This agreement shall be governed by and construed in accordance with the laws of the Netherlands.</w:t>
      </w:r>
    </w:p>
    <w:p>
      <w:pPr>
        <w:spacing w:after="0" w:line="225" w:lineRule="exact"/>
        <w:rPr>
          <w:sz w:val="20"/>
          <w:szCs w:val="20"/>
          <w:color w:val="auto"/>
        </w:rPr>
      </w:pPr>
    </w:p>
    <w:p>
      <w:pPr>
        <w:ind w:left="660" w:hanging="62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Any dispute arising out or in connection with this agreement shall be submitted exclusively to the competent courts in Amsterdam, the Netherlands, notwithstanding the right of appeal.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WITNESS WHEREOF, AGREED UPON AND EXECUTED:</w:t>
            </w:r>
          </w:p>
        </w:tc>
        <w:tc>
          <w:tcPr>
            <w:tcW w:w="5500" w:type="dxa"/>
            <w:vAlign w:val="bottom"/>
          </w:tcPr>
          <w:p>
            <w:pPr>
              <w:spacing w:after="0"/>
              <w:rPr>
                <w:sz w:val="20"/>
                <w:szCs w:val="20"/>
                <w:color w:val="auto"/>
              </w:rPr>
            </w:pPr>
          </w:p>
        </w:tc>
      </w:tr>
      <w:tr>
        <w:trPr>
          <w:trHeight w:val="43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Tiffany Doon Silva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Sharon L. Heck</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Intel Finance B.V.</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Mobileye B.V.</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Tiffany Doon Silva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by: Sharon L. Heck</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6/1/2022</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5/31/2022</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SCHEDULE 1</w:t>
      </w:r>
      <w:r>
        <w:rPr>
          <w:sz w:val="20"/>
          <w:szCs w:val="20"/>
          <w:color w:val="auto"/>
        </w:rPr>
        <w:tab/>
      </w:r>
      <w:r>
        <w:rPr>
          <w:rFonts w:ascii="Times New Roman" w:cs="Times New Roman" w:eastAsia="Times New Roman" w:hAnsi="Times New Roman"/>
          <w:sz w:val="17"/>
          <w:szCs w:val="17"/>
          <w:b w:val="1"/>
          <w:bCs w:val="1"/>
          <w:color w:val="auto"/>
        </w:rPr>
        <w:t>SHARE TRANSFER DEED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w:t>
      </w:r>
      <w:r>
        <w:rPr>
          <w:rFonts w:ascii="Times New Roman" w:cs="Times New Roman" w:eastAsia="Times New Roman" w:hAnsi="Times New Roman"/>
          <w:sz w:val="12"/>
          <w:szCs w:val="12"/>
          <w:b w:val="1"/>
          <w:bCs w:val="1"/>
          <w:i w:val="1"/>
          <w:iCs w:val="1"/>
          <w:u w:val="single" w:color="auto"/>
          <w:color w:val="auto"/>
        </w:rPr>
        <w:t>hare</w:t>
      </w:r>
      <w:r>
        <w:rPr>
          <w:rFonts w:ascii="Times New Roman" w:cs="Times New Roman" w:eastAsia="Times New Roman" w:hAnsi="Times New Roman"/>
          <w:sz w:val="18"/>
          <w:szCs w:val="18"/>
          <w:b w:val="1"/>
          <w:bCs w:val="1"/>
          <w:i w:val="1"/>
          <w:iCs w:val="1"/>
          <w:u w:val="single" w:color="auto"/>
          <w:color w:val="auto"/>
        </w:rPr>
        <w:t xml:space="preserve"> T</w:t>
      </w:r>
      <w:r>
        <w:rPr>
          <w:rFonts w:ascii="Times New Roman" w:cs="Times New Roman" w:eastAsia="Times New Roman" w:hAnsi="Times New Roman"/>
          <w:sz w:val="12"/>
          <w:szCs w:val="12"/>
          <w:b w:val="1"/>
          <w:bCs w:val="1"/>
          <w:i w:val="1"/>
          <w:iCs w:val="1"/>
          <w:u w:val="single" w:color="auto"/>
          <w:color w:val="auto"/>
        </w:rPr>
        <w:t>ransfer</w:t>
      </w:r>
      <w:r>
        <w:rPr>
          <w:rFonts w:ascii="Times New Roman" w:cs="Times New Roman" w:eastAsia="Times New Roman" w:hAnsi="Times New Roman"/>
          <w:sz w:val="18"/>
          <w:szCs w:val="18"/>
          <w:b w:val="1"/>
          <w:bCs w:val="1"/>
          <w:i w:val="1"/>
          <w:iCs w:val="1"/>
          <w:u w:val="single" w:color="auto"/>
          <w:color w:val="auto"/>
        </w:rPr>
        <w:t xml:space="preserve"> D</w:t>
      </w:r>
      <w:r>
        <w:rPr>
          <w:rFonts w:ascii="Times New Roman" w:cs="Times New Roman" w:eastAsia="Times New Roman" w:hAnsi="Times New Roman"/>
          <w:sz w:val="12"/>
          <w:szCs w:val="12"/>
          <w:b w:val="1"/>
          <w:bCs w:val="1"/>
          <w:i w:val="1"/>
          <w:iCs w:val="1"/>
          <w:u w:val="single" w:color="auto"/>
          <w:color w:val="auto"/>
        </w:rPr>
        <w:t>eed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undersigned, Intel Finance B.V. (KVK Number 57978972) ("</w:t>
      </w:r>
      <w:r>
        <w:rPr>
          <w:rFonts w:ascii="Times New Roman" w:cs="Times New Roman" w:eastAsia="Times New Roman" w:hAnsi="Times New Roman"/>
          <w:sz w:val="18"/>
          <w:szCs w:val="18"/>
          <w:b w:val="1"/>
          <w:bCs w:val="1"/>
          <w:i w:val="1"/>
          <w:iCs w:val="1"/>
          <w:color w:val="auto"/>
        </w:rPr>
        <w:t>Transferor</w:t>
      </w:r>
      <w:r>
        <w:rPr>
          <w:rFonts w:ascii="Times New Roman" w:cs="Times New Roman" w:eastAsia="Times New Roman" w:hAnsi="Times New Roman"/>
          <w:sz w:val="18"/>
          <w:szCs w:val="18"/>
          <w:i w:val="1"/>
          <w:iCs w:val="1"/>
          <w:color w:val="auto"/>
        </w:rPr>
        <w:t>"), hereby transfers to MobilEye B.V. (KVK Number 34158597) (the "</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i w:val="1"/>
          <w:iCs w:val="1"/>
          <w:color w:val="auto"/>
        </w:rPr>
        <w:t xml:space="preserve">"), a total of </w:t>
      </w:r>
      <w:r>
        <w:rPr>
          <w:rFonts w:ascii="Times New Roman" w:cs="Times New Roman" w:eastAsia="Times New Roman" w:hAnsi="Times New Roman"/>
          <w:sz w:val="18"/>
          <w:szCs w:val="18"/>
          <w:color w:val="auto"/>
        </w:rPr>
        <w:t>100 (One Hundred) Ordinary Shares, par value NIS 0.01 each</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 of GG Acquisition Ltd., a company incorporated under the laws of the State of Israel, Company No. 516186376, registered in the name of the Transferor, to be held by the Transferee, on the same conditions on which the Transferor held the Shares at the time of the execution hereof, and the Transferee hereby accepts the Shares subject to the aforesaid terms and conditions.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witness whereof, we affix our signatures hereto this 31st day of May, 2022.</w:t>
            </w:r>
          </w:p>
        </w:tc>
        <w:tc>
          <w:tcPr>
            <w:tcW w:w="55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Transferor</w:t>
            </w:r>
            <w:r>
              <w:rPr>
                <w:rFonts w:ascii="Times New Roman" w:cs="Times New Roman" w:eastAsia="Times New Roman" w:hAnsi="Times New Roman"/>
                <w:sz w:val="18"/>
                <w:szCs w:val="18"/>
                <w:i w:val="1"/>
                <w:iCs w:val="1"/>
                <w:color w:val="auto"/>
              </w:rPr>
              <w:t>:</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i w:val="1"/>
                <w:iCs w:val="1"/>
                <w:color w:val="auto"/>
              </w:rPr>
              <w:t>:</w:t>
            </w:r>
          </w:p>
        </w:tc>
      </w:tr>
      <w:tr>
        <w:trPr>
          <w:trHeight w:val="43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Tiffany Doon Silva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Sharon L. Heck</w:t>
            </w:r>
          </w:p>
        </w:tc>
      </w:tr>
      <w:tr>
        <w:trPr>
          <w:trHeight w:val="194"/>
        </w:trPr>
        <w:tc>
          <w:tcPr>
            <w:tcW w:w="55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Intel Finance B.V.</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Mobileye B.V.</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w:t>
            </w:r>
            <w:r>
              <w:rPr>
                <w:rFonts w:ascii="Times New Roman" w:cs="Times New Roman" w:eastAsia="Times New Roman" w:hAnsi="Times New Roman"/>
                <w:sz w:val="18"/>
                <w:szCs w:val="18"/>
                <w:b w:val="1"/>
                <w:bCs w:val="1"/>
                <w:color w:val="auto"/>
              </w:rPr>
              <w:t>Tiffany Doon Silva</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w:t>
            </w:r>
            <w:r>
              <w:rPr>
                <w:rFonts w:ascii="Times New Roman" w:cs="Times New Roman" w:eastAsia="Times New Roman" w:hAnsi="Times New Roman"/>
                <w:sz w:val="18"/>
                <w:szCs w:val="18"/>
                <w:b w:val="1"/>
                <w:bCs w:val="1"/>
                <w:color w:val="auto"/>
              </w:rPr>
              <w:t>Sharon L. Heck</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6/1/2022</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5/31/2022</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SCHEDULE 2</w:t>
        <w:tab/>
        <w:t>DEED OF ASSIGNMENT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Assignment and Assumption Agreement (this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effective as of May 31,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made and entered into by and among: Intel Finance B.V. (KVK Number 57978972)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hereby transfers to MobilEye B.V. (KVK Number 34158597)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all rights in and to the Notes (each a "Party" and collectively, the "Parties").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the Assignor wishes to assign to Assignee as of the Effective Date all of his rights and obligations under the in accordance with the provisions of this Agreement;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Assignee wishes to accept such assignment of the Notes from Assignor, under the terms and subject to the conditions of this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is hereby acknowledged, and intending to be legally bound, the Parties hereby agree as follows:</w:t>
      </w:r>
    </w:p>
    <w:p>
      <w:pPr>
        <w:spacing w:after="0" w:line="162" w:lineRule="exact"/>
        <w:rPr>
          <w:sz w:val="20"/>
          <w:szCs w:val="20"/>
          <w:color w:val="auto"/>
        </w:rPr>
      </w:pPr>
    </w:p>
    <w:p>
      <w:pPr>
        <w:ind w:left="66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Assignor hereby assigns to Assignee all of Assignor's right, title and interest in the Notes, and Assignee accepts such assignment.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all references to "Assignor" in the Notes shall be references to Assignee and Assignee shall have all rights of the "Assignor" with respect to any rights under the Notes.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witness whereof, we affix our signatures hereto this 31st day of May, 2022.</w:t>
            </w:r>
          </w:p>
        </w:tc>
        <w:tc>
          <w:tcPr>
            <w:tcW w:w="55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Assignor</w:t>
            </w:r>
            <w:r>
              <w:rPr>
                <w:rFonts w:ascii="Times New Roman" w:cs="Times New Roman" w:eastAsia="Times New Roman" w:hAnsi="Times New Roman"/>
                <w:sz w:val="18"/>
                <w:szCs w:val="18"/>
                <w:i w:val="1"/>
                <w:iCs w:val="1"/>
                <w:color w:val="auto"/>
              </w:rPr>
              <w:t>:</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i w:val="1"/>
                <w:iCs w:val="1"/>
                <w:color w:val="auto"/>
              </w:rPr>
              <w:t>:</w:t>
            </w:r>
          </w:p>
        </w:tc>
      </w:tr>
      <w:tr>
        <w:trPr>
          <w:trHeight w:val="43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Tiffany Doon Silva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Sharon L. Heck</w:t>
            </w:r>
          </w:p>
        </w:tc>
      </w:tr>
      <w:tr>
        <w:trPr>
          <w:trHeight w:val="194"/>
        </w:trPr>
        <w:tc>
          <w:tcPr>
            <w:tcW w:w="55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Intel Finance B.V.</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Mobileye B.V.</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w:t>
            </w:r>
            <w:r>
              <w:rPr>
                <w:rFonts w:ascii="Times New Roman" w:cs="Times New Roman" w:eastAsia="Times New Roman" w:hAnsi="Times New Roman"/>
                <w:sz w:val="18"/>
                <w:szCs w:val="18"/>
                <w:b w:val="1"/>
                <w:bCs w:val="1"/>
                <w:color w:val="auto"/>
              </w:rPr>
              <w:t>Tiffany Doon Silva</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w:t>
            </w:r>
            <w:r>
              <w:rPr>
                <w:rFonts w:ascii="Times New Roman" w:cs="Times New Roman" w:eastAsia="Times New Roman" w:hAnsi="Times New Roman"/>
                <w:sz w:val="18"/>
                <w:szCs w:val="18"/>
                <w:b w:val="1"/>
                <w:bCs w:val="1"/>
                <w:color w:val="auto"/>
              </w:rPr>
              <w:t>Sharon L. Heck</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6/1/2022</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5/31/2022</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1)"/>
      <w:numFmt w:val="decimal"/>
      <w:start w:val="3"/>
    </w:lvl>
    <w:lvl w:ilvl="1">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
      <w:numFmt w:val="bullet"/>
      <w:start w:val="1"/>
    </w:lvl>
  </w:abstractNum>
  <w:abstractNum w:abstractNumId="18">
    <w:nsid w:val="6A5EE64"/>
    <w:multiLevelType w:val="hybridMultilevel"/>
    <w:lvl w:ilvl="0">
      <w:lvlJc w:val="left"/>
      <w:lvlText w:val=" "/>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1)"/>
      <w:numFmt w:val="decimal"/>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
      <w:numFmt w:val="bullet"/>
      <w:start w:val="1"/>
    </w:lvl>
  </w:abstractNum>
  <w:abstractNum w:abstractNumId="36">
    <w:nsid w:val="2DF6D648"/>
    <w:multiLevelType w:val="hybridMultilevel"/>
    <w:lvl w:ilvl="0">
      <w:lvlJc w:val="left"/>
      <w:lvlText w:val=" "/>
      <w:numFmt w:val="bullet"/>
      <w:start w:val="1"/>
    </w:lvl>
  </w:abstractNum>
  <w:abstractNum w:abstractNumId="37">
    <w:nsid w:val="46B7D447"/>
    <w:multiLevelType w:val="hybridMultilevel"/>
    <w:lvl w:ilvl="0">
      <w:lvlJc w:val="left"/>
      <w:lvlText w:val="(%1)"/>
      <w:numFmt w:val="decimal"/>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2"/>
    </w:lvl>
  </w:abstractNum>
  <w:abstractNum w:abstractNumId="44">
    <w:nsid w:val="26F324BA"/>
    <w:multiLevelType w:val="hybridMultilevel"/>
    <w:lvl w:ilvl="0">
      <w:lvlJc w:val="left"/>
      <w:lvlText w:val="(%1)"/>
      <w:numFmt w:val="upperLetter"/>
      <w:start w:val="1"/>
    </w:lvl>
  </w:abstractNum>
  <w:abstractNum w:abstractNumId="45">
    <w:nsid w:val="7F01579B"/>
    <w:multiLevelType w:val="hybridMultilevel"/>
    <w:lvl w:ilvl="0">
      <w:lvlJc w:val="left"/>
      <w:lvlText w:val="(%1)"/>
      <w:numFmt w:val="upperLetter"/>
      <w:start w:val="5"/>
    </w:lvl>
  </w:abstractNum>
  <w:abstractNum w:abstractNumId="46">
    <w:nsid w:val="49DA307D"/>
    <w:multiLevelType w:val="hybridMultilevel"/>
    <w:lvl w:ilvl="0">
      <w:lvlJc w:val="left"/>
      <w:lvlText w:val="(%1)"/>
      <w:numFmt w:val="upperLetter"/>
      <w:start w:val="6"/>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a"/>
      <w:numFmt w:val="bullet"/>
      <w:start w:val="1"/>
    </w:lvl>
  </w:abstractNum>
  <w:abstractNum w:abstractNumId="57">
    <w:nsid w:val="5F3534A4"/>
    <w:multiLevelType w:val="hybridMultilevel"/>
    <w:lvl w:ilvl="0">
      <w:lvlJc w:val="left"/>
      <w:lvlText w:val="(%1)"/>
      <w:numFmt w:val="decimal"/>
      <w:start w:val="3"/>
    </w:lvl>
    <w:lvl w:ilvl="1">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lowerRoman"/>
      <w:start w:val="1"/>
    </w:lvl>
  </w:abstractNum>
  <w:abstractNum w:abstractNumId="79">
    <w:nsid w:val="7C58FD05"/>
    <w:multiLevelType w:val="hybridMultilevel"/>
    <w:lvl w:ilvl="0">
      <w:lvlJc w:val="left"/>
      <w:lvlText w:val="(%1)"/>
      <w:numFmt w:val="decimal"/>
      <w:start w:val="1"/>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1)"/>
      <w:numFmt w:val="decimal"/>
      <w:start w:val="1"/>
    </w:lvl>
  </w:abstractNum>
  <w:abstractNum w:abstractNumId="82">
    <w:nsid w:val="5C10FE21"/>
    <w:multiLevelType w:val="hybridMultilevel"/>
    <w:lvl w:ilvl="0">
      <w:lvlJc w:val="left"/>
      <w:lvlText w:val="(%1)"/>
      <w:numFmt w:val="decimal"/>
      <w:start w:val="2"/>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1)"/>
      <w:numFmt w:val="decimal"/>
      <w:start w:val="5"/>
    </w:lvl>
  </w:abstractNum>
  <w:abstractNum w:abstractNumId="85">
    <w:nsid w:val="4BD8591A"/>
    <w:multiLevelType w:val="hybridMultilevel"/>
    <w:lvl w:ilvl="0">
      <w:lvlJc w:val="left"/>
      <w:lvlText w:val="(%1)"/>
      <w:numFmt w:val="decimal"/>
      <w:start w:val="1"/>
    </w:lvl>
  </w:abstractNum>
  <w:abstractNum w:abstractNumId="86">
    <w:nsid w:val="78DF6A55"/>
    <w:multiLevelType w:val="hybridMultilevel"/>
    <w:lvl w:ilvl="0">
      <w:lvlJc w:val="left"/>
      <w:lvlText w:val="(%1)"/>
      <w:numFmt w:val="decimal"/>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
      <w:numFmt w:val="bullet"/>
      <w:start w:val="1"/>
    </w:lvl>
  </w:abstractNum>
  <w:abstractNum w:abstractNumId="90">
    <w:nsid w:val="379E21B5"/>
    <w:multiLevelType w:val="hybridMultilevel"/>
    <w:lvl w:ilvl="0">
      <w:lvlJc w:val="left"/>
      <w:lvlText w:val="(%1)"/>
      <w:numFmt w:val="decimal"/>
      <w:start w:val="2"/>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1)"/>
      <w:numFmt w:val="lowerRoman"/>
      <w:start w:val="1"/>
    </w:lvl>
    <w:lvl w:ilvl="1">
      <w:lvlJc w:val="left"/>
      <w:lvlText w:val="(%2)"/>
      <w:numFmt w:val="upperLetter"/>
      <w:start w:val="1"/>
    </w:lvl>
  </w:abstractNum>
  <w:abstractNum w:abstractNumId="104">
    <w:nsid w:val="34FD6B4F"/>
    <w:multiLevelType w:val="hybridMultilevel"/>
    <w:lvl w:ilvl="0">
      <w:lvlJc w:val="left"/>
      <w:lvlText w:val="(%1)"/>
      <w:numFmt w:val="lowerRoman"/>
      <w:start w:val="1"/>
    </w:lvl>
  </w:abstractNum>
  <w:abstractNum w:abstractNumId="105">
    <w:nsid w:val="5915FF32"/>
    <w:multiLevelType w:val="hybridMultilevel"/>
    <w:lvl w:ilvl="0">
      <w:lvlJc w:val="left"/>
      <w:lvlText w:val="(%1)"/>
      <w:numFmt w:val="lowerRoman"/>
      <w:start w:val="2"/>
    </w:lvl>
    <w:lvl w:ilvl="1">
      <w:lvlJc w:val="left"/>
      <w:lvlText w:val="(%2)"/>
      <w:numFmt w:val="upperLetter"/>
      <w:start w:val="2"/>
    </w:lvl>
  </w:abstractNum>
  <w:abstractNum w:abstractNumId="106">
    <w:nsid w:val="56438D15"/>
    <w:multiLevelType w:val="hybridMultilevel"/>
    <w:lvl w:ilvl="0">
      <w:lvlJc w:val="left"/>
      <w:lvlText w:val="(%1)"/>
      <w:numFmt w:val="lowerLetter"/>
      <w:start w:val="1"/>
    </w:lvl>
  </w:abstractNum>
  <w:abstractNum w:abstractNumId="107">
    <w:nsid w:val="519E3149"/>
    <w:multiLevelType w:val="hybridMultilevel"/>
    <w:lvl w:ilvl="0">
      <w:lvlJc w:val="left"/>
      <w:lvlText w:val="(%1)"/>
      <w:numFmt w:val="lowerLetter"/>
      <w:start w:val="1"/>
    </w:lvl>
  </w:abstractNum>
  <w:abstractNum w:abstractNumId="108">
    <w:nsid w:val="2C6E4AFD"/>
    <w:multiLevelType w:val="hybridMultilevel"/>
    <w:lvl w:ilvl="0">
      <w:lvlJc w:val="left"/>
      <w:lvlText w:val="(%1)"/>
      <w:numFmt w:val="decimal"/>
      <w:start w:val="2"/>
    </w:lvl>
  </w:abstractNum>
  <w:abstractNum w:abstractNumId="109">
    <w:nsid w:val="17A1B582"/>
    <w:multiLevelType w:val="hybridMultilevel"/>
    <w:lvl w:ilvl="0">
      <w:lvlJc w:val="left"/>
      <w:lvlText w:val="(%1)"/>
      <w:numFmt w:val="decimal"/>
      <w:start w:val="1"/>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1)"/>
      <w:numFmt w:val="lowerRoman"/>
      <w:start w:val="1"/>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1)"/>
      <w:numFmt w:val="decimal"/>
      <w:start w:val="1"/>
    </w:lvl>
  </w:abstractNum>
  <w:abstractNum w:abstractNumId="114">
    <w:nsid w:val="5EC6AFD4"/>
    <w:multiLevelType w:val="hybridMultilevel"/>
    <w:lvl w:ilvl="0">
      <w:lvlJc w:val="left"/>
      <w:lvlText w:val="​"/>
      <w:numFmt w:val="bullet"/>
      <w:start w:val="1"/>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
      <w:numFmt w:val="bullet"/>
      <w:start w:val="1"/>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1."/>
      <w:numFmt w:val="lowerLetter"/>
      <w:start w:val="2"/>
    </w:lvl>
  </w:abstractNum>
  <w:abstractNum w:abstractNumId="119">
    <w:nsid w:val="20EE1348"/>
    <w:multiLevelType w:val="hybridMultilevel"/>
    <w:lvl w:ilvl="0">
      <w:lvlJc w:val="left"/>
      <w:lvlText w:val="%1)"/>
      <w:numFmt w:val="decimal"/>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1."/>
      <w:numFmt w:val="upperLetter"/>
      <w:start w:val="1"/>
    </w:lvl>
  </w:abstractNum>
  <w:abstractNum w:abstractNumId="124">
    <w:nsid w:val="57D2F10E"/>
    <w:multiLevelType w:val="hybridMultilevel"/>
    <w:lvl w:ilvl="0">
      <w:lvlJc w:val="left"/>
      <w:lvlText w:val="(%1)"/>
      <w:numFmt w:val="lowerLetter"/>
      <w:start w:val="1"/>
    </w:lvl>
  </w:abstractNum>
  <w:abstractNum w:abstractNumId="125">
    <w:nsid w:val="BFFAE18"/>
    <w:multiLevelType w:val="hybridMultilevel"/>
    <w:lvl w:ilvl="0">
      <w:lvlJc w:val="left"/>
      <w:lvlText w:val="%1."/>
      <w:numFmt w:val="decimal"/>
      <w:start w:val="1"/>
    </w:lvl>
  </w:abstractNum>
  <w:abstractNum w:abstractNumId="126">
    <w:nsid w:val="E3E47A8"/>
    <w:multiLevelType w:val="hybridMultilevel"/>
    <w:lvl w:ilvl="0">
      <w:lvlJc w:val="left"/>
      <w:lvlText w:val="%1."/>
      <w:numFmt w:val="decimal"/>
      <w:start w:val="2"/>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1:"/>
      <w:numFmt w:val="upperLetter"/>
      <w:start w:val="16"/>
    </w:lvl>
  </w:abstractNum>
  <w:abstractNum w:abstractNumId="129">
    <w:nsid w:val="4BEE5A5B"/>
    <w:multiLevelType w:val="hybridMultilevel"/>
    <w:lvl w:ilvl="0">
      <w:lvlJc w:val="left"/>
      <w:lvlText w:val="%1:"/>
      <w:numFmt w:val="upperLetter"/>
      <w:start w:val="13"/>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1."/>
      <w:numFmt w:val="decimal"/>
      <w:start w:val="1"/>
    </w:lvl>
  </w:abstractNum>
  <w:abstractNum w:abstractNumId="132">
    <w:nsid w:val="634C574C"/>
    <w:multiLevelType w:val="hybridMultilevel"/>
    <w:lvl w:ilvl="0">
      <w:lvlJc w:val="left"/>
      <w:lvlText w:val="%1."/>
      <w:numFmt w:val="decimal"/>
      <w:start w:val="2"/>
    </w:lvl>
  </w:abstractNum>
  <w:abstractNum w:abstractNumId="133">
    <w:nsid w:val="24E99DD7"/>
    <w:multiLevelType w:val="hybridMultilevel"/>
    <w:lvl w:ilvl="0">
      <w:lvlJc w:val="left"/>
      <w:lvlText w:val="%1."/>
      <w:numFmt w:val="decimal"/>
      <w:start w:val="3"/>
    </w:lvl>
  </w:abstractNum>
  <w:abstractNum w:abstractNumId="134">
    <w:nsid w:val="2A31B62D"/>
    <w:multiLevelType w:val="hybridMultilevel"/>
    <w:lvl w:ilvl="0">
      <w:lvlJc w:val="left"/>
      <w:lvlText w:val="%1."/>
      <w:numFmt w:val="decimal"/>
      <w:start w:val="4"/>
    </w:lvl>
  </w:abstractNum>
  <w:abstractNum w:abstractNumId="135">
    <w:nsid w:val="1849C29B"/>
    <w:multiLevelType w:val="hybridMultilevel"/>
    <w:lvl w:ilvl="0">
      <w:lvlJc w:val="left"/>
      <w:lvlText w:val="%1."/>
      <w:numFmt w:val="upperLetter"/>
      <w:start w:val="9"/>
    </w:lvl>
  </w:abstractNum>
  <w:abstractNum w:abstractNumId="136">
    <w:nsid w:val="7DFF9D09"/>
    <w:multiLevelType w:val="hybridMultilevel"/>
    <w:lvl w:ilvl="0">
      <w:lvlJc w:val="left"/>
      <w:lvlText w:val="%1."/>
      <w:numFmt w:val="upperLetter"/>
      <w:start w:val="35"/>
    </w:lvl>
  </w:abstractNum>
  <w:abstractNum w:abstractNumId="137">
    <w:nsid w:val="754342"/>
    <w:multiLevelType w:val="hybridMultilevel"/>
    <w:lvl w:ilvl="0">
      <w:lvlJc w:val="left"/>
      <w:lvlText w:val="%1."/>
      <w:numFmt w:val="upperLetter"/>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1."/>
      <w:numFmt w:val="decimal"/>
      <w:start w:val="2"/>
    </w:lvl>
  </w:abstractNum>
  <w:abstractNum w:abstractNumId="140">
    <w:nsid w:val="1816F8C4"/>
    <w:multiLevelType w:val="hybridMultilevel"/>
    <w:lvl w:ilvl="0">
      <w:lvlJc w:val="left"/>
      <w:lvlText w:val="%1."/>
      <w:numFmt w:val="decimal"/>
      <w:start w:val="3"/>
    </w:lvl>
    <w:lvl w:ilvl="1">
      <w:lvlJc w:val="left"/>
      <w:lvlText w:val="%2."/>
      <w:numFmt w:val="lowerLetter"/>
      <w:start w:val="1"/>
    </w:lvl>
  </w:abstractNum>
  <w:abstractNum w:abstractNumId="141">
    <w:nsid w:val="37DF2233"/>
    <w:multiLevelType w:val="hybridMultilevel"/>
    <w:lvl w:ilvl="0">
      <w:lvlJc w:val="left"/>
      <w:lvlText w:val="%1."/>
      <w:numFmt w:val="decimal"/>
      <w:start w:val="6"/>
    </w:lvl>
  </w:abstractNum>
  <w:abstractNum w:abstractNumId="142">
    <w:nsid w:val="7AB49DAF"/>
    <w:multiLevelType w:val="hybridMultilevel"/>
    <w:lvl w:ilvl="0">
      <w:lvlJc w:val="left"/>
      <w:lvlText w:val="%1."/>
      <w:numFmt w:val="decimal"/>
      <w:start w:val="7"/>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2022-09-30T23:17:27Z</dcterms:created>
  <dcterms:modified xsi:type="dcterms:W3CDTF">2022-09-30T23:17:27Z</dcterms:modified>
</cp:coreProperties>
</file>