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5" w:lineRule="exact"/>
        <w:rPr>
          <w:sz w:val="24"/>
          <w:szCs w:val="24"/>
          <w:color w:val="auto"/>
        </w:rPr>
      </w:pPr>
    </w:p>
    <w:p>
      <w:pPr>
        <w:jc w:val="center"/>
        <w:ind w:left="1040" w:right="80"/>
        <w:spacing w:after="0" w:line="262" w:lineRule="auto"/>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April 19, 2022. This amended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r>
        <w:rPr>
          <w:rFonts w:ascii="Times New Roman" w:cs="Times New Roman" w:eastAsia="Times New Roman" w:hAnsi="Times New Roman"/>
          <w:sz w:val="14"/>
          <w:szCs w:val="14"/>
          <w:color w:val="auto"/>
        </w:rPr>
        <w:t xml:space="preserve">              ​</w:t>
      </w:r>
    </w:p>
    <w:p>
      <w:pPr>
        <w:spacing w:after="0" w:line="4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6"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9"/>
          <w:szCs w:val="29"/>
          <w:b w:val="1"/>
          <w:bCs w:val="1"/>
          <w:color w:val="auto"/>
        </w:rPr>
        <w:t>FORM S-1</w:t>
      </w:r>
    </w:p>
    <w:p>
      <w:pPr>
        <w:spacing w:after="0" w:line="4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13"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jc w:val="center"/>
        <w:ind w:right="-45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73025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9"/>
          <w:szCs w:val="29"/>
          <w:b w:val="1"/>
          <w:bCs w:val="1"/>
          <w:color w:val="auto"/>
        </w:rPr>
        <w:t>Mobileye Holdings Inc.</w:t>
      </w:r>
    </w:p>
    <w:p>
      <w:pPr>
        <w:spacing w:after="0" w:line="4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81915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8" w:lineRule="exact"/>
        <w:rPr>
          <w:sz w:val="24"/>
          <w:szCs w:val="24"/>
          <w:color w:val="auto"/>
        </w:rPr>
      </w:pPr>
    </w:p>
    <w:tbl>
      <w:tblPr>
        <w:tblLayout w:type="fixed"/>
        <w:tblInd w:w="500" w:type="dxa"/>
        <w:tblCellMar>
          <w:top w:w="0" w:type="dxa"/>
          <w:left w:w="0" w:type="dxa"/>
          <w:bottom w:w="0" w:type="dxa"/>
          <w:right w:w="0" w:type="dxa"/>
        </w:tblCellMar>
      </w:tblPr>
      <w:tr>
        <w:trPr>
          <w:trHeight w:val="195"/>
        </w:trPr>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2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Delaware</w:t>
            </w:r>
            <w:r>
              <w:rPr>
                <w:rFonts w:ascii="Times New Roman" w:cs="Times New Roman" w:eastAsia="Times New Roman" w:hAnsi="Times New Roman"/>
                <w:sz w:val="17"/>
                <w:szCs w:val="17"/>
                <w:color w:val="auto"/>
              </w:rPr>
              <w:t>​</w:t>
            </w:r>
          </w:p>
        </w:tc>
        <w:tc>
          <w:tcPr>
            <w:tcW w:w="3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7372</w:t>
            </w:r>
            <w:r>
              <w:rPr>
                <w:rFonts w:ascii="Times New Roman" w:cs="Times New Roman" w:eastAsia="Times New Roman" w:hAnsi="Times New Roman"/>
                <w:sz w:val="17"/>
                <w:szCs w:val="17"/>
                <w:color w:val="auto"/>
              </w:rPr>
              <w:t>​</w:t>
            </w:r>
          </w:p>
        </w:tc>
        <w:tc>
          <w:tcPr>
            <w:tcW w:w="4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88-0666433</w:t>
            </w:r>
            <w:r>
              <w:rPr>
                <w:rFonts w:ascii="Times New Roman" w:cs="Times New Roman" w:eastAsia="Times New Roman" w:hAnsi="Times New Roman"/>
                <w:sz w:val="17"/>
                <w:szCs w:val="17"/>
                <w:color w:val="auto"/>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(State or Other Jurisdiction of Incorporation</w:t>
            </w:r>
          </w:p>
        </w:tc>
        <w:tc>
          <w:tcPr>
            <w:tcW w:w="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(Primary Standard Industrial</w:t>
            </w:r>
          </w:p>
        </w:tc>
        <w:tc>
          <w:tcPr>
            <w:tcW w:w="4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(I.R.S. Employer</w:t>
            </w:r>
          </w:p>
        </w:tc>
        <w:tc>
          <w:tcPr>
            <w:tcW w:w="52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or Organization)</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auto"/>
              </w:rPr>
              <w:t>Classification Code Number)</w:t>
            </w:r>
            <w:r>
              <w:rPr>
                <w:rFonts w:ascii="Times New Roman" w:cs="Times New Roman" w:eastAsia="Times New Roman" w:hAnsi="Times New Roman"/>
                <w:sz w:val="17"/>
                <w:szCs w:val="17"/>
                <w:color w:val="auto"/>
              </w:rPr>
              <w:t>​</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Identification Number)</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46"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c/o Mobileye B.V.</w:t>
      </w:r>
    </w:p>
    <w:p>
      <w:pPr>
        <w:spacing w:after="0" w:line="1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Har Hotzvim, 13 Hartom Street</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P.O. Box 45157</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Jerusalem 9777513, Israel</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+972-2-541-7333</w:t>
      </w:r>
    </w:p>
    <w:p>
      <w:pPr>
        <w:spacing w:after="0" w:line="26"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3"/>
          <w:szCs w:val="13"/>
          <w:color w:val="auto"/>
        </w:rPr>
        <w:t>(Address, including zip code, and telephone number, including area code, of Registrant’s principal executive offices)</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83820</wp:posOffset>
            </wp:positionV>
            <wp:extent cx="1234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9"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Anat Heller</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b w:val="1"/>
          <w:bCs w:val="1"/>
          <w:color w:val="auto"/>
        </w:rPr>
        <w:t>c/o Mobileye B.V.</w:t>
      </w:r>
    </w:p>
    <w:p>
      <w:pPr>
        <w:spacing w:after="0" w:line="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Har Hotzvim, 13 Hartom Street</w:t>
      </w:r>
    </w:p>
    <w:p>
      <w:pPr>
        <w:spacing w:after="0" w:line="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P.O. Box 45157</w:t>
      </w:r>
    </w:p>
    <w:p>
      <w:pPr>
        <w:spacing w:after="0" w:line="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Jerusalem 9777513, Israel</w:t>
      </w:r>
    </w:p>
    <w:p>
      <w:pPr>
        <w:spacing w:after="0" w:line="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4"/>
          <w:szCs w:val="14"/>
          <w:b w:val="1"/>
          <w:bCs w:val="1"/>
          <w:color w:val="auto"/>
        </w:rPr>
        <w:t>+972-2-541-7333</w:t>
      </w:r>
    </w:p>
    <w:p>
      <w:pPr>
        <w:spacing w:after="0" w:line="12"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color w:val="auto"/>
        </w:rPr>
        <w:t>(Name, address, including zip code, and telephone number, including area code, of agent for service)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7" w:lineRule="exact"/>
        <w:rPr>
          <w:sz w:val="24"/>
          <w:szCs w:val="24"/>
          <w:color w:val="auto"/>
        </w:rPr>
      </w:pPr>
    </w:p>
    <w:tbl>
      <w:tblPr>
        <w:tblLayout w:type="fixed"/>
        <w:tblInd w:w="50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8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15"/>
        </w:trPr>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 Michelle Gasaway</w:t>
            </w:r>
          </w:p>
        </w:tc>
        <w:tc>
          <w:tcPr>
            <w:tcW w:w="4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Gregg A. Noel</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 ​</w:t>
            </w: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L. Savva</w:t>
            </w:r>
          </w:p>
        </w:tc>
        <w:tc>
          <w:tcPr>
            <w:tcW w:w="4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6"/>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Skadden, Arps, Slate, Meagher &amp; Flom LLP</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Sullivan &amp; Cromwell LLP</w:t>
            </w:r>
          </w:p>
        </w:tc>
        <w:tc>
          <w:tcPr>
            <w:tcW w:w="42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300 South Grand Avenue</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525 University Avenue</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1870 Embarcadero Road</w:t>
            </w:r>
          </w:p>
        </w:tc>
        <w:tc>
          <w:tcPr>
            <w:tcW w:w="420" w:type="dxa"/>
            <w:vAlign w:val="bottom"/>
          </w:tcPr>
          <w:p>
            <w:pPr>
              <w:spacing w:after="0"/>
              <w:rPr>
                <w:sz w:val="15"/>
                <w:szCs w:val="15"/>
                <w:color w:val="auto"/>
              </w:rPr>
            </w:pPr>
          </w:p>
        </w:tc>
      </w:tr>
      <w:tr>
        <w:trPr>
          <w:trHeight w:val="175"/>
        </w:trPr>
        <w:tc>
          <w:tcPr>
            <w:tcW w:w="1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Los Angeles, California 90071</w:t>
            </w:r>
          </w:p>
        </w:tc>
        <w:tc>
          <w:tcPr>
            <w:tcW w:w="4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Palo Alto, California 94301</w:t>
            </w:r>
          </w:p>
        </w:tc>
        <w:tc>
          <w:tcPr>
            <w:tcW w:w="680" w:type="dxa"/>
            <w:vAlign w:val="bottom"/>
          </w:tcPr>
          <w:p>
            <w:pPr>
              <w:spacing w:after="0"/>
              <w:rPr>
                <w:sz w:val="15"/>
                <w:szCs w:val="15"/>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Palo Alto, California 94303</w:t>
            </w:r>
          </w:p>
        </w:tc>
        <w:tc>
          <w:tcPr>
            <w:tcW w:w="420" w:type="dxa"/>
            <w:vAlign w:val="bottom"/>
          </w:tcPr>
          <w:p>
            <w:pPr>
              <w:spacing w:after="0"/>
              <w:rPr>
                <w:sz w:val="15"/>
                <w:szCs w:val="15"/>
                <w:color w:val="auto"/>
              </w:rPr>
            </w:pPr>
          </w:p>
        </w:tc>
      </w:tr>
      <w:tr>
        <w:trPr>
          <w:trHeight w:val="190"/>
        </w:trPr>
        <w:tc>
          <w:tcPr>
            <w:tcW w:w="1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(213) 687-5000</w:t>
            </w:r>
          </w:p>
        </w:tc>
        <w:tc>
          <w:tcPr>
            <w:tcW w:w="42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(650) 470-4500</w:t>
            </w:r>
          </w:p>
        </w:tc>
        <w:tc>
          <w:tcPr>
            <w:tcW w:w="680" w:type="dxa"/>
            <w:vAlign w:val="bottom"/>
          </w:tcPr>
          <w:p>
            <w:pPr>
              <w:spacing w:after="0"/>
              <w:rPr>
                <w:sz w:val="16"/>
                <w:szCs w:val="16"/>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(650) 461-5600</w:t>
            </w:r>
          </w:p>
        </w:tc>
        <w:tc>
          <w:tcPr>
            <w:tcW w:w="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92075</wp:posOffset>
            </wp:positionV>
            <wp:extent cx="123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8"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500" w:right="26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2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00" w:firstLine="360"/>
        <w:spacing w:after="0" w:line="25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ectPr>
          <w:pgSz w:w="11900" w:h="16838" w:orient="portrait"/>
          <w:cols w:equalWidth="0" w:num="1">
            <w:col w:w="10280"/>
          </w:cols>
          <w:pgMar w:left="580" w:top="205" w:right="1039" w:bottom="1440" w:gutter="0" w:footer="0" w:header="0"/>
        </w:sectPr>
      </w:pPr>
    </w:p>
    <w:p>
      <w:pPr>
        <w:spacing w:after="0" w:line="1" w:lineRule="exact"/>
        <w:rPr>
          <w:sz w:val="24"/>
          <w:szCs w:val="24"/>
          <w:color w:val="auto"/>
        </w:rPr>
      </w:pPr>
    </w:p>
    <w:tbl>
      <w:tblPr>
        <w:tblLayout w:type="fixed"/>
        <w:tblInd w:w="500" w:type="dxa"/>
        <w:tblCellMar>
          <w:top w:w="0" w:type="dxa"/>
          <w:left w:w="0" w:type="dxa"/>
          <w:bottom w:w="0" w:type="dxa"/>
          <w:right w:w="0" w:type="dxa"/>
        </w:tblCellMar>
      </w:tblPr>
      <w:tr>
        <w:trPr>
          <w:trHeight w:val="16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Large​</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Accelerated filer</w:t>
            </w:r>
          </w:p>
        </w:tc>
        <w:tc>
          <w:tcPr>
            <w:tcW w:w="0" w:type="dxa"/>
            <w:vAlign w:val="bottom"/>
          </w:tcPr>
          <w:p>
            <w:pPr>
              <w:spacing w:after="0"/>
              <w:rPr>
                <w:sz w:val="1"/>
                <w:szCs w:val="1"/>
                <w:color w:val="auto"/>
              </w:rPr>
            </w:pPr>
          </w:p>
        </w:tc>
      </w:tr>
      <w:tr>
        <w:trPr>
          <w:trHeight w:val="144"/>
        </w:trPr>
        <w:tc>
          <w:tcPr>
            <w:tcW w:w="3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2"/>
                <w:szCs w:val="12"/>
                <w:color w:val="auto"/>
              </w:rPr>
            </w:pPr>
          </w:p>
        </w:tc>
        <w:tc>
          <w:tcPr>
            <w:tcW w:w="26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6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0" w:type="dxa"/>
            <w:vAlign w:val="bottom"/>
          </w:tcPr>
          <w:p>
            <w:pPr>
              <w:spacing w:after="0"/>
              <w:rPr>
                <w:sz w:val="1"/>
                <w:szCs w:val="1"/>
                <w:color w:val="auto"/>
              </w:rPr>
            </w:pPr>
          </w:p>
        </w:tc>
      </w:tr>
      <w:tr>
        <w:trPr>
          <w:trHeight w:val="58"/>
        </w:trPr>
        <w:tc>
          <w:tcPr>
            <w:tcW w:w="1540" w:type="dxa"/>
            <w:vAlign w:val="bottom"/>
            <w:gridSpan w:val="2"/>
          </w:tcPr>
          <w:p>
            <w:pPr>
              <w:spacing w:after="0" w:line="59" w:lineRule="exact"/>
              <w:rPr>
                <w:sz w:val="20"/>
                <w:szCs w:val="20"/>
                <w:color w:val="auto"/>
              </w:rPr>
            </w:pPr>
            <w:r>
              <w:rPr>
                <w:rFonts w:ascii="Times New Roman" w:cs="Times New Roman" w:eastAsia="Times New Roman" w:hAnsi="Times New Roman"/>
                <w:sz w:val="6"/>
                <w:szCs w:val="6"/>
                <w:color w:val="auto"/>
              </w:rPr>
              <w:t>Non-accelerated filer</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42" w:lineRule="exact"/>
        <w:tabs>
          <w:tab w:leader="none" w:pos="4080" w:val="left"/>
        </w:tabs>
        <w:rPr>
          <w:sz w:val="20"/>
          <w:szCs w:val="20"/>
          <w:color w:val="auto"/>
        </w:rPr>
      </w:pPr>
      <w:r>
        <w:rPr>
          <w:rFonts w:ascii="Times New Roman" w:cs="Times New Roman" w:eastAsia="Times New Roman" w:hAnsi="Times New Roman"/>
          <w:sz w:val="14"/>
          <w:szCs w:val="14"/>
          <w:color w:val="auto"/>
        </w:rPr>
        <w:t xml:space="preserve">​ ​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22" w:lineRule="exact"/>
        <w:tabs>
          <w:tab w:leader="none" w:pos="4080" w:val="left"/>
        </w:tabs>
        <w:rPr>
          <w:sz w:val="20"/>
          <w:szCs w:val="20"/>
          <w:color w:val="auto"/>
        </w:rPr>
      </w:pPr>
      <w:r>
        <w:rPr>
          <w:rFonts w:ascii="Times New Roman" w:cs="Times New Roman" w:eastAsia="Times New Roman" w:hAnsi="Times New Roman"/>
          <w:sz w:val="13"/>
          <w:szCs w:val="13"/>
          <w:color w:val="auto"/>
        </w:rPr>
        <w:t xml:space="preserve">​ ​ </w:t>
      </w:r>
      <w:r>
        <w:rPr>
          <w:rFonts w:ascii="MS PGothic" w:cs="MS PGothic" w:eastAsia="MS PGothic" w:hAnsi="MS PGothic"/>
          <w:sz w:val="25"/>
          <w:szCs w:val="25"/>
          <w:color w:val="auto"/>
          <w:vertAlign w:val="subscript"/>
        </w:rPr>
        <w:t>☐</w:t>
      </w:r>
      <w:r>
        <w:rPr>
          <w:sz w:val="20"/>
          <w:szCs w:val="20"/>
          <w:color w:val="auto"/>
        </w:rPr>
        <w:tab/>
      </w:r>
      <w:r>
        <w:rPr>
          <w:rFonts w:ascii="Times New Roman" w:cs="Times New Roman" w:eastAsia="Times New Roman" w:hAnsi="Times New Roman"/>
          <w:sz w:val="14"/>
          <w:szCs w:val="14"/>
          <w:color w:val="auto"/>
        </w:rPr>
        <w:t>​</w:t>
      </w:r>
    </w:p>
    <w:p>
      <w:pPr>
        <w:spacing w:after="0" w:line="214" w:lineRule="exact"/>
        <w:tabs>
          <w:tab w:leader="none" w:pos="4080" w:val="left"/>
        </w:tabs>
        <w:rPr>
          <w:sz w:val="20"/>
          <w:szCs w:val="20"/>
          <w:color w:val="auto"/>
        </w:rPr>
      </w:pPr>
      <w:r>
        <w:rPr>
          <w:rFonts w:ascii="Times New Roman" w:cs="Times New Roman" w:eastAsia="Times New Roman" w:hAnsi="Times New Roman"/>
          <w:sz w:val="13"/>
          <w:szCs w:val="13"/>
          <w:color w:val="auto"/>
        </w:rPr>
        <w:t xml:space="preserve">​ ​ </w:t>
      </w:r>
      <w:r>
        <w:rPr>
          <w:rFonts w:ascii="MS PGothic" w:cs="MS PGothic" w:eastAsia="MS PGothic" w:hAnsi="MS PGothic"/>
          <w:sz w:val="24"/>
          <w:szCs w:val="24"/>
          <w:color w:val="auto"/>
          <w:vertAlign w:val="subscript"/>
        </w:rPr>
        <w:t>☐</w:t>
      </w:r>
      <w:r>
        <w:rPr>
          <w:sz w:val="20"/>
          <w:szCs w:val="20"/>
          <w:color w:val="auto"/>
        </w:rPr>
        <w:tab/>
      </w:r>
      <w:r>
        <w:rPr>
          <w:rFonts w:ascii="Times New Roman" w:cs="Times New Roman" w:eastAsia="Times New Roman" w:hAnsi="Times New Roman"/>
          <w:sz w:val="14"/>
          <w:szCs w:val="14"/>
          <w:color w:val="auto"/>
        </w:rPr>
        <w:t>​</w:t>
      </w:r>
    </w:p>
    <w:p>
      <w:pPr>
        <w:spacing w:after="0" w:line="162" w:lineRule="exact"/>
        <w:rPr>
          <w:sz w:val="24"/>
          <w:szCs w:val="24"/>
          <w:color w:val="auto"/>
        </w:rPr>
      </w:pPr>
    </w:p>
    <w:p>
      <w:pPr>
        <w:sectPr>
          <w:pgSz w:w="11900" w:h="16838" w:orient="portrait"/>
          <w:cols w:equalWidth="0" w:num="2">
            <w:col w:w="5600" w:space="520"/>
            <w:col w:w="4160"/>
          </w:cols>
          <w:pgMar w:left="580" w:top="205" w:right="1039" w:bottom="1440" w:gutter="0" w:footer="0" w:header="0"/>
          <w:type w:val="continuous"/>
        </w:sectPr>
      </w:pPr>
    </w:p>
    <w:p>
      <w:pPr>
        <w:ind w:left="500" w:right="140" w:firstLine="36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80" w:firstLine="360"/>
        <w:spacing w:after="0" w:line="26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r>
        <w:rPr>
          <w:rFonts w:ascii="Times New Roman" w:cs="Times New Roman" w:eastAsia="Times New Roman" w:hAnsi="Times New Roman"/>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39370</wp:posOffset>
            </wp:positionV>
            <wp:extent cx="6189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96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Exchange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or sale is</w:t>
            </w:r>
          </w:p>
        </w:tc>
      </w:tr>
      <w:tr>
        <w:trPr>
          <w:trHeight w:val="71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where the</w:t>
            </w:r>
          </w:p>
        </w:tc>
      </w:tr>
      <w:tr>
        <w:trPr>
          <w:trHeight w:val="443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 these securities until the registration statement filed with the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is not soliciting an offer to buy these securities in any jurisdiction</w:t>
            </w:r>
          </w:p>
        </w:tc>
      </w:tr>
      <w:tr>
        <w:trPr>
          <w:trHeight w:val="152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changed. We may not</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these securities and it</w:t>
            </w:r>
          </w:p>
        </w:tc>
      </w:tr>
      <w:tr>
        <w:trPr>
          <w:trHeight w:val="80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offer to sell</w:t>
            </w:r>
          </w:p>
        </w:tc>
      </w:tr>
      <w:tr>
        <w:trPr>
          <w:trHeight w:val="651"/>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320" w:type="dxa"/>
            <w:vAlign w:val="bottom"/>
            <w:textDirection w:val="btLr"/>
          </w:tcPr>
          <w:p>
            <w:pPr>
              <w:ind w:left="43"/>
              <w:spacing w:after="0"/>
              <w:rPr>
                <w:sz w:val="20"/>
                <w:szCs w:val="20"/>
                <w:color w:val="auto"/>
              </w:rPr>
            </w:pPr>
            <w:r>
              <w:rPr>
                <w:rFonts w:ascii="Arial" w:cs="Arial" w:eastAsia="Arial" w:hAnsi="Arial"/>
                <w:sz w:val="14"/>
                <w:szCs w:val="14"/>
                <w:b w:val="1"/>
                <w:bCs w:val="1"/>
                <w:color w:val="FC0014"/>
              </w:rPr>
              <w:t>is not an</w:t>
            </w:r>
          </w:p>
        </w:tc>
      </w:tr>
      <w:tr>
        <w:trPr>
          <w:trHeight w:val="360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320" w:type="dxa"/>
            <w:vAlign w:val="bottom"/>
            <w:textDirection w:val="btLr"/>
          </w:tcPr>
          <w:p>
            <w:pPr>
              <w:ind w:left="159"/>
              <w:spacing w:after="0"/>
              <w:rPr>
                <w:sz w:val="20"/>
                <w:szCs w:val="20"/>
                <w:color w:val="auto"/>
              </w:rPr>
            </w:pPr>
            <w:r>
              <w:rPr>
                <w:rFonts w:ascii="Arial" w:cs="Arial" w:eastAsia="Arial" w:hAnsi="Arial"/>
                <w:sz w:val="14"/>
                <w:szCs w:val="14"/>
                <w:b w:val="1"/>
                <w:bCs w:val="1"/>
                <w:color w:val="FC0014"/>
                <w:w w:val="80"/>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FC0014"/>
        </w:rPr>
        <w:t>Subject to Completion, dated                     , 2022.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i w:val="1"/>
          <w:iCs w:val="1"/>
          <w:color w:val="auto"/>
        </w:rPr>
        <w:t xml:space="preserve">                     </w:t>
      </w:r>
      <w:r>
        <w:rPr>
          <w:rFonts w:ascii="Times New Roman" w:cs="Times New Roman" w:eastAsia="Times New Roman" w:hAnsi="Times New Roman"/>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105410</wp:posOffset>
            </wp:positionV>
            <wp:extent cx="3086100"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61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Mobileye Holdings Inc.</w:t>
      </w:r>
    </w:p>
    <w:p>
      <w:pPr>
        <w:spacing w:after="0" w:line="2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Class A Common Stock</w:t>
      </w:r>
    </w:p>
    <w:p>
      <w:pPr>
        <w:spacing w:after="0" w:line="111" w:lineRule="exact"/>
        <w:rPr>
          <w:sz w:val="20"/>
          <w:szCs w:val="20"/>
          <w:color w:val="auto"/>
        </w:rPr>
      </w:pPr>
    </w:p>
    <w:p>
      <w:pPr>
        <w:ind w:right="99" w:firstLine="360"/>
        <w:spacing w:after="0" w:line="266" w:lineRule="auto"/>
        <w:rPr>
          <w:sz w:val="20"/>
          <w:szCs w:val="20"/>
          <w:color w:val="auto"/>
        </w:rPr>
      </w:pPr>
      <w:r>
        <w:rPr>
          <w:rFonts w:ascii="Times New Roman" w:cs="Times New Roman" w:eastAsia="Times New Roman" w:hAnsi="Times New Roman"/>
          <w:sz w:val="18"/>
          <w:szCs w:val="18"/>
          <w:color w:val="auto"/>
        </w:rPr>
        <w:t>This is an initial public offering of shares of our Class A common stock, and no public market currently exists for shares of our Class A common stock.</w:t>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expect the initial public offering price will be between $            and $            per share.</w:t>
      </w:r>
    </w:p>
    <w:p>
      <w:pPr>
        <w:spacing w:after="0" w:line="104" w:lineRule="exact"/>
        <w:rPr>
          <w:sz w:val="20"/>
          <w:szCs w:val="20"/>
          <w:color w:val="auto"/>
        </w:rPr>
      </w:pPr>
    </w:p>
    <w:p>
      <w:pPr>
        <w:ind w:right="159" w:firstLine="360"/>
        <w:spacing w:after="0" w:line="250"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repay approximately $            of indebtedness owed to our parent company Intel Corporation, a Delaware corporation (Nasdaq: INTC) (together with its subsidiaries other than us, “Intel”), under the Dividend Note (as defined below), and the remainder for working capital and general corporate purposes.</w:t>
      </w:r>
    </w:p>
    <w:p>
      <w:pPr>
        <w:spacing w:after="0" w:line="69" w:lineRule="exact"/>
        <w:rPr>
          <w:sz w:val="20"/>
          <w:szCs w:val="20"/>
          <w:color w:val="auto"/>
        </w:rPr>
      </w:pPr>
    </w:p>
    <w:p>
      <w:pPr>
        <w:jc w:val="both"/>
        <w:ind w:right="259" w:firstLine="360"/>
        <w:spacing w:after="0" w:line="250"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after the date of this prospectus to purchase up to an additional                     shares of our Class A common stock from us at the initial public offering price less the underwriting discounts and commissions.</w:t>
      </w:r>
    </w:p>
    <w:p>
      <w:pPr>
        <w:spacing w:after="0" w:line="69" w:lineRule="exact"/>
        <w:rPr>
          <w:sz w:val="20"/>
          <w:szCs w:val="20"/>
          <w:color w:val="auto"/>
        </w:rPr>
      </w:pPr>
    </w:p>
    <w:p>
      <w:pPr>
        <w:ind w:right="119" w:firstLine="360"/>
        <w:spacing w:after="0" w:line="243" w:lineRule="auto"/>
        <w:rPr>
          <w:sz w:val="20"/>
          <w:szCs w:val="20"/>
          <w:color w:val="auto"/>
        </w:rPr>
      </w:pPr>
      <w:r>
        <w:rPr>
          <w:rFonts w:ascii="Times New Roman" w:cs="Times New Roman" w:eastAsia="Times New Roman" w:hAnsi="Times New Roman"/>
          <w:sz w:val="18"/>
          <w:szCs w:val="18"/>
          <w:color w:val="auto"/>
        </w:rPr>
        <w:t>Following this offering, we will have two classes of authorized common stock: Class A common stock and Class B common stock. The rights of the holders of our Class A common stock and Class B common stock will be identical, except with respect to voting, transfer, and conversion rights. Each share of our Class A common stock will be entitled to one vote. Each share of our Class B common stock will be entitled to ten votes and will be convertible at any time into one share of our Class A common stock, subject to certain conditions. Immediately prior to the completion of this offering, Intel will be our only beneficial owner.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we will be a “controlled company” within the meaning of the corporate governance standards of                     (“                     ”). See “Management —  Controlled Company Exemption” and “Description of Capital Stock — Common Stock.”</w:t>
      </w:r>
    </w:p>
    <w:p>
      <w:pPr>
        <w:spacing w:after="0" w:line="64" w:lineRule="exact"/>
        <w:rPr>
          <w:sz w:val="20"/>
          <w:szCs w:val="20"/>
          <w:color w:val="auto"/>
        </w:rPr>
      </w:pPr>
    </w:p>
    <w:p>
      <w:pPr>
        <w:ind w:right="439" w:firstLine="360"/>
        <w:spacing w:after="0" w:line="282" w:lineRule="auto"/>
        <w:rPr>
          <w:sz w:val="20"/>
          <w:szCs w:val="20"/>
          <w:color w:val="auto"/>
        </w:rPr>
      </w:pPr>
      <w:r>
        <w:rPr>
          <w:rFonts w:ascii="Times New Roman" w:cs="Times New Roman" w:eastAsia="Times New Roman" w:hAnsi="Times New Roman"/>
          <w:sz w:val="18"/>
          <w:szCs w:val="18"/>
          <w:color w:val="auto"/>
        </w:rPr>
        <w:t>We intend to apply to list the shares of our Class A common stock on                     under the symbol “            ”.</w:t>
      </w:r>
    </w:p>
    <w:p>
      <w:pPr>
        <w:spacing w:after="0" w:line="23" w:lineRule="exact"/>
        <w:rPr>
          <w:sz w:val="20"/>
          <w:szCs w:val="20"/>
          <w:color w:val="auto"/>
        </w:rPr>
      </w:pPr>
    </w:p>
    <w:p>
      <w:pPr>
        <w:ind w:right="5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common stock involves risks. See “Risk Factors” beginning on page </w:t>
      </w:r>
      <w:r>
        <w:rPr>
          <w:rFonts w:ascii="Times New Roman" w:cs="Times New Roman" w:eastAsia="Times New Roman" w:hAnsi="Times New Roman"/>
          <w:sz w:val="18"/>
          <w:szCs w:val="18"/>
          <w:b w:val="1"/>
          <w:bCs w:val="1"/>
          <w:u w:val="single" w:color="auto"/>
          <w:color w:val="0000EE"/>
        </w:rPr>
        <w:t>18</w:t>
      </w:r>
      <w:r>
        <w:rPr>
          <w:rFonts w:ascii="Times New Roman" w:cs="Times New Roman" w:eastAsia="Times New Roman" w:hAnsi="Times New Roman"/>
          <w:sz w:val="18"/>
          <w:szCs w:val="18"/>
          <w:b w:val="1"/>
          <w:bCs w:val="1"/>
          <w:color w:val="auto"/>
        </w:rPr>
        <w:t xml:space="preserve"> to read about certain factors you should consider before buying our common stock.</w:t>
      </w:r>
    </w:p>
    <w:p>
      <w:pPr>
        <w:spacing w:after="0" w:line="20" w:lineRule="exact"/>
        <w:rPr>
          <w:sz w:val="20"/>
          <w:szCs w:val="20"/>
          <w:color w:val="auto"/>
        </w:rPr>
      </w:pPr>
    </w:p>
    <w:p>
      <w:pPr>
        <w:ind w:right="3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tbl>
      <w:tblPr>
        <w:tblLayout w:type="fixed"/>
        <w:tblInd w:w="0" w:type="dxa"/>
        <w:tblCellMar>
          <w:top w:w="0" w:type="dxa"/>
          <w:left w:w="0" w:type="dxa"/>
          <w:bottom w:w="0" w:type="dxa"/>
          <w:right w:w="0" w:type="dxa"/>
        </w:tblCellMar>
      </w:tblPr>
      <w:tr>
        <w:trPr>
          <w:trHeight w:val="31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20" w:type="dxa"/>
            <w:vAlign w:val="bottom"/>
            <w:gridSpan w:val="2"/>
          </w:tcPr>
          <w:p>
            <w:pPr>
              <w:ind w:left="1740"/>
              <w:spacing w:after="0" w:line="313"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Per Share</w:t>
            </w:r>
          </w:p>
        </w:tc>
        <w:tc>
          <w:tcPr>
            <w:tcW w:w="700" w:type="dxa"/>
            <w:vAlign w:val="bottom"/>
            <w:gridSpan w:val="2"/>
          </w:tcPr>
          <w:p>
            <w:pPr>
              <w:ind w:left="60"/>
              <w:spacing w:after="0" w:line="313"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1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5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0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-513715</wp:posOffset>
            </wp:positionV>
            <wp:extent cx="4911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1172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146050</wp:posOffset>
            </wp:positionV>
            <wp:extent cx="123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See “Underwriting” for a description of the compensation payable to the underwriters.</w:t>
      </w:r>
    </w:p>
    <w:p>
      <w:pPr>
        <w:spacing w:after="0" w:line="117" w:lineRule="exact"/>
        <w:rPr>
          <w:sz w:val="20"/>
          <w:szCs w:val="20"/>
          <w:color w:val="auto"/>
        </w:rPr>
      </w:pPr>
    </w:p>
    <w:p>
      <w:pPr>
        <w:ind w:right="259" w:firstLine="360"/>
        <w:spacing w:after="0" w:line="266" w:lineRule="auto"/>
        <w:rPr>
          <w:sz w:val="20"/>
          <w:szCs w:val="20"/>
          <w:color w:val="auto"/>
        </w:rPr>
      </w:pPr>
      <w:r>
        <w:rPr>
          <w:rFonts w:ascii="Times New Roman" w:cs="Times New Roman" w:eastAsia="Times New Roman" w:hAnsi="Times New Roman"/>
          <w:sz w:val="18"/>
          <w:szCs w:val="18"/>
          <w:color w:val="auto"/>
        </w:rPr>
        <w:t>The underwriters expect to deliver the shares of common stock against payment on or about               , 2022.</w:t>
      </w:r>
    </w:p>
    <w:p>
      <w:pPr>
        <w:spacing w:after="0" w:line="34" w:lineRule="exact"/>
        <w:rPr>
          <w:sz w:val="20"/>
          <w:szCs w:val="20"/>
          <w:color w:val="auto"/>
        </w:rPr>
      </w:pPr>
    </w:p>
    <w:p>
      <w:pPr>
        <w:spacing w:after="0"/>
        <w:tabs>
          <w:tab w:leader="none" w:pos="520" w:val="left"/>
          <w:tab w:leader="none" w:pos="4360" w:val="left"/>
          <w:tab w:leader="none" w:pos="5400" w:val="left"/>
          <w:tab w:leader="none" w:pos="8200" w:val="left"/>
        </w:tabs>
        <w:rPr>
          <w:sz w:val="20"/>
          <w:szCs w:val="20"/>
          <w:color w:val="auto"/>
        </w:rPr>
      </w:pPr>
      <w:r>
        <w:rPr>
          <w:rFonts w:ascii="Times New Roman" w:cs="Times New Roman" w:eastAsia="Times New Roman" w:hAnsi="Times New Roman"/>
          <w:sz w:val="29"/>
          <w:szCs w:val="29"/>
          <w:b w:val="1"/>
          <w:bCs w:val="1"/>
          <w:color w:val="auto"/>
        </w:rPr>
        <w:t>​</w:t>
        <w:tab/>
        <w:t>Goldman Sachs &amp; Co. LLC</w:t>
      </w:r>
      <w:r>
        <w:rPr>
          <w:sz w:val="20"/>
          <w:szCs w:val="20"/>
          <w:color w:val="auto"/>
        </w:rPr>
        <w:tab/>
      </w:r>
      <w:r>
        <w:rPr>
          <w:rFonts w:ascii="Times New Roman" w:cs="Times New Roman" w:eastAsia="Times New Roman" w:hAnsi="Times New Roman"/>
          <w:sz w:val="29"/>
          <w:szCs w:val="29"/>
          <w:b w:val="1"/>
          <w:bCs w:val="1"/>
          <w:color w:val="auto"/>
        </w:rPr>
        <w:t>​​</w:t>
      </w:r>
      <w:r>
        <w:rPr>
          <w:sz w:val="20"/>
          <w:szCs w:val="20"/>
          <w:color w:val="auto"/>
        </w:rPr>
        <w:tab/>
      </w:r>
      <w:r>
        <w:rPr>
          <w:rFonts w:ascii="Times New Roman" w:cs="Times New Roman" w:eastAsia="Times New Roman" w:hAnsi="Times New Roman"/>
          <w:sz w:val="29"/>
          <w:szCs w:val="29"/>
          <w:b w:val="1"/>
          <w:bCs w:val="1"/>
          <w:color w:val="auto"/>
        </w:rPr>
        <w:t>Morgan Stanley</w:t>
      </w:r>
      <w:r>
        <w:rPr>
          <w:sz w:val="20"/>
          <w:szCs w:val="20"/>
          <w:color w:val="auto"/>
        </w:rPr>
        <w:tab/>
      </w:r>
      <w:r>
        <w:rPr>
          <w:rFonts w:ascii="Times New Roman" w:cs="Times New Roman" w:eastAsia="Times New Roman" w:hAnsi="Times New Roman"/>
          <w:sz w:val="29"/>
          <w:szCs w:val="29"/>
          <w:b w:val="1"/>
          <w:bCs w:val="1"/>
          <w:color w:val="auto"/>
        </w:rPr>
        <w:t>​</w:t>
      </w:r>
    </w:p>
    <w:p>
      <w:pPr>
        <w:spacing w:after="0" w:line="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Prospectus dated 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67310</wp:posOffset>
            </wp:positionV>
            <wp:extent cx="68065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1360" w:space="220"/>
            <w:col w:w="829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PROSPECTUS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RISK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3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NOTE REGARDING FORWARD-LOOKING STATEMENTS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INDUSTRY,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MARKET,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USE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PROCEEDS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DIVIDEND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CAPITALIZATION</w:t>
      </w:r>
      <w:r>
        <w:rPr>
          <w:rFonts w:ascii="Times New Roman" w:cs="Times New Roman" w:eastAsia="Times New Roman" w:hAnsi="Times New Roman"/>
          <w:sz w:val="18"/>
          <w:szCs w:val="18"/>
          <w:color w:val="000000"/>
        </w:rPr>
        <w: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DILUTION</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right="140"/>
        <w:spacing w:after="0" w:line="284" w:lineRule="auto"/>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FINANCIAL INFORMATION </w:t>
      </w:r>
      <w:r>
        <w:rPr>
          <w:rFonts w:ascii="Times New Roman" w:cs="Times New Roman" w:eastAsia="Times New Roman" w:hAnsi="Times New Roman"/>
          <w:sz w:val="18"/>
          <w:szCs w:val="18"/>
          <w:u w:val="single" w:color="auto"/>
          <w:color w:val="0000EE"/>
        </w:rPr>
        <w:t>MANAGEMENT’S DISCUSSION AND ANALYSIS OF FINANCIAL CONDITION AND</w:t>
      </w:r>
    </w:p>
    <w:p>
      <w:pPr>
        <w:spacing w:after="0" w:line="1" w:lineRule="exact"/>
        <w:rPr>
          <w:sz w:val="20"/>
          <w:szCs w:val="20"/>
          <w:color w:val="auto"/>
        </w:rPr>
      </w:pPr>
    </w:p>
    <w:p>
      <w:pPr>
        <w:ind w:left="1440" w:hanging="180"/>
        <w:spacing w:after="0"/>
        <w:tabs>
          <w:tab w:leader="none" w:pos="14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RESULTS OF OPERATIONS</w:t>
      </w:r>
    </w:p>
    <w:p>
      <w:pPr>
        <w:spacing w:after="0" w:line="58" w:lineRule="exact"/>
        <w:rPr>
          <w:rFonts w:ascii="Times New Roman" w:cs="Times New Roman" w:eastAsia="Times New Roman" w:hAnsi="Times New Roman"/>
          <w:sz w:val="18"/>
          <w:szCs w:val="18"/>
          <w:color w:val="auto"/>
        </w:rPr>
      </w:pPr>
    </w:p>
    <w:p>
      <w:pPr>
        <w:ind w:left="1260" w:right="57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BUSINESS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MANAGEMENT</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AND DIRECTOR COMPENSATION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RELATIONSHIPS AND RELATED PARTY TRANSACTIONS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PRINCIPAL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STOCKHOLDERS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CAPITAL STOCK</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SHARES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ELIGIBLE FOR FUTURE SALE</w:t>
      </w:r>
    </w:p>
    <w:p>
      <w:pPr>
        <w:spacing w:after="0" w:line="63" w:lineRule="exact"/>
        <w:rPr>
          <w:rFonts w:ascii="Times New Roman" w:cs="Times New Roman" w:eastAsia="Times New Roman" w:hAnsi="Times New Roman"/>
          <w:sz w:val="18"/>
          <w:szCs w:val="18"/>
          <w:color w:val="auto"/>
        </w:rPr>
      </w:pPr>
    </w:p>
    <w:p>
      <w:pPr>
        <w:ind w:left="1260" w:right="8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U</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.S. FEDERAL INCOME TAX CONSIDERATIONS FOR NON-U.S. HOLDERS </w:t>
      </w:r>
      <w:r>
        <w:rPr>
          <w:rFonts w:ascii="Times New Roman" w:cs="Times New Roman" w:eastAsia="Times New Roman" w:hAnsi="Times New Roman"/>
          <w:sz w:val="18"/>
          <w:szCs w:val="18"/>
          <w:u w:val="single" w:color="auto"/>
          <w:color w:val="0000EE"/>
        </w:rPr>
        <w:t>UNDERWRITING</w:t>
      </w:r>
      <w:r>
        <w:rPr>
          <w:rFonts w:ascii="Times New Roman" w:cs="Times New Roman" w:eastAsia="Times New Roman" w:hAnsi="Times New Roman"/>
          <w:sz w:val="18"/>
          <w:szCs w:val="18"/>
          <w:color w:val="000000"/>
        </w:rPr>
        <w:t>​</w:t>
      </w:r>
    </w:p>
    <w:p>
      <w:pPr>
        <w:ind w:left="1260" w:right="4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VALIDITY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COMMON STOCK </w:t>
      </w:r>
      <w:r>
        <w:rPr>
          <w:rFonts w:ascii="Times New Roman" w:cs="Times New Roman" w:eastAsia="Times New Roman" w:hAnsi="Times New Roman"/>
          <w:sz w:val="18"/>
          <w:szCs w:val="18"/>
          <w:u w:val="single" w:color="auto"/>
          <w:color w:val="0000EE"/>
        </w:rPr>
        <w:t>EXPERTS</w:t>
      </w:r>
      <w:r>
        <w:rPr>
          <w:rFonts w:ascii="Times New Roman" w:cs="Times New Roman" w:eastAsia="Times New Roman" w:hAnsi="Times New Roman"/>
          <w:sz w:val="18"/>
          <w:szCs w:val="18"/>
          <w:color w:val="000000"/>
        </w:rPr>
        <w:t>​</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WHERE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YOU CAN FIND ADDITIONAL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INDEX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-2211070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-1868170</wp:posOffset>
            </wp:positionV>
            <wp:extent cx="5212080" cy="1885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885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81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148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sectPr>
          <w:pgSz w:w="11900" w:h="16838" w:orient="portrait"/>
          <w:cols w:equalWidth="0" w:num="2">
            <w:col w:w="8300" w:space="720"/>
            <w:col w:w="859"/>
          </w:cols>
          <w:pgMar w:left="580" w:top="97" w:right="1440" w:bottom="1440" w:gutter="0" w:footer="0" w:header="0"/>
          <w:type w:val="continuous"/>
        </w:sect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this prospectus, all references to “we,” “us,” “our,” our “company,” “Mobileye,” the “Company,” and similar terms refer to (i) with respect to our historical business, operations, financial performance, and financial condition, including in our combined financial statements, Mobileye Group, which combines the operations of Cyclops Holdings Corporation, Mobileye B.V., GG Acquisition Ltd., Moovit App Global Ltd., and their respective subsidiaries, along with certain Intel employees mainly in research and development, and (ii) upon completion of the Reorganization (as defined below), Mobileye Holdings Inc. and its consolidated subsidiaries, which will include the Mobileye Group. References to “Moovit” refer to GG Acquisition Ltd., Moovit App Global Ltd., and their consolidated subsidiaries.</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years 2021, 2020, and 2019 were 52-week fiscal years; fiscal year 2022 is a 53-week fiscal year. Any references to our performance for the years 2021, 2020, and 2019 are references to our fiscal years ended December 25, 2021, December 26, 2020, and December 28, 2019, respectively, and all references to our financial condition as of the end of 2021, 2020, and 2019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ectPr>
          <w:pgSz w:w="11900" w:h="16838" w:orient="portrait"/>
          <w:cols w:equalWidth="0" w:num="1">
            <w:col w:w="9879"/>
          </w:cols>
          <w:pgMar w:left="580" w:top="97" w:right="1440" w:bottom="1440" w:gutter="0" w:footer="0" w:header="0"/>
          <w:type w:val="continuous"/>
        </w:sectPr>
      </w:pPr>
    </w:p>
    <w:p>
      <w:pPr>
        <w:spacing w:after="0" w:line="36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Neither we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and the underwriters take no responsibility for, and can provide no assurance as to the reliability of, any other information that others may give you or any representation that others may make to you. We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12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Financial statements included in this prospectus have been prepared in accordance with United States Generally Accepted Accounting Principles (“GAAP”). We have included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1280" w:right="45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“Cautionary Note Regarding Forward-Looking Statements,” “Management’s Discussion and Analysis of Financial Condition and Results of Operations,” and our historical combined financial statements and the accompanying notes included elsewhere in this prospectus, before making an investment decision.</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62" w:lineRule="exact"/>
        <w:rPr>
          <w:sz w:val="20"/>
          <w:szCs w:val="20"/>
          <w:color w:val="auto"/>
        </w:rPr>
      </w:pPr>
    </w:p>
    <w:p>
      <w:pPr>
        <w:ind w:left="1280" w:right="439" w:firstLine="360"/>
        <w:spacing w:after="0" w:line="250"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0" w:lineRule="exact"/>
        <w:rPr>
          <w:sz w:val="20"/>
          <w:szCs w:val="20"/>
          <w:color w:val="auto"/>
        </w:rPr>
      </w:pPr>
    </w:p>
    <w:p>
      <w:pPr>
        <w:ind w:left="1280" w:right="43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80" w:right="43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80" w:right="47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total addressable market (“TAM”) to be approximately $16 billion, composed entirely of selected ADAS market opportunities. We expect the near-term TAM to be approximately $40 billion and the long-term TAM to be approximately $480 billion, as the value of ADAS functionality increases and as Autonomous Vehicle (“AV”) deployment, both in consumer-owned vehicles and fleet-owned vehicle networks, accelerates. We define the near-term TAM as the market size in or about 2026 and the long-term TAM as the market size in or about 2030. The TAM combines market opportunities in ADAS and AV, including Autonomous Mobility as a Service (“AMaaS”).</w:t>
      </w:r>
    </w:p>
    <w:p>
      <w:pPr>
        <w:spacing w:after="0" w:line="33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was $1.4 billion, $967 million, and $879 million, respectively, representing year-over-year growth of 43%</w:t>
      </w:r>
    </w:p>
    <w:p>
      <w:pPr>
        <w:ind w:left="1280"/>
        <w:spacing w:after="0"/>
        <w:rPr>
          <w:sz w:val="20"/>
          <w:szCs w:val="20"/>
          <w:color w:val="auto"/>
        </w:rPr>
      </w:pPr>
      <w:r>
        <w:rPr>
          <w:rFonts w:ascii="Times New Roman" w:cs="Times New Roman" w:eastAsia="Times New Roman" w:hAnsi="Times New Roman"/>
          <w:sz w:val="18"/>
          <w:szCs w:val="18"/>
          <w:color w:val="auto"/>
        </w:rPr>
        <w:t>in 2021. We currently derive substantially all of our revenue from our commercially deployed ADAS</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solutions. We recorded net losses of $75 million, $196 million, and $328 million in 2021, 2020, and 2019,</w:t>
      </w:r>
    </w:p>
    <w:p>
      <w:pPr>
        <w:ind w:left="1280"/>
        <w:spacing w:after="0" w:line="234" w:lineRule="auto"/>
        <w:rPr>
          <w:sz w:val="20"/>
          <w:szCs w:val="20"/>
          <w:color w:val="auto"/>
        </w:rPr>
      </w:pPr>
      <w:r>
        <w:rPr>
          <w:rFonts w:ascii="Times New Roman" w:cs="Times New Roman" w:eastAsia="Times New Roman" w:hAnsi="Times New Roman"/>
          <w:sz w:val="18"/>
          <w:szCs w:val="18"/>
          <w:color w:val="auto"/>
        </w:rPr>
        <w:t>respectively. Our Adjusted Net Income for 2021, 2020 and 2019 was $474 million, $289 million, and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$51 million, respectively. As of the end of 2021, our solutions had been installed in more than 700 vehicle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models (including local country variations), and our System-on-Chips (“SoCs”) had been deployed in over</w:t>
      </w:r>
    </w:p>
    <w:p>
      <w:pPr>
        <w:ind w:left="1280"/>
        <w:spacing w:after="0" w:line="234" w:lineRule="auto"/>
        <w:rPr>
          <w:sz w:val="20"/>
          <w:szCs w:val="20"/>
          <w:color w:val="auto"/>
        </w:rPr>
      </w:pPr>
      <w:r>
        <w:rPr>
          <w:rFonts w:ascii="Times New Roman" w:cs="Times New Roman" w:eastAsia="Times New Roman" w:hAnsi="Times New Roman"/>
          <w:sz w:val="18"/>
          <w:szCs w:val="18"/>
          <w:color w:val="auto"/>
        </w:rPr>
        <w:t>100 million vehicles. We are actively working with more than 50 Original Equipment Manufacturers</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(“OEMs”) worldwide on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02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16245" cy="800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19"/>
        <w:spacing w:after="0" w:line="255" w:lineRule="auto"/>
        <w:rPr>
          <w:sz w:val="20"/>
          <w:szCs w:val="20"/>
          <w:color w:val="auto"/>
        </w:rPr>
      </w:pPr>
      <w:r>
        <w:rPr>
          <w:rFonts w:ascii="Times New Roman" w:cs="Times New Roman" w:eastAsia="Times New Roman" w:hAnsi="Times New Roman"/>
          <w:sz w:val="18"/>
          <w:szCs w:val="18"/>
          <w:color w:val="auto"/>
        </w:rPr>
        <w:t>implementation of our ADAS solutions, and we announced over 40 new design wins in 2021 alone. We estimate, based on our existing design wins through March 31, 2022, that our ADAS solutions will be deployed in more than an additional 250 million vehicles by 2030, including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2021.</w:t>
      </w:r>
    </w:p>
    <w:p>
      <w:pPr>
        <w:spacing w:after="0" w:line="121" w:lineRule="exact"/>
        <w:rPr>
          <w:sz w:val="20"/>
          <w:szCs w:val="20"/>
          <w:color w:val="auto"/>
        </w:rPr>
      </w:pPr>
    </w:p>
    <w:p>
      <w:pPr>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5" w:lineRule="exact"/>
        <w:rPr>
          <w:sz w:val="20"/>
          <w:szCs w:val="20"/>
          <w:color w:val="auto"/>
        </w:rPr>
      </w:pPr>
    </w:p>
    <w:p>
      <w:pPr>
        <w:ind w:left="1820" w:right="419" w:hanging="182"/>
        <w:spacing w:after="0" w:line="228"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92" w:lineRule="exact"/>
        <w:rPr>
          <w:rFonts w:ascii="Times New Roman" w:cs="Times New Roman" w:eastAsia="Times New Roman" w:hAnsi="Times New Roman"/>
          <w:sz w:val="18"/>
          <w:szCs w:val="18"/>
          <w:color w:val="auto"/>
        </w:rPr>
      </w:pPr>
    </w:p>
    <w:p>
      <w:pPr>
        <w:ind w:left="1820" w:right="419" w:hanging="182"/>
        <w:spacing w:after="0" w:line="266"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58"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 designed to employ two independent perception sub systems — one based solely on cameras, and the other solely on a radar-light detection and ranging (“LiDAR”) subsystem, to enable our goal of building a fully autonomous driving-system that can be validated as safer than human-driven vehicles and deployed in a cost-efficient manner;</w:t>
      </w:r>
    </w:p>
    <w:p>
      <w:pPr>
        <w:spacing w:after="0" w:line="75" w:lineRule="exact"/>
        <w:rPr>
          <w:rFonts w:ascii="Times New Roman" w:cs="Times New Roman" w:eastAsia="Times New Roman" w:hAnsi="Times New Roman"/>
          <w:sz w:val="18"/>
          <w:szCs w:val="18"/>
          <w:color w:val="auto"/>
        </w:rPr>
      </w:pPr>
    </w:p>
    <w:p>
      <w:pPr>
        <w:ind w:left="1820" w:right="499" w:hanging="182"/>
        <w:spacing w:after="0" w:line="263"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291" w:lineRule="exact"/>
        <w:rPr>
          <w:rFonts w:ascii="Times New Roman" w:cs="Times New Roman" w:eastAsia="Times New Roman" w:hAnsi="Times New Roman"/>
          <w:sz w:val="18"/>
          <w:szCs w:val="18"/>
          <w:color w:val="auto"/>
        </w:rPr>
      </w:pPr>
    </w:p>
    <w:p>
      <w:pPr>
        <w:ind w:left="1820" w:right="759" w:hanging="182"/>
        <w:spacing w:after="0" w:line="261" w:lineRule="auto"/>
        <w:tabs>
          <w:tab w:leader="none" w:pos="1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112" w:lineRule="exact"/>
        <w:rPr>
          <w:sz w:val="20"/>
          <w:szCs w:val="20"/>
          <w:color w:val="auto"/>
        </w:rPr>
      </w:pPr>
    </w:p>
    <w:p>
      <w:pPr>
        <w:jc w:val="both"/>
        <w:ind w:left="1280" w:right="459" w:firstLine="360"/>
        <w:spacing w:after="0" w:line="266"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99" w:lineRule="exact"/>
        <w:rPr>
          <w:sz w:val="20"/>
          <w:szCs w:val="20"/>
          <w:color w:val="auto"/>
        </w:rPr>
      </w:pPr>
    </w:p>
    <w:p>
      <w:pPr>
        <w:ind w:left="1820" w:right="87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67" w:lineRule="exact"/>
        <w:rPr>
          <w:rFonts w:ascii="Times New Roman" w:cs="Times New Roman" w:eastAsia="Times New Roman" w:hAnsi="Times New Roman"/>
          <w:sz w:val="18"/>
          <w:szCs w:val="18"/>
          <w:color w:val="auto"/>
        </w:rPr>
      </w:pPr>
    </w:p>
    <w:p>
      <w:pPr>
        <w:jc w:val="both"/>
        <w:ind w:left="1820" w:right="459" w:hanging="182"/>
        <w:spacing w:after="0" w:line="266" w:lineRule="auto"/>
        <w:tabs>
          <w:tab w:leader="none" w:pos="1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293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16245" cy="829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579" w:hanging="182"/>
        <w:spacing w:after="0" w:line="282" w:lineRule="auto"/>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81" w:lineRule="exact"/>
        <w:rPr>
          <w:sz w:val="20"/>
          <w:szCs w:val="20"/>
          <w:color w:val="auto"/>
        </w:rPr>
      </w:pPr>
    </w:p>
    <w:p>
      <w:pPr>
        <w:ind w:left="1280" w:right="539" w:firstLine="360"/>
        <w:spacing w:after="0"/>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9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11" w:lineRule="exact"/>
        <w:rPr>
          <w:sz w:val="20"/>
          <w:szCs w:val="20"/>
          <w:color w:val="auto"/>
        </w:rPr>
      </w:pPr>
    </w:p>
    <w:p>
      <w:pPr>
        <w:ind w:left="1280" w:right="439" w:firstLine="360"/>
        <w:spacing w:after="0" w:line="215"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18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46" w:lineRule="exact"/>
        <w:rPr>
          <w:sz w:val="20"/>
          <w:szCs w:val="20"/>
          <w:color w:val="auto"/>
        </w:rPr>
      </w:pPr>
    </w:p>
    <w:p>
      <w:pPr>
        <w:jc w:val="both"/>
        <w:ind w:left="1280" w:right="479" w:firstLine="360"/>
        <w:spacing w:after="0" w:line="266"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41" w:lineRule="exact"/>
        <w:rPr>
          <w:sz w:val="20"/>
          <w:szCs w:val="20"/>
          <w:color w:val="auto"/>
        </w:rPr>
      </w:pPr>
    </w:p>
    <w:p>
      <w:pPr>
        <w:ind w:left="1820" w:right="559" w:hanging="182"/>
        <w:spacing w:after="0" w:line="258"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36" w:lineRule="exact"/>
        <w:rPr>
          <w:rFonts w:ascii="Times New Roman" w:cs="Times New Roman" w:eastAsia="Times New Roman" w:hAnsi="Times New Roman"/>
          <w:sz w:val="18"/>
          <w:szCs w:val="18"/>
          <w:color w:val="auto"/>
        </w:rPr>
      </w:pPr>
    </w:p>
    <w:p>
      <w:pPr>
        <w:ind w:left="1820" w:right="559" w:hanging="182"/>
        <w:spacing w:after="0" w:line="229"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recently announced 6Lite, and 6High, cover the entire spectrum of our ADAS solutions portfolio, and our recently announced EyeQ Ultra™, a monolithic “AV-on-Chip”, covers our autonomous driving solutions portfolio;</w:t>
      </w:r>
    </w:p>
    <w:p>
      <w:pPr>
        <w:spacing w:after="0" w:line="77" w:lineRule="exact"/>
        <w:rPr>
          <w:rFonts w:ascii="Times New Roman" w:cs="Times New Roman" w:eastAsia="Times New Roman" w:hAnsi="Times New Roman"/>
          <w:sz w:val="18"/>
          <w:szCs w:val="18"/>
          <w:color w:val="auto"/>
        </w:rPr>
      </w:pPr>
    </w:p>
    <w:p>
      <w:pPr>
        <w:jc w:val="both"/>
        <w:ind w:left="1820" w:right="539" w:hanging="182"/>
        <w:spacing w:after="0" w:line="263"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278" w:lineRule="exact"/>
        <w:rPr>
          <w:rFonts w:ascii="Times New Roman" w:cs="Times New Roman" w:eastAsia="Times New Roman" w:hAnsi="Times New Roman"/>
          <w:sz w:val="18"/>
          <w:szCs w:val="18"/>
          <w:color w:val="auto"/>
        </w:rPr>
      </w:pPr>
    </w:p>
    <w:p>
      <w:pPr>
        <w:ind w:left="1820" w:right="499" w:hanging="182"/>
        <w:spacing w:after="0" w:line="261" w:lineRule="auto"/>
        <w:tabs>
          <w:tab w:leader="none" w:pos="1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48" w:lineRule="exact"/>
        <w:rPr>
          <w:sz w:val="20"/>
          <w:szCs w:val="20"/>
          <w:color w:val="auto"/>
        </w:rPr>
      </w:pPr>
    </w:p>
    <w:p>
      <w:pPr>
        <w:ind w:left="1280" w:right="499" w:firstLine="360"/>
        <w:spacing w:after="0" w:line="247" w:lineRule="auto"/>
        <w:rPr>
          <w:sz w:val="20"/>
          <w:szCs w:val="20"/>
          <w:color w:val="auto"/>
        </w:rPr>
      </w:pPr>
      <w:r>
        <w:rPr>
          <w:rFonts w:ascii="Times New Roman" w:cs="Times New Roman" w:eastAsia="Times New Roman" w:hAnsi="Times New Roman"/>
          <w:sz w:val="18"/>
          <w:szCs w:val="18"/>
          <w:color w:val="auto"/>
        </w:rPr>
        <w:t>As of the end of 2021, our solutions had been installed in more than 700 vehicle models (including local country variations), and our SoCs had been deployed in over 100 million vehicles. We are actively working with more than 50 OEMs worldwide on the implementation of our ADAS solutions, and we announced over 40 new design wins in 2021 alone. We estimate, based on our existing design wins through March 31, 2022, that our ADAS solutions will be deployed in more than an additional 250 million vehicles by 2030, including approximately 50 million vehicles based on our 2021 design wins.</w:t>
      </w:r>
    </w:p>
    <w:p>
      <w:pPr>
        <w:spacing w:after="0" w:line="112" w:lineRule="exact"/>
        <w:rPr>
          <w:sz w:val="20"/>
          <w:szCs w:val="20"/>
          <w:color w:val="auto"/>
        </w:rPr>
      </w:pPr>
    </w:p>
    <w:p>
      <w:pPr>
        <w:ind w:left="1280" w:right="939" w:firstLine="360"/>
        <w:spacing w:after="0" w:line="266" w:lineRule="auto"/>
        <w:rPr>
          <w:sz w:val="20"/>
          <w:szCs w:val="20"/>
          <w:color w:val="auto"/>
        </w:rPr>
      </w:pPr>
      <w:r>
        <w:rPr>
          <w:rFonts w:ascii="Times New Roman" w:cs="Times New Roman" w:eastAsia="Times New Roman" w:hAnsi="Times New Roman"/>
          <w:sz w:val="18"/>
          <w:szCs w:val="18"/>
          <w:color w:val="auto"/>
        </w:rPr>
        <w:t>We currently ship a variety of ADAS solutions to 13 of the 15 largest automakers in the world in addition to many smaller OEMs, and we are recognized for our top-rated safety solutions globally.</w:t>
      </w:r>
    </w:p>
    <w:p>
      <w:pPr>
        <w:spacing w:after="0" w:line="69" w:lineRule="exact"/>
        <w:rPr>
          <w:sz w:val="20"/>
          <w:szCs w:val="20"/>
          <w:color w:val="auto"/>
        </w:rPr>
      </w:pPr>
    </w:p>
    <w:p>
      <w:pPr>
        <w:ind w:left="1280" w:right="65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14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79" w:lineRule="exact"/>
        <w:rPr>
          <w:sz w:val="20"/>
          <w:szCs w:val="20"/>
          <w:color w:val="auto"/>
        </w:rPr>
      </w:pPr>
    </w:p>
    <w:p>
      <w:pPr>
        <w:ind w:left="1280" w:right="859" w:firstLine="360"/>
        <w:spacing w:after="0" w:line="230"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w:t>
      </w:r>
    </w:p>
    <w:p>
      <w:pPr>
        <w:sectPr>
          <w:pgSz w:w="11900" w:h="16838" w:orient="portrait"/>
          <w:cols w:equalWidth="0" w:num="1">
            <w:col w:w="9879"/>
          </w:cols>
          <w:pgMar w:left="580" w:top="97" w:right="1440" w:bottom="1440" w:gutter="0" w:footer="0" w:header="0"/>
        </w:sectPr>
      </w:pPr>
    </w:p>
    <w:p>
      <w:pPr>
        <w:spacing w:after="0" w:line="31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419"/>
        <w:spacing w:after="0" w:line="231" w:lineRule="auto"/>
        <w:rPr>
          <w:sz w:val="20"/>
          <w:szCs w:val="20"/>
          <w:color w:val="auto"/>
        </w:rPr>
      </w:pPr>
      <w:r>
        <w:rPr>
          <w:rFonts w:ascii="Times New Roman" w:cs="Times New Roman" w:eastAsia="Times New Roman" w:hAnsi="Times New Roman"/>
          <w:sz w:val="18"/>
          <w:szCs w:val="18"/>
          <w:color w:val="auto"/>
        </w:rPr>
        <w:t>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Electronic Control Unit (“ECU”) architecture, thereby supporting a variety of ADAS solution architectures.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SoCs and subsequent generations feature EyeQ Kit™ — an end-to-end software-development kit (“SDK”) intended to enable the co-hosting of our partners’ and customers’ workloads alongside our cutting-edge artificial intelligence (“AI”) technologies. Importantly, we believe EyeQ Kit™ accelerates time to market for our customers at a lower cost than alternative in-house solutions, while strengthening our partnerships by encouraging our customers to customize their offerings on top of our platform.</w:t>
      </w:r>
    </w:p>
    <w:p>
      <w:pPr>
        <w:spacing w:after="0" w:line="1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Road Experience Management™</w:t>
      </w:r>
    </w:p>
    <w:p>
      <w:pPr>
        <w:spacing w:after="0" w:line="160" w:lineRule="exact"/>
        <w:rPr>
          <w:sz w:val="20"/>
          <w:szCs w:val="20"/>
          <w:color w:val="auto"/>
        </w:rPr>
      </w:pPr>
    </w:p>
    <w:p>
      <w:pPr>
        <w:ind w:left="1280" w:right="439" w:firstLine="360"/>
        <w:spacing w:after="0" w:line="282" w:lineRule="auto"/>
        <w:rPr>
          <w:sz w:val="20"/>
          <w:szCs w:val="20"/>
          <w:color w:val="auto"/>
        </w:rPr>
      </w:pPr>
      <w:r>
        <w:rPr>
          <w:rFonts w:ascii="Times New Roman" w:cs="Times New Roman" w:eastAsia="Times New Roman" w:hAnsi="Times New Roman"/>
          <w:sz w:val="18"/>
          <w:szCs w:val="18"/>
          <w:color w:val="auto"/>
        </w:rPr>
        <w:t>REM™ is a cloud-based system that leverages the broad installed-base of REM™-equipped vehicles to build Mobileye Roadbook™, our crowd-sourced, high-definition maps of roads from around the world.</w:t>
      </w:r>
    </w:p>
    <w:p>
      <w:pPr>
        <w:spacing w:after="0" w:line="94" w:lineRule="exact"/>
        <w:rPr>
          <w:sz w:val="20"/>
          <w:szCs w:val="20"/>
          <w:color w:val="auto"/>
        </w:rPr>
      </w:pPr>
    </w:p>
    <w:p>
      <w:pPr>
        <w:ind w:left="1280" w:right="619" w:firstLine="360"/>
        <w:spacing w:after="0" w:line="282" w:lineRule="auto"/>
        <w:rPr>
          <w:sz w:val="20"/>
          <w:szCs w:val="20"/>
          <w:color w:val="auto"/>
        </w:rPr>
      </w:pPr>
      <w:r>
        <w:rPr>
          <w:rFonts w:ascii="Times New Roman" w:cs="Times New Roman" w:eastAsia="Times New Roman" w:hAnsi="Times New Roman"/>
          <w:sz w:val="18"/>
          <w:szCs w:val="18"/>
          <w:color w:val="auto"/>
        </w:rPr>
        <w:t>By augmenting our base ADAS with REM™ and Mobileye Roadbook™, we have pioneered the new ADAS category of cloud-enhanced ADAS, which we call Cloud-Enhanced Driver Assist.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48" w:lineRule="exact"/>
        <w:rPr>
          <w:sz w:val="20"/>
          <w:szCs w:val="20"/>
          <w:color w:val="auto"/>
        </w:rPr>
      </w:pPr>
    </w:p>
    <w:p>
      <w:pPr>
        <w:ind w:left="1280" w:right="859" w:firstLine="360"/>
        <w:spacing w:after="0" w:line="266"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7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60" w:lineRule="exact"/>
        <w:rPr>
          <w:sz w:val="20"/>
          <w:szCs w:val="20"/>
          <w:color w:val="auto"/>
        </w:rPr>
      </w:pPr>
    </w:p>
    <w:p>
      <w:pPr>
        <w:ind w:left="1280" w:right="419" w:firstLine="360"/>
        <w:spacing w:after="0" w:line="261"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w:t>
      </w:r>
    </w:p>
    <w:p>
      <w:pPr>
        <w:spacing w:after="0" w:line="1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True Redundancy™: Our Unique Sensor Fusion Architecture</w:t>
      </w:r>
    </w:p>
    <w:p>
      <w:pPr>
        <w:spacing w:after="0" w:line="160" w:lineRule="exact"/>
        <w:rPr>
          <w:sz w:val="20"/>
          <w:szCs w:val="20"/>
          <w:color w:val="auto"/>
        </w:rPr>
      </w:pPr>
    </w:p>
    <w:p>
      <w:pPr>
        <w:ind w:left="1280" w:right="519" w:firstLine="360"/>
        <w:spacing w:after="0" w:line="261" w:lineRule="auto"/>
        <w:rPr>
          <w:sz w:val="20"/>
          <w:szCs w:val="20"/>
          <w:color w:val="auto"/>
        </w:rPr>
      </w:pPr>
      <w:r>
        <w:rPr>
          <w:rFonts w:ascii="Times New Roman" w:cs="Times New Roman" w:eastAsia="Times New Roman" w:hAnsi="Times New Roman"/>
          <w:sz w:val="18"/>
          <w:szCs w:val="18"/>
          <w:color w:val="auto"/>
        </w:rPr>
        <w:t>Our unique architecture design, called True Redundancy™, further enhances the robustness and safety of our self-driving system. Rather than fusing all different sensor modalities prior to creating an “environment model” of the world, we are developing two independent perception sub systems. One subsystem is powered solely by cameras and the other is powered by active sensors (radars and LiDARs).</w:t>
      </w:r>
    </w:p>
    <w:p>
      <w:pPr>
        <w:spacing w:after="0" w:line="99" w:lineRule="exact"/>
        <w:rPr>
          <w:sz w:val="20"/>
          <w:szCs w:val="20"/>
          <w:color w:val="auto"/>
        </w:rPr>
      </w:pPr>
    </w:p>
    <w:p>
      <w:pPr>
        <w:ind w:left="1280" w:right="439" w:firstLine="360"/>
        <w:spacing w:after="0" w:line="257" w:lineRule="auto"/>
        <w:rPr>
          <w:sz w:val="20"/>
          <w:szCs w:val="20"/>
          <w:color w:val="auto"/>
        </w:rPr>
      </w:pPr>
      <w:r>
        <w:rPr>
          <w:rFonts w:ascii="Times New Roman" w:cs="Times New Roman" w:eastAsia="Times New Roman" w:hAnsi="Times New Roman"/>
          <w:sz w:val="18"/>
          <w:szCs w:val="18"/>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recently launched by Geely Group for its Zeekr premium electric vehicle brand, is a productization of the camera-only subsystem of our autonomous driving development, offering fully operational point-to-point assisted driving navigation.</w:t>
      </w:r>
    </w:p>
    <w:p>
      <w:pPr>
        <w:spacing w:after="0" w:line="336"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We are designing a first-of-its-kind “software-defined” imaging radar with a dynamic range and resolution backed by advanced processing algorithms to enable an independent “sensing state.” We believe our custom designed imaging radars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116" w:lineRule="exact"/>
        <w:rPr>
          <w:sz w:val="20"/>
          <w:szCs w:val="20"/>
          <w:color w:val="auto"/>
        </w:rPr>
      </w:pPr>
    </w:p>
    <w:p>
      <w:pPr>
        <w:ind w:left="1280" w:right="439" w:firstLine="360"/>
        <w:spacing w:after="0" w:line="255"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Zeekr. Consumer AV ranges from very limited operational design domain (e.g., low-speed, highway-only “traffic jam pilot” systems) to the much more expansive operational design domain that we are pursuing through our Mobileye Chauffeur™ solution. Mobileye Chauffeur™ is expected to be capable of “eyes-off/​ hands-free” driving with a human driver still in the driver’s seat, in a gradually expanding operational driving domain, and is expected to use surrounding imaging radars and front-facing LiDAR but may require driver intervention in certain situations.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Building upon Mobileye Chauffeur™, which targets the consumer-owned AV market, we are developing Mobileye Drive™, our Level 4 self-driving system targeted for fleet-owned AMaaS and goods delivery networks. 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62" w:lineRule="exact"/>
        <w:rPr>
          <w:sz w:val="20"/>
          <w:szCs w:val="20"/>
          <w:color w:val="auto"/>
        </w:rPr>
      </w:pPr>
    </w:p>
    <w:p>
      <w:pPr>
        <w:ind w:left="1280" w:right="499" w:firstLine="360"/>
        <w:spacing w:after="0" w:line="258"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16" w:lineRule="exact"/>
        <w:rPr>
          <w:sz w:val="20"/>
          <w:szCs w:val="20"/>
          <w:color w:val="auto"/>
        </w:rPr>
      </w:pPr>
    </w:p>
    <w:p>
      <w:pPr>
        <w:ind w:left="1280" w:right="419" w:firstLine="360"/>
        <w:spacing w:after="0" w:line="255"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 As autonomous driving technology advances, a number of new transportation use cases are expected to emerge around the type of vehicle ownership, what is transported, and where and when the vehicle can operate.</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48" w:lineRule="exact"/>
        <w:rPr>
          <w:sz w:val="20"/>
          <w:szCs w:val="20"/>
          <w:color w:val="auto"/>
        </w:rPr>
      </w:pPr>
    </w:p>
    <w:p>
      <w:pPr>
        <w:ind w:left="1280" w:right="77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63" w:lineRule="exact"/>
        <w:rPr>
          <w:sz w:val="20"/>
          <w:szCs w:val="20"/>
          <w:color w:val="auto"/>
        </w:rPr>
      </w:pPr>
    </w:p>
    <w:p>
      <w:pPr>
        <w:ind w:left="1820" w:right="939" w:hanging="182"/>
        <w:spacing w:after="0" w:line="286"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w:t>
      </w:r>
    </w:p>
    <w:p>
      <w:pPr>
        <w:spacing w:after="0" w:line="46" w:lineRule="exact"/>
        <w:rPr>
          <w:rFonts w:ascii="Times New Roman" w:cs="Times New Roman" w:eastAsia="Times New Roman" w:hAnsi="Times New Roman"/>
          <w:sz w:val="18"/>
          <w:szCs w:val="18"/>
          <w:color w:val="auto"/>
        </w:rPr>
      </w:pPr>
    </w:p>
    <w:p>
      <w:pPr>
        <w:jc w:val="both"/>
        <w:ind w:left="1820" w:right="57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w:t>
      </w:r>
    </w:p>
    <w:p>
      <w:pPr>
        <w:spacing w:after="0" w:line="62" w:lineRule="exact"/>
        <w:rPr>
          <w:rFonts w:ascii="Times New Roman" w:cs="Times New Roman" w:eastAsia="Times New Roman" w:hAnsi="Times New Roman"/>
          <w:sz w:val="18"/>
          <w:szCs w:val="18"/>
          <w:color w:val="auto"/>
        </w:rPr>
      </w:pPr>
    </w:p>
    <w:p>
      <w:pPr>
        <w:ind w:left="1820" w:right="439" w:hanging="182"/>
        <w:spacing w:after="0" w:line="268" w:lineRule="auto"/>
        <w:tabs>
          <w:tab w:leader="none" w:pos="1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In order for autonomous driving consumer vehicles to scale in volume, we believe the cost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self-driving system needs to be reduced significantly, such as to several thousands of dollars, an order of magnitude lower than the cost of market solutions to date.</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48" w:lineRule="exact"/>
        <w:rPr>
          <w:sz w:val="20"/>
          <w:szCs w:val="20"/>
          <w:color w:val="auto"/>
        </w:rPr>
      </w:pPr>
    </w:p>
    <w:p>
      <w:pPr>
        <w:ind w:left="1280" w:right="439" w:firstLine="360"/>
        <w:spacing w:after="0" w:line="253"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 full-surround computer vision and True Redundancy™, we are developing Mobileye Chauffeur™, our consumer AV solution with a human driver still in the driver’s seat that may require driver intervention in certain situations, and Mobileye Drive™, our Level 4 autonomous driving solution. Together with Moovit’s urban mobility and transit application and its global user base, we are developing our own AMaaS offering for consumers built upon Mobileye Drive™.</w:t>
      </w:r>
    </w:p>
    <w:p>
      <w:pPr>
        <w:spacing w:after="0" w:line="82" w:lineRule="exact"/>
        <w:rPr>
          <w:sz w:val="20"/>
          <w:szCs w:val="20"/>
          <w:color w:val="auto"/>
        </w:rPr>
      </w:pPr>
    </w:p>
    <w:p>
      <w:pPr>
        <w:ind w:left="1820" w:right="799" w:hanging="182"/>
        <w:spacing w:after="0" w:line="268"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Driver Assist. </w:t>
      </w:r>
      <w:r>
        <w:rPr>
          <w:rFonts w:ascii="Times New Roman" w:cs="Times New Roman" w:eastAsia="Times New Roman" w:hAnsi="Times New Roman"/>
          <w:sz w:val="18"/>
          <w:szCs w:val="18"/>
          <w:color w:val="auto"/>
        </w:rPr>
        <w:t>Base Driver Assist functions are foundational to our spectrum of ADAS and AV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and include critical safety features such as real-time detection of road users, geometry, semantics, and markings to provide safety alerts and emergency interventions.</w:t>
      </w:r>
    </w:p>
    <w:p>
      <w:pPr>
        <w:spacing w:after="0" w:line="62" w:lineRule="exact"/>
        <w:rPr>
          <w:rFonts w:ascii="Times New Roman" w:cs="Times New Roman" w:eastAsia="Times New Roman" w:hAnsi="Times New Roman"/>
          <w:sz w:val="18"/>
          <w:szCs w:val="18"/>
          <w:color w:val="auto"/>
        </w:rPr>
      </w:pPr>
    </w:p>
    <w:p>
      <w:pPr>
        <w:ind w:left="1820" w:right="579" w:hanging="182"/>
        <w:spacing w:after="0" w:line="265" w:lineRule="auto"/>
        <w:tabs>
          <w:tab w:leader="none" w:pos="1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Cloud-Enhanced Driver Assist. </w:t>
      </w:r>
      <w:r>
        <w:rPr>
          <w:rFonts w:ascii="Times New Roman" w:cs="Times New Roman" w:eastAsia="Times New Roman" w:hAnsi="Times New Roman"/>
          <w:sz w:val="18"/>
          <w:szCs w:val="18"/>
          <w:color w:val="auto"/>
        </w:rPr>
        <w:t>Cloud-Enhanced Driver Assist provides drivers with high-accuracy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interpretations of a scene in real-time utilizing centimeter-level drivable path accuracy, foresight of the path ahead, and other semantic information provided by our crowdsourced REM™ mapping system.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20" w:right="719" w:hanging="182"/>
        <w:spacing w:after="0" w:line="268"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SuperVision™. </w:t>
      </w:r>
      <w:r>
        <w:rPr>
          <w:rFonts w:ascii="Times New Roman" w:cs="Times New Roman" w:eastAsia="Times New Roman" w:hAnsi="Times New Roman"/>
          <w:sz w:val="18"/>
          <w:szCs w:val="18"/>
          <w:color w:val="auto"/>
        </w:rPr>
        <w:t>Mobileye SuperVision™, our Premium Driver Assist offering, is a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point-to-point assisted driving navigation solution and includes cloud-based enhancements such as REM™ and supports over-the-air (“OTA”) updates.</w:t>
      </w:r>
    </w:p>
    <w:p>
      <w:pPr>
        <w:spacing w:after="0" w:line="62"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Chauffeur™. </w:t>
      </w:r>
      <w:r>
        <w:rPr>
          <w:rFonts w:ascii="Times New Roman" w:cs="Times New Roman" w:eastAsia="Times New Roman" w:hAnsi="Times New Roman"/>
          <w:sz w:val="18"/>
          <w:szCs w:val="18"/>
          <w:color w:val="auto"/>
        </w:rPr>
        <w:t>Mobileye Chauffeur’s™ first generation solution will be based on six</w:t>
      </w:r>
    </w:p>
    <w:p>
      <w:pPr>
        <w:spacing w:after="0" w:line="31" w:lineRule="exact"/>
        <w:rPr>
          <w:rFonts w:ascii="Times New Roman" w:cs="Times New Roman" w:eastAsia="Times New Roman" w:hAnsi="Times New Roman"/>
          <w:sz w:val="18"/>
          <w:szCs w:val="18"/>
          <w:color w:val="auto"/>
        </w:rPr>
      </w:pPr>
    </w:p>
    <w:p>
      <w:pPr>
        <w:ind w:left="1820" w:right="419"/>
        <w:spacing w:after="0" w:line="2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one EyeQ Ultra™, our AV-on-Chip.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pacing w:after="0" w:line="89" w:lineRule="exact"/>
        <w:rPr>
          <w:rFonts w:ascii="Times New Roman" w:cs="Times New Roman" w:eastAsia="Times New Roman" w:hAnsi="Times New Roman"/>
          <w:sz w:val="18"/>
          <w:szCs w:val="18"/>
          <w:color w:val="auto"/>
        </w:rPr>
      </w:pPr>
    </w:p>
    <w:p>
      <w:pPr>
        <w:ind w:left="1820" w:right="599" w:hanging="182"/>
        <w:spacing w:after="0" w:line="262" w:lineRule="auto"/>
        <w:tabs>
          <w:tab w:leader="none" w:pos="1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Mobileye Drive™. </w:t>
      </w:r>
      <w:r>
        <w:rPr>
          <w:rFonts w:ascii="Times New Roman" w:cs="Times New Roman" w:eastAsia="Times New Roman" w:hAnsi="Times New Roman"/>
          <w:sz w:val="18"/>
          <w:szCs w:val="18"/>
          <w:color w:val="auto"/>
        </w:rPr>
        <w:t>Mobileye Drive™, our Level 4 solution, will encompass our core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driving technologies found in Mobileye Chauffeur™ and will deliver the driving functions without the need for any in-vehicle human intervention by adding teleoperability and by minimizing cases where human input would be required.</w:t>
      </w:r>
    </w:p>
    <w:p>
      <w:pPr>
        <w:spacing w:after="0" w:line="113" w:lineRule="exact"/>
        <w:rPr>
          <w:sz w:val="20"/>
          <w:szCs w:val="20"/>
          <w:color w:val="auto"/>
        </w:rPr>
      </w:pPr>
    </w:p>
    <w:p>
      <w:pPr>
        <w:ind w:left="1640" w:right="899"/>
        <w:spacing w:after="0" w:line="266" w:lineRule="auto"/>
        <w:rPr>
          <w:sz w:val="20"/>
          <w:szCs w:val="20"/>
          <w:color w:val="auto"/>
        </w:rPr>
      </w:pPr>
      <w:r>
        <w:rPr>
          <w:rFonts w:ascii="Times New Roman" w:cs="Times New Roman" w:eastAsia="Times New Roman" w:hAnsi="Times New Roman"/>
          <w:sz w:val="18"/>
          <w:szCs w:val="18"/>
          <w:color w:val="auto"/>
        </w:rPr>
        <w:t>Mobileye Drive™ may be offered across two increasingly vertically integrated product sets, each underpinned by our full set of autonomous driving technology solutions:</w:t>
      </w:r>
    </w:p>
    <w:p>
      <w:pPr>
        <w:spacing w:after="0" w:line="50" w:lineRule="exact"/>
        <w:rPr>
          <w:sz w:val="20"/>
          <w:szCs w:val="20"/>
          <w:color w:val="auto"/>
        </w:rPr>
      </w:pPr>
    </w:p>
    <w:p>
      <w:pPr>
        <w:ind w:left="2180" w:right="579" w:hanging="182"/>
        <w:spacing w:after="0" w:line="262" w:lineRule="auto"/>
        <w:tabs>
          <w:tab w:leader="none" w:pos="2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 Level 4 self-driving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through business-to-business channels into a range of transportation network operators and vehicle OEMs, which would operate a variety of services (e.g., consumer-facing AMaaS, transportation on demand, and the delivery of goods).</w:t>
      </w:r>
    </w:p>
    <w:p>
      <w:pPr>
        <w:spacing w:after="0" w:line="68" w:lineRule="exact"/>
        <w:rPr>
          <w:rFonts w:ascii="Times New Roman" w:cs="Times New Roman" w:eastAsia="Times New Roman" w:hAnsi="Times New Roman"/>
          <w:sz w:val="18"/>
          <w:szCs w:val="18"/>
          <w:color w:val="auto"/>
        </w:rPr>
      </w:pPr>
    </w:p>
    <w:p>
      <w:pPr>
        <w:ind w:left="2180" w:right="459" w:hanging="182"/>
        <w:spacing w:after="0" w:line="258" w:lineRule="auto"/>
        <w:tabs>
          <w:tab w:leader="none" w:pos="2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 will be designed to interface with Moovit’s mobility-as-a-service (“MaaS”) platform, which adds a service layer and a ready-made user base. Moovit's global user base will provide a ready consumer base for our business-to-business customers. It also will provide the necessary service and user-base layer within our own AMaaS solution where we plan to deploy Mobileye-Drive-enabled self-driving vehicles in partnership with fleet operators.</w:t>
      </w:r>
    </w:p>
    <w:p>
      <w:pPr>
        <w:spacing w:after="0" w:line="322"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6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 200</w:t>
      </w:r>
    </w:p>
    <w:p>
      <w:pPr>
        <w:spacing w:after="0" w:line="16" w:lineRule="exact"/>
        <w:rPr>
          <w:sz w:val="20"/>
          <w:szCs w:val="20"/>
          <w:color w:val="auto"/>
        </w:rPr>
      </w:pPr>
    </w:p>
    <w:p>
      <w:pPr>
        <w:jc w:val="both"/>
        <w:ind w:left="1280" w:right="459"/>
        <w:spacing w:after="0"/>
        <w:rPr>
          <w:sz w:val="20"/>
          <w:szCs w:val="20"/>
          <w:color w:val="auto"/>
        </w:rPr>
      </w:pPr>
      <w:r>
        <w:rPr>
          <w:rFonts w:ascii="Times New Roman" w:cs="Times New Roman" w:eastAsia="Times New Roman" w:hAnsi="Times New Roman"/>
          <w:sz w:val="18"/>
          <w:szCs w:val="18"/>
          <w:color w:val="auto"/>
        </w:rPr>
        <w:t>petabytes of data, which includes 18 million clips collected over decades of driving on urban, highway, and arterial roads in over 80 countries that enable us to develop advanced computer vision algorithms to fit road scenarios and use cases that our system encounters. We utilize up to approximately 500,000 cloud</w:t>
      </w:r>
    </w:p>
    <w:p>
      <w:pPr>
        <w:ind w:left="1280" w:right="439"/>
        <w:spacing w:after="0" w:line="242" w:lineRule="auto"/>
        <w:rPr>
          <w:sz w:val="20"/>
          <w:szCs w:val="20"/>
          <w:color w:val="auto"/>
        </w:rPr>
      </w:pPr>
      <w:r>
        <w:rPr>
          <w:rFonts w:ascii="Times New Roman" w:cs="Times New Roman" w:eastAsia="Times New Roman" w:hAnsi="Times New Roman"/>
          <w:sz w:val="18"/>
          <w:szCs w:val="18"/>
          <w:color w:val="auto"/>
        </w:rPr>
        <w:t>CPU cores to process approximately 100 petabytes of data every month. We have developed sophisticated 2D and 3D automatic -labeling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2.5 billion miles of roads driven as of the end of 2021 from, based on our estimates, approximately 1.5 million REM™-enabled vehicles worldwide. Our dataset creates a powerful network effect as we seek to continually improve our solutions as more vehicles are deployed with our technology.</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80" w:right="63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280" w:right="439" w:hanging="2"/>
        <w:spacing w:after="0" w:line="246" w:lineRule="auto"/>
        <w:tabs>
          <w:tab w:leader="none" w:pos="154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as follows:</w:t>
      </w:r>
    </w:p>
    <w:p>
      <w:pPr>
        <w:spacing w:after="0" w:line="68" w:lineRule="exact"/>
        <w:rPr>
          <w:rFonts w:ascii="Times New Roman" w:cs="Times New Roman" w:eastAsia="Times New Roman" w:hAnsi="Times New Roman"/>
          <w:sz w:val="18"/>
          <w:szCs w:val="18"/>
          <w:color w:val="auto"/>
        </w:rPr>
      </w:pPr>
    </w:p>
    <w:p>
      <w:pPr>
        <w:ind w:left="1820" w:right="539" w:hanging="182"/>
        <w:spacing w:after="0" w:line="286" w:lineRule="auto"/>
        <w:tabs>
          <w:tab w:leader="none" w:pos="18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459"/>
        <w:spacing w:after="0" w:line="258" w:lineRule="auto"/>
        <w:rPr>
          <w:sz w:val="20"/>
          <w:szCs w:val="20"/>
          <w:color w:val="auto"/>
        </w:rPr>
      </w:pPr>
      <w:r>
        <w:rPr>
          <w:rFonts w:ascii="Times New Roman" w:cs="Times New Roman" w:eastAsia="Times New Roman" w:hAnsi="Times New Roman"/>
          <w:sz w:val="18"/>
          <w:szCs w:val="18"/>
          <w:color w:val="auto"/>
        </w:rPr>
        <w:t>with the computational workloads required by the software stack. Our approach results in low power consumption and lean compute, yet is able to support a very powerful range of solutions for the ADAS and AV markets.</w:t>
      </w:r>
    </w:p>
    <w:p>
      <w:pPr>
        <w:spacing w:after="0" w:line="23" w:lineRule="exact"/>
        <w:rPr>
          <w:sz w:val="20"/>
          <w:szCs w:val="20"/>
          <w:color w:val="auto"/>
        </w:rPr>
      </w:pPr>
    </w:p>
    <w:p>
      <w:pPr>
        <w:ind w:left="1820" w:right="519" w:hanging="182"/>
        <w:spacing w:after="0" w:line="224"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54" w:lineRule="exact"/>
        <w:rPr>
          <w:rFonts w:ascii="Times New Roman" w:cs="Times New Roman" w:eastAsia="Times New Roman" w:hAnsi="Times New Roman"/>
          <w:sz w:val="18"/>
          <w:szCs w:val="18"/>
          <w:color w:val="auto"/>
        </w:rPr>
      </w:pPr>
    </w:p>
    <w:p>
      <w:pPr>
        <w:ind w:left="1820" w:right="459" w:hanging="182"/>
        <w:spacing w:after="0" w:line="247"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EyeQ Kit™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 </w:t>
      </w:r>
      <w:r>
        <w:rPr>
          <w:rFonts w:ascii="Times New Roman" w:cs="Times New Roman" w:eastAsia="Times New Roman" w:hAnsi="Times New Roman"/>
          <w:sz w:val="18"/>
          <w:szCs w:val="18"/>
          <w:color w:val="auto"/>
        </w:rPr>
        <w:t>Our platform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modular by design, and it is highly customizable, which allows our customers to benefit from our cutting-edge, verified, and validated core ADAS capabilities while enabling our customers to augment and differentiate their offerings. We believe EyeQ Kit™ accelerates time to market for our customers at a lower cost than alternative in-house solutions while strengthening our partnerships by encouraging our customers to customize their offerings on top of our platform.</w:t>
      </w:r>
    </w:p>
    <w:p>
      <w:pPr>
        <w:spacing w:after="0" w:line="66" w:lineRule="exact"/>
        <w:rPr>
          <w:rFonts w:ascii="Times New Roman" w:cs="Times New Roman" w:eastAsia="Times New Roman" w:hAnsi="Times New Roman"/>
          <w:sz w:val="18"/>
          <w:szCs w:val="18"/>
          <w:color w:val="auto"/>
        </w:rPr>
      </w:pPr>
    </w:p>
    <w:p>
      <w:pPr>
        <w:ind w:left="1820" w:right="539" w:hanging="182"/>
        <w:spacing w:after="0" w:line="26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Industry leading computer vision capabilities — </w:t>
      </w:r>
      <w:r>
        <w:rPr>
          <w:rFonts w:ascii="Times New Roman" w:cs="Times New Roman" w:eastAsia="Times New Roman" w:hAnsi="Times New Roman"/>
          <w:sz w:val="18"/>
          <w:szCs w:val="18"/>
          <w:color w:val="auto"/>
        </w:rPr>
        <w:t>We are a technology leader for computer 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for ADAS, and we have continuously enhanced our leadership position since we launched with customers in 2007 through our ability to meet the extreme performance, accuracy, and cost metrics of our OEM customers.</w:t>
      </w:r>
    </w:p>
    <w:p>
      <w:pPr>
        <w:spacing w:after="0" w:line="68" w:lineRule="exact"/>
        <w:rPr>
          <w:rFonts w:ascii="Times New Roman" w:cs="Times New Roman" w:eastAsia="Times New Roman" w:hAnsi="Times New Roman"/>
          <w:sz w:val="18"/>
          <w:szCs w:val="18"/>
          <w:color w:val="auto"/>
        </w:rPr>
      </w:pPr>
    </w:p>
    <w:p>
      <w:pPr>
        <w:ind w:left="1820" w:right="499" w:hanging="182"/>
        <w:spacing w:after="0" w:line="268"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 mapping technology, our True Redundancy™ approach, our RSS and driving policy, and our active sensor architecture based on our imaging radars.</w:t>
      </w:r>
    </w:p>
    <w:p>
      <w:pPr>
        <w:spacing w:after="0" w:line="49" w:lineRule="exact"/>
        <w:rPr>
          <w:rFonts w:ascii="Times New Roman" w:cs="Times New Roman" w:eastAsia="Times New Roman" w:hAnsi="Times New Roman"/>
          <w:sz w:val="18"/>
          <w:szCs w:val="18"/>
          <w:color w:val="auto"/>
        </w:rPr>
      </w:pPr>
    </w:p>
    <w:p>
      <w:pPr>
        <w:ind w:left="1820" w:right="699" w:hanging="182"/>
        <w:spacing w:after="0" w:line="259"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Autonomous driving-ADAS synergies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autonomous driving-ADAS interplay is bi-directional: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w:t>
      </w:r>
    </w:p>
    <w:p>
      <w:pPr>
        <w:spacing w:after="0" w:line="71" w:lineRule="exact"/>
        <w:rPr>
          <w:rFonts w:ascii="Times New Roman" w:cs="Times New Roman" w:eastAsia="Times New Roman" w:hAnsi="Times New Roman"/>
          <w:sz w:val="18"/>
          <w:szCs w:val="18"/>
          <w:color w:val="auto"/>
        </w:rPr>
      </w:pPr>
    </w:p>
    <w:p>
      <w:pPr>
        <w:jc w:val="both"/>
        <w:ind w:left="1820" w:right="419" w:hanging="182"/>
        <w:spacing w:after="0" w:line="25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creates a powerful network effect and long-term competitive advantage — </w:t>
      </w:r>
      <w:r>
        <w:rPr>
          <w:rFonts w:ascii="Times New Roman" w:cs="Times New Roman" w:eastAsia="Times New Roman" w:hAnsi="Times New Roman"/>
          <w:sz w:val="18"/>
          <w:szCs w:val="18"/>
          <w:color w:val="auto"/>
        </w:rPr>
        <w:t>Our REM™ system is a crucial ingredient that we believe allows for: (1) defining a new category of cloud-enhanced ADAS that we call Cloud-Enhanced Driver Assist; (2) evolving ADAS to an “eyes-on/hands-free” point-to-point assisted driving navigation; and (3) the scale deployment of AV.</w:t>
      </w:r>
    </w:p>
    <w:p>
      <w:pPr>
        <w:spacing w:after="0" w:line="3" w:lineRule="exact"/>
        <w:rPr>
          <w:rFonts w:ascii="Times New Roman" w:cs="Times New Roman" w:eastAsia="Times New Roman" w:hAnsi="Times New Roman"/>
          <w:sz w:val="18"/>
          <w:szCs w:val="18"/>
          <w:color w:val="auto"/>
        </w:rPr>
      </w:pPr>
    </w:p>
    <w:p>
      <w:pPr>
        <w:ind w:left="182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w:t>
      </w:r>
    </w:p>
    <w:p>
      <w:pPr>
        <w:spacing w:after="0" w:line="77" w:lineRule="exact"/>
        <w:rPr>
          <w:rFonts w:ascii="Times New Roman" w:cs="Times New Roman" w:eastAsia="Times New Roman" w:hAnsi="Times New Roman"/>
          <w:sz w:val="18"/>
          <w:szCs w:val="18"/>
          <w:color w:val="auto"/>
        </w:rPr>
      </w:pPr>
    </w:p>
    <w:p>
      <w:pPr>
        <w:ind w:left="1820" w:right="419" w:hanging="182"/>
        <w:spacing w:after="0" w:line="256"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and technology advantage — </w:t>
      </w:r>
      <w:r>
        <w:rPr>
          <w:rFonts w:ascii="Times New Roman" w:cs="Times New Roman" w:eastAsia="Times New Roman" w:hAnsi="Times New Roman"/>
          <w:sz w:val="18"/>
          <w:szCs w:val="18"/>
          <w:color w:val="auto"/>
        </w:rPr>
        <w:t>We have assembled a substantial dataset of real-world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encompassing over 200 petabytes of data, which includes 18 million clips collected over decades of driving on urban, highway, and arterial roads in over 80 countries. We utilize up to approximately 500,000 cloud CPU cores to process approximately 100 petabytes of data every month, which we believe demonstrates the size and scale of our data repository. Our dataset creates a powerful network effect as we seek to continually improve our solutions as more vehicles are deployed with our technology.</w:t>
      </w:r>
    </w:p>
    <w:p>
      <w:pPr>
        <w:spacing w:after="0" w:line="61" w:lineRule="exact"/>
        <w:rPr>
          <w:rFonts w:ascii="Times New Roman" w:cs="Times New Roman" w:eastAsia="Times New Roman" w:hAnsi="Times New Roman"/>
          <w:sz w:val="18"/>
          <w:szCs w:val="18"/>
          <w:color w:val="auto"/>
        </w:rPr>
      </w:pPr>
    </w:p>
    <w:p>
      <w:pPr>
        <w:ind w:left="1820" w:right="579" w:hanging="182"/>
        <w:spacing w:after="0" w:line="262"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RSS and driving policy are designed for global deployment — </w:t>
      </w:r>
      <w:r>
        <w:rPr>
          <w:rFonts w:ascii="Times New Roman" w:cs="Times New Roman" w:eastAsia="Times New Roman" w:hAnsi="Times New Roman"/>
          <w:sz w:val="18"/>
          <w:szCs w:val="18"/>
          <w:color w:val="auto"/>
        </w:rPr>
        <w:t>RSS is the key enabler of our “lean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compute” driving policy design, where we distinctly separate driving comfort features from safety-related inhibitions and adjustments. Our RSS-based driving policy is designed for global deployment, as it does not need to be tailored to specific driving cultures.</w:t>
      </w:r>
    </w:p>
    <w:p>
      <w:pPr>
        <w:spacing w:after="0" w:line="68" w:lineRule="exact"/>
        <w:rPr>
          <w:rFonts w:ascii="Times New Roman" w:cs="Times New Roman" w:eastAsia="Times New Roman" w:hAnsi="Times New Roman"/>
          <w:sz w:val="18"/>
          <w:szCs w:val="18"/>
          <w:color w:val="auto"/>
        </w:rPr>
      </w:pPr>
    </w:p>
    <w:p>
      <w:pPr>
        <w:ind w:left="1820" w:right="419" w:hanging="182"/>
        <w:spacing w:after="0" w:line="257" w:lineRule="auto"/>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Purpose-built imaging-radar unlocks consumer AV at scale — </w:t>
      </w:r>
      <w:r>
        <w:rPr>
          <w:rFonts w:ascii="Times New Roman" w:cs="Times New Roman" w:eastAsia="Times New Roman" w:hAnsi="Times New Roman"/>
          <w:sz w:val="18"/>
          <w:szCs w:val="18"/>
          <w:color w:val="auto"/>
        </w:rPr>
        <w:t>We are developing software-defined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imaging-radar with cutting-edge dynamic range and resolution. Our differentiated True Redundancy™ architecture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ectPr>
          <w:pgSz w:w="11900" w:h="16838" w:orient="portrait"/>
          <w:cols w:equalWidth="0" w:num="1">
            <w:col w:w="9879"/>
          </w:cols>
          <w:pgMar w:left="580" w:top="97" w:right="1440" w:bottom="1440" w:gutter="0" w:footer="0" w:header="0"/>
        </w:sectPr>
      </w:pPr>
    </w:p>
    <w:p>
      <w:pPr>
        <w:spacing w:after="0" w:line="3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20" w:right="459" w:hanging="182"/>
        <w:spacing w:after="0" w:line="259"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the end of 2021, Moovit had over 1.3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84" w:lineRule="exact"/>
        <w:rPr>
          <w:rFonts w:ascii="Times New Roman" w:cs="Times New Roman" w:eastAsia="Times New Roman" w:hAnsi="Times New Roman"/>
          <w:sz w:val="18"/>
          <w:szCs w:val="18"/>
          <w:color w:val="auto"/>
        </w:rPr>
      </w:pPr>
    </w:p>
    <w:p>
      <w:pPr>
        <w:ind w:left="1820" w:right="639" w:hanging="182"/>
        <w:spacing w:after="0" w:line="262" w:lineRule="auto"/>
        <w:tabs>
          <w:tab w:leader="none" w:pos="1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collaborative ecosystem relationships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13" w:lineRule="exact"/>
        <w:rPr>
          <w:sz w:val="20"/>
          <w:szCs w:val="20"/>
          <w:color w:val="auto"/>
        </w:rPr>
      </w:pPr>
    </w:p>
    <w:p>
      <w:pPr>
        <w:ind w:left="1820" w:right="419" w:hanging="182"/>
        <w:spacing w:after="0" w:line="268"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w:t>
      </w:r>
    </w:p>
    <w:p>
      <w:pPr>
        <w:spacing w:after="0" w:line="62" w:lineRule="exact"/>
        <w:rPr>
          <w:rFonts w:ascii="Times New Roman" w:cs="Times New Roman" w:eastAsia="Times New Roman" w:hAnsi="Times New Roman"/>
          <w:sz w:val="18"/>
          <w:szCs w:val="18"/>
          <w:color w:val="auto"/>
        </w:rPr>
      </w:pPr>
    </w:p>
    <w:p>
      <w:pPr>
        <w:ind w:left="1820" w:right="419" w:hanging="182"/>
        <w:spacing w:after="0" w:line="234"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 technology. In the future, we plan to create revenue streams from our OTA capabilities and AV maps through solution upgrades.</w:t>
      </w:r>
    </w:p>
    <w:p>
      <w:pPr>
        <w:spacing w:after="0" w:line="102" w:lineRule="exact"/>
        <w:rPr>
          <w:rFonts w:ascii="Times New Roman" w:cs="Times New Roman" w:eastAsia="Times New Roman" w:hAnsi="Times New Roman"/>
          <w:sz w:val="18"/>
          <w:szCs w:val="18"/>
          <w:color w:val="auto"/>
        </w:rPr>
      </w:pPr>
    </w:p>
    <w:p>
      <w:pPr>
        <w:ind w:left="1820" w:right="679" w:hanging="182"/>
        <w:spacing w:after="0" w:line="26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Further enhance our Premium Driver Assist solution — </w:t>
      </w:r>
      <w:r>
        <w:rPr>
          <w:rFonts w:ascii="Times New Roman" w:cs="Times New Roman" w:eastAsia="Times New Roman" w:hAnsi="Times New Roman"/>
          <w:sz w:val="18"/>
          <w:szCs w:val="18"/>
          <w:color w:val="auto"/>
        </w:rPr>
        <w:t>Our Mobileye SuperVision™ solution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represents a comprehensive “eyes-on/hands-free” ADAS solution. We believe that the high value-add, our continuous efforts to add capabilities, as well as the competitive price point of Mobileye SuperVision™ will allow it to gain strong market traction in the coming years.</w:t>
      </w:r>
    </w:p>
    <w:p>
      <w:pPr>
        <w:spacing w:after="0" w:line="68" w:lineRule="exact"/>
        <w:rPr>
          <w:rFonts w:ascii="Times New Roman" w:cs="Times New Roman" w:eastAsia="Times New Roman" w:hAnsi="Times New Roman"/>
          <w:sz w:val="18"/>
          <w:szCs w:val="18"/>
          <w:color w:val="auto"/>
        </w:rPr>
      </w:pPr>
    </w:p>
    <w:p>
      <w:pPr>
        <w:ind w:left="1820" w:right="459" w:hanging="182"/>
        <w:spacing w:after="0" w:line="25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 our surround computer vision Mobileye SuperVision™ solution, and our True Redundancy™ architecture, we believe that we will be positioned to deliver an autonomous driving solution that can enable the mass adoption of AV. We believe our premium ADAS capabilities with our Mobileye SuperVision™ solution and Level 4 capabilities with Mobileye Drive™ will help us provide our customers with innovative solutions and enable further growth for us.</w:t>
      </w:r>
    </w:p>
    <w:p>
      <w:pPr>
        <w:spacing w:after="0" w:line="74" w:lineRule="exact"/>
        <w:rPr>
          <w:rFonts w:ascii="Times New Roman" w:cs="Times New Roman" w:eastAsia="Times New Roman" w:hAnsi="Times New Roman"/>
          <w:sz w:val="18"/>
          <w:szCs w:val="18"/>
          <w:color w:val="auto"/>
        </w:rPr>
      </w:pPr>
    </w:p>
    <w:p>
      <w:pPr>
        <w:ind w:left="1820" w:right="619" w:hanging="182"/>
        <w:spacing w:after="0" w:line="241"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capabilities and features that they demand by customizing their offerings on top of our platform. We are partnering with leading technology suppliers to expand our products by offering features and services alongside our core technology platform.</w:t>
      </w:r>
    </w:p>
    <w:p>
      <w:pPr>
        <w:spacing w:after="0" w:line="86"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which leverage our AI capabilities. Together with Intel, we also are currently in the early stages of development of frequency-modulated continuous wave (“FMCW”) LiDAR, which has the potential to replace alternative third-party LiDAR to further enhance the performance of our sensor suite.</w:t>
      </w:r>
    </w:p>
    <w:p>
      <w:pPr>
        <w:spacing w:after="0" w:line="36" w:lineRule="exact"/>
        <w:rPr>
          <w:rFonts w:ascii="Times New Roman" w:cs="Times New Roman" w:eastAsia="Times New Roman" w:hAnsi="Times New Roman"/>
          <w:sz w:val="18"/>
          <w:szCs w:val="18"/>
          <w:color w:val="auto"/>
        </w:rPr>
      </w:pPr>
    </w:p>
    <w:p>
      <w:pPr>
        <w:ind w:left="1820" w:right="439" w:hanging="182"/>
        <w:spacing w:after="0" w:line="247"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SoCs are purpose-built for sensing and perception technologies and optimized for high throughput and power efficiency. Our architecture is highly scalable and is designed to support the increasing and computationally intensive demands of both the continued evolution of ADAS and future autonomous driving applications. We intend to continue to accelerate our technology leadership with a focus on silicon, packaging, and systems level needs to deliver cost-efficient processing at the edge.</w:t>
      </w:r>
    </w:p>
    <w:p>
      <w:pPr>
        <w:spacing w:after="0" w:line="79" w:lineRule="exact"/>
        <w:rPr>
          <w:rFonts w:ascii="Times New Roman" w:cs="Times New Roman" w:eastAsia="Times New Roman" w:hAnsi="Times New Roman"/>
          <w:sz w:val="18"/>
          <w:szCs w:val="18"/>
          <w:color w:val="auto"/>
        </w:rPr>
      </w:pPr>
    </w:p>
    <w:p>
      <w:pPr>
        <w:ind w:left="1820" w:right="579" w:hanging="182"/>
        <w:spacing w:after="0" w:line="28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w:t>
      </w:r>
      <w:r>
        <w:rPr>
          <w:rFonts w:ascii="Times New Roman" w:cs="Times New Roman" w:eastAsia="Times New Roman" w:hAnsi="Times New Roman"/>
          <w:sz w:val="18"/>
          <w:szCs w:val="18"/>
          <w:color w:val="auto"/>
        </w:rPr>
        <w:t> — We will continue to grow the depth and breadth of our substantial dataset, which, as</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8070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399"/>
        <w:spacing w:after="0" w:line="250" w:lineRule="auto"/>
        <w:rPr>
          <w:sz w:val="20"/>
          <w:szCs w:val="20"/>
          <w:color w:val="auto"/>
        </w:rPr>
      </w:pPr>
      <w:r>
        <w:rPr>
          <w:rFonts w:ascii="Times New Roman" w:cs="Times New Roman" w:eastAsia="Times New Roman" w:hAnsi="Times New Roman"/>
          <w:sz w:val="18"/>
          <w:szCs w:val="18"/>
          <w:color w:val="auto"/>
        </w:rPr>
        <w:t>of the end of 2021, encompasses over 200 petabytes of data and 2.5 billion miles of AV mapped roads from, based on our estimates, approximately 1.5 million REM™-enabled vehicles worldwide. We believe that our ability to use this data to create, maintain, and improve our high-precision AV maps through our REM™ mapping system will enable us to further improve our ADAS offerings and position us well for autonomous driving.</w:t>
      </w:r>
    </w:p>
    <w:p>
      <w:pPr>
        <w:spacing w:after="0" w:line="65" w:lineRule="exact"/>
        <w:rPr>
          <w:sz w:val="20"/>
          <w:szCs w:val="20"/>
          <w:color w:val="auto"/>
        </w:rPr>
      </w:pPr>
    </w:p>
    <w:p>
      <w:pPr>
        <w:ind w:left="1820" w:right="559" w:hanging="182"/>
        <w:spacing w:after="0" w:line="259"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w:t>
      </w:r>
      <w:r>
        <w:rPr>
          <w:rFonts w:ascii="Times New Roman" w:cs="Times New Roman" w:eastAsia="Times New Roman" w:hAnsi="Times New Roman"/>
          <w:sz w:val="18"/>
          <w:szCs w:val="18"/>
          <w:color w:val="auto"/>
        </w:rPr>
        <w:t> — We believe that Mobileye Chauffeur™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w:t>
      </w:r>
    </w:p>
    <w:p>
      <w:pPr>
        <w:spacing w:after="0" w:line="71" w:lineRule="exact"/>
        <w:rPr>
          <w:rFonts w:ascii="Times New Roman" w:cs="Times New Roman" w:eastAsia="Times New Roman" w:hAnsi="Times New Roman"/>
          <w:sz w:val="18"/>
          <w:szCs w:val="18"/>
          <w:color w:val="auto"/>
        </w:rPr>
      </w:pPr>
    </w:p>
    <w:p>
      <w:pPr>
        <w:ind w:left="1820" w:right="419" w:hanging="182"/>
        <w:spacing w:after="0" w:line="259"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w:t>
      </w:r>
      <w:r>
        <w:rPr>
          <w:rFonts w:ascii="Times New Roman" w:cs="Times New Roman" w:eastAsia="Times New Roman" w:hAnsi="Times New Roman"/>
          <w:sz w:val="18"/>
          <w:szCs w:val="18"/>
          <w:color w:val="auto"/>
        </w:rPr>
        <w:t> — 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We believe our long-term partnerships with large Chinese OEMs such as Geely, Great Wall Motors, and SAIC, and Indian OEMs such as Mahindra &amp; Mahindra position our solutions at the forefront of continued innovation and market growth.</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Relationship with Intel</w:t>
      </w:r>
    </w:p>
    <w:p>
      <w:pPr>
        <w:spacing w:after="0" w:line="148" w:lineRule="exact"/>
        <w:rPr>
          <w:sz w:val="20"/>
          <w:szCs w:val="20"/>
          <w:color w:val="auto"/>
        </w:rPr>
      </w:pPr>
    </w:p>
    <w:p>
      <w:pPr>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Prior to this offering, Intel beneficially owned 100% of our outstanding shares of common stock and we operated as Intel’s wholly owned subsidiary.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Intel will be able to control all matters submitted to our stockholders for approval, including the election of our directors and the approval of significant corporate transactions. See “Risk Factors — Risks Related to our Relationship with Intel and our Dual Class Structure — We expect to be a “controlled company” within the meaning of the corporate governance standards of                     . As a result, we will qualify for, and intend to rely on, exemptions from certain corporate governance standards. You will not have the same protections afforded to stockholders of companies that are subject to all corporate governance requirements of                     . Prior to the completion of this offering, we will enter into certain agreements (collectively, the “Intercompany Agreements”) with Intel and certain of its subsidiaries that will provide a framework for our ongoing relationship with Intel. We and Intel expect to continue as strategic partners following the completion of this offering, collaborating on projects to pursue the growth of computing and advanced technology in the automotive sector. See “Certain Relationships and Related Party Transactions — Intercompany Agreements.”</w:t>
      </w:r>
    </w:p>
    <w:p>
      <w:pPr>
        <w:spacing w:after="0" w:line="333" w:lineRule="exact"/>
        <w:rPr>
          <w:sz w:val="20"/>
          <w:szCs w:val="20"/>
          <w:color w:val="auto"/>
        </w:rPr>
      </w:pPr>
    </w:p>
    <w:p>
      <w:pPr>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Several of our officers, directors and director nominees also serve as officers, directors and/or other positions at Intel. Mr. Gelsinger, the Chair of our Board of Directors, is the Chief Executive Officer and a director of Intel. Ms. Pambianchi, our director nominee, is an Executive Vice President and the Chief People Officer of Intel. Mr. Huntsman, our director nominee, is the co-chair of the Government Affairs Advisory Committee of Intel. Mr. Yeary, our director nominee, is a director of Intel.</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519" w:firstLine="360"/>
        <w:spacing w:after="0" w:line="258" w:lineRule="auto"/>
        <w:rPr>
          <w:sz w:val="20"/>
          <w:szCs w:val="20"/>
          <w:color w:val="auto"/>
        </w:rPr>
      </w:pPr>
      <w:r>
        <w:rPr>
          <w:rFonts w:ascii="Times New Roman" w:cs="Times New Roman" w:eastAsia="Times New Roman" w:hAnsi="Times New Roman"/>
          <w:sz w:val="18"/>
          <w:szCs w:val="18"/>
          <w:color w:val="auto"/>
        </w:rPr>
        <w:t>Mobileye was founded in Israel in 1999. Our co-founder, Professor Amnon Shashua, is our President and Chief Executive Officer. Our principal executive offices are located at Har Hotzvim, 13 Hartom Street, Jerusalem 9777513, Israel, and our phone number is +972-2-541-7333. Our website address is www.mobileye.com. The information contained in, or that can be accessed through, our website is not incorporated by reference in, and is not part of, this prospectus.</w:t>
      </w:r>
    </w:p>
    <w:p>
      <w:pPr>
        <w:spacing w:after="0" w:line="17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62" w:lineRule="exact"/>
        <w:rPr>
          <w:sz w:val="20"/>
          <w:szCs w:val="20"/>
          <w:color w:val="auto"/>
        </w:rPr>
      </w:pPr>
    </w:p>
    <w:p>
      <w:pPr>
        <w:ind w:left="1280" w:right="459" w:firstLine="360"/>
        <w:spacing w:after="0" w:line="236" w:lineRule="auto"/>
        <w:rPr>
          <w:sz w:val="20"/>
          <w:szCs w:val="20"/>
          <w:color w:val="auto"/>
        </w:rPr>
      </w:pPr>
      <w:r>
        <w:rPr>
          <w:rFonts w:ascii="Times New Roman" w:cs="Times New Roman" w:eastAsia="Times New Roman" w:hAnsi="Times New Roman"/>
          <w:sz w:val="18"/>
          <w:szCs w:val="18"/>
          <w:color w:val="auto"/>
        </w:rPr>
        <w:t>The Mobileye name, our logo, and other trademarks mentioned in this prospectus, including, among others,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 Ultra™, Road Experience Management™, REM™, True Redundancy™, Mobileye Chauffeur™, Mobileye Drive™, Mobileye SuperVision™, and Moovit, are the property of Mobileye. Trade names, trademarks, and service marks of other companies appearing in this prospectus are the property of their respective 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80" w:right="579" w:firstLine="360"/>
        <w:spacing w:after="0" w:line="266"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will consummate the following transactions:</w:t>
      </w:r>
    </w:p>
    <w:p>
      <w:pPr>
        <w:spacing w:after="0" w:line="109" w:lineRule="exact"/>
        <w:rPr>
          <w:sz w:val="20"/>
          <w:szCs w:val="20"/>
          <w:color w:val="auto"/>
        </w:rPr>
      </w:pPr>
    </w:p>
    <w:p>
      <w:pPr>
        <w:ind w:left="1820" w:right="41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of 100% of the issued and outstanding equity interests of the Moovit entities from Intel;</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certain employees and assets relating to the Mobileye business from Intel to us;</w:t>
      </w:r>
    </w:p>
    <w:p>
      <w:pPr>
        <w:spacing w:after="0" w:line="144" w:lineRule="exact"/>
        <w:rPr>
          <w:rFonts w:ascii="Times New Roman" w:cs="Times New Roman" w:eastAsia="Times New Roman" w:hAnsi="Times New Roman"/>
          <w:sz w:val="18"/>
          <w:szCs w:val="18"/>
          <w:color w:val="auto"/>
        </w:rPr>
      </w:pPr>
    </w:p>
    <w:p>
      <w:pPr>
        <w:ind w:left="1820" w:right="105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an aggregate amount of $                    in cash from our Israeli subsidiary to Intel (the “Dividend”);</w:t>
      </w:r>
    </w:p>
    <w:p>
      <w:pPr>
        <w:spacing w:after="0" w:line="67"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a promissory note agreeing to pay Intel an aggregate of $                (the “Dividend Note”);</w:t>
      </w:r>
    </w:p>
    <w:p>
      <w:pPr>
        <w:spacing w:after="0" w:line="80"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Holdings Inc.; and</w:t>
      </w:r>
    </w:p>
    <w:p>
      <w:pPr>
        <w:spacing w:after="0" w:line="80" w:lineRule="exact"/>
        <w:rPr>
          <w:rFonts w:ascii="Times New Roman" w:cs="Times New Roman" w:eastAsia="Times New Roman" w:hAnsi="Times New Roman"/>
          <w:sz w:val="18"/>
          <w:szCs w:val="18"/>
          <w:color w:val="auto"/>
        </w:rPr>
      </w:pPr>
    </w:p>
    <w:p>
      <w:pPr>
        <w:ind w:left="1820" w:right="499" w:hanging="182"/>
        <w:spacing w:after="0" w:line="258" w:lineRule="auto"/>
        <w:tabs>
          <w:tab w:leader="none" w:pos="18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02" w:lineRule="exact"/>
        <w:rPr>
          <w:sz w:val="20"/>
          <w:szCs w:val="20"/>
          <w:color w:val="auto"/>
        </w:rPr>
      </w:pPr>
    </w:p>
    <w:p>
      <w:pPr>
        <w:jc w:val="both"/>
        <w:ind w:left="1280" w:right="819" w:firstLine="360"/>
        <w:spacing w:after="0" w:line="271" w:lineRule="auto"/>
        <w:rPr>
          <w:sz w:val="20"/>
          <w:szCs w:val="20"/>
          <w:color w:val="auto"/>
        </w:rPr>
      </w:pPr>
      <w:r>
        <w:rPr>
          <w:rFonts w:ascii="Times New Roman" w:cs="Times New Roman" w:eastAsia="Times New Roman" w:hAnsi="Times New Roman"/>
          <w:sz w:val="18"/>
          <w:szCs w:val="18"/>
          <w:color w:val="auto"/>
        </w:rPr>
        <w:t>We refer to the foregoing transactions we will consummate prior to the completion of this offering collectively as the “Reorganization.” For further information and descriptions of the transactions in the Reorganization, see “Certain Relationship and Related Party Transactions” and “Unaudited Pro Forma Condensed Combined Financial Information.”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following organizational chart depicts our ownership structure after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40" w:right="539" w:hanging="362"/>
        <w:spacing w:after="0" w:line="282" w:lineRule="auto"/>
        <w:tabs>
          <w:tab w:leader="none" w:pos="1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“Mobileye Operations” refers to Cyclops Holdings Corporation, Mobileye B.V. and their consolidated subsidiaries, which are the entities primarily conducting our operations, not including Moovit.</w:t>
      </w:r>
    </w:p>
    <w:p>
      <w:pPr>
        <w:spacing w:after="0" w:line="40" w:lineRule="exact"/>
        <w:rPr>
          <w:sz w:val="20"/>
          <w:szCs w:val="20"/>
          <w:color w:val="auto"/>
        </w:rPr>
      </w:pPr>
    </w:p>
    <w:p>
      <w:pPr>
        <w:ind w:left="1640" w:right="659" w:hanging="362"/>
        <w:spacing w:after="0" w:line="261" w:lineRule="auto"/>
        <w:tabs>
          <w:tab w:leader="none" w:pos="1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reflect ownership of Class A and Class B common stock and exclude shares of Class A common stock issuable upon exercise of stock options and shares of Class A common stock issuable upon vesting of restricted stock units, in each case to be issued under our equity incentive plan upon completion of this offering.</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4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Immediately following this offering and the application of the net proceeds from this offering:</w:t>
      </w:r>
    </w:p>
    <w:p>
      <w:pPr>
        <w:spacing w:after="0" w:line="131" w:lineRule="exact"/>
        <w:rPr>
          <w:sz w:val="20"/>
          <w:szCs w:val="20"/>
          <w:color w:val="auto"/>
        </w:rPr>
      </w:pPr>
    </w:p>
    <w:p>
      <w:pPr>
        <w:ind w:left="1820" w:right="459" w:hanging="182"/>
        <w:spacing w:after="0" w:line="256"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 and</w:t>
      </w:r>
    </w:p>
    <w:p>
      <w:pPr>
        <w:spacing w:after="0" w:line="92" w:lineRule="exact"/>
        <w:rPr>
          <w:rFonts w:ascii="Times New Roman" w:cs="Times New Roman" w:eastAsia="Times New Roman" w:hAnsi="Times New Roman"/>
          <w:sz w:val="18"/>
          <w:szCs w:val="18"/>
          <w:color w:val="auto"/>
        </w:rPr>
      </w:pPr>
    </w:p>
    <w:p>
      <w:pPr>
        <w:ind w:left="1820" w:right="399" w:hanging="182"/>
        <w:spacing w:after="0" w:line="258" w:lineRule="auto"/>
        <w:tabs>
          <w:tab w:leader="none" w:pos="18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voting power will be held as follows: approximately        % (or approximately        % if the underwriters exercise their option to purchase additional shares of our Class A common stock in full) by investors in this offering; and approximately        % (or approximately        % if the underwriters exercise their option to purchase additional shares of our Class A common stock in full) beneficially by Intel.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81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818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62" w:lineRule="exact"/>
        <w:rPr>
          <w:sz w:val="20"/>
          <w:szCs w:val="20"/>
          <w:color w:val="auto"/>
        </w:rPr>
      </w:pPr>
    </w:p>
    <w:p>
      <w:pPr>
        <w:ind w:left="1280" w:right="579" w:firstLine="360"/>
        <w:spacing w:after="0" w:line="258"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61" w:lineRule="exact"/>
        <w:rPr>
          <w:sz w:val="20"/>
          <w:szCs w:val="20"/>
          <w:color w:val="auto"/>
        </w:rPr>
      </w:pPr>
    </w:p>
    <w:p>
      <w:pPr>
        <w:jc w:val="both"/>
        <w:ind w:left="1820" w:right="69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and introduce new solutions and improve existing solutions in a cost-effective and timely manner,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820" w:right="45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67"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w:t>
      </w:r>
    </w:p>
    <w:p>
      <w:pPr>
        <w:spacing w:after="0" w:line="82" w:lineRule="exact"/>
        <w:rPr>
          <w:rFonts w:ascii="Times New Roman" w:cs="Times New Roman" w:eastAsia="Times New Roman" w:hAnsi="Times New Roman"/>
          <w:sz w:val="18"/>
          <w:szCs w:val="18"/>
          <w:color w:val="auto"/>
        </w:rPr>
      </w:pPr>
    </w:p>
    <w:p>
      <w:pPr>
        <w:jc w:val="both"/>
        <w:ind w:left="1820" w:right="539" w:hanging="182"/>
        <w:spacing w:after="0"/>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215" w:lineRule="exact"/>
        <w:rPr>
          <w:rFonts w:ascii="Times New Roman" w:cs="Times New Roman" w:eastAsia="Times New Roman" w:hAnsi="Times New Roman"/>
          <w:sz w:val="18"/>
          <w:szCs w:val="18"/>
          <w:color w:val="auto"/>
        </w:rPr>
      </w:pPr>
    </w:p>
    <w:p>
      <w:pPr>
        <w:jc w:val="both"/>
        <w:ind w:left="1820" w:right="59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67" w:lineRule="exact"/>
        <w:rPr>
          <w:rFonts w:ascii="Times New Roman" w:cs="Times New Roman" w:eastAsia="Times New Roman" w:hAnsi="Times New Roman"/>
          <w:sz w:val="18"/>
          <w:szCs w:val="18"/>
          <w:color w:val="auto"/>
        </w:rPr>
      </w:pPr>
    </w:p>
    <w:p>
      <w:pPr>
        <w:ind w:left="1820" w:right="115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of the materials and other components that we use in our solutions would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jc w:val="both"/>
        <w:ind w:left="1820" w:right="419" w:hanging="182"/>
        <w:spacing w:after="0" w:line="261"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71" w:lineRule="exact"/>
        <w:rPr>
          <w:rFonts w:ascii="Times New Roman" w:cs="Times New Roman" w:eastAsia="Times New Roman" w:hAnsi="Times New Roman"/>
          <w:sz w:val="18"/>
          <w:szCs w:val="18"/>
          <w:color w:val="auto"/>
        </w:rPr>
      </w:pPr>
    </w:p>
    <w:p>
      <w:pPr>
        <w:jc w:val="both"/>
        <w:ind w:left="1820" w:right="519" w:hanging="182"/>
        <w:spacing w:after="0" w:line="261"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71" w:lineRule="exact"/>
        <w:rPr>
          <w:rFonts w:ascii="Times New Roman" w:cs="Times New Roman" w:eastAsia="Times New Roman" w:hAnsi="Times New Roman"/>
          <w:sz w:val="18"/>
          <w:szCs w:val="18"/>
          <w:color w:val="auto"/>
        </w:rPr>
      </w:pPr>
    </w:p>
    <w:p>
      <w:pPr>
        <w:ind w:left="1820" w:right="439" w:hanging="182"/>
        <w:spacing w:after="0" w:line="266"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67" w:lineRule="exact"/>
        <w:rPr>
          <w:rFonts w:ascii="Times New Roman" w:cs="Times New Roman" w:eastAsia="Times New Roman" w:hAnsi="Times New Roman"/>
          <w:sz w:val="18"/>
          <w:szCs w:val="18"/>
          <w:color w:val="auto"/>
        </w:rPr>
      </w:pPr>
    </w:p>
    <w:p>
      <w:pPr>
        <w:ind w:left="1820" w:right="779" w:hanging="182"/>
        <w:spacing w:after="0" w:line="258"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75" w:lineRule="exact"/>
        <w:rPr>
          <w:rFonts w:ascii="Times New Roman" w:cs="Times New Roman" w:eastAsia="Times New Roman" w:hAnsi="Times New Roman"/>
          <w:sz w:val="18"/>
          <w:szCs w:val="18"/>
          <w:color w:val="auto"/>
        </w:rPr>
      </w:pPr>
    </w:p>
    <w:p>
      <w:pPr>
        <w:ind w:left="1820" w:right="8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Professor Amnon Shashua, our President and Chief Executive Officer.</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retain, and motivate key employees, then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83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integration risks and costs associated with companies, assets, employees, products, and technologies that we have or that we may acquire, including with our acquisition of Moovit.</w:t>
      </w:r>
    </w:p>
    <w:p>
      <w:pPr>
        <w:spacing w:after="0" w:line="53" w:lineRule="exact"/>
        <w:rPr>
          <w:rFonts w:ascii="Times New Roman" w:cs="Times New Roman" w:eastAsia="Times New Roman" w:hAnsi="Times New Roman"/>
          <w:sz w:val="18"/>
          <w:szCs w:val="18"/>
          <w:color w:val="auto"/>
        </w:rPr>
      </w:pPr>
    </w:p>
    <w:p>
      <w:pPr>
        <w:ind w:left="1820" w:right="49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information technology systems and networks and cybersecurity incidents could adversely affect our business, results of operations, and financial condition.</w:t>
      </w:r>
    </w:p>
    <w:p>
      <w:pPr>
        <w:spacing w:after="0" w:line="53" w:lineRule="exact"/>
        <w:rPr>
          <w:rFonts w:ascii="Times New Roman" w:cs="Times New Roman" w:eastAsia="Times New Roman" w:hAnsi="Times New Roman"/>
          <w:sz w:val="18"/>
          <w:szCs w:val="18"/>
          <w:color w:val="auto"/>
        </w:rPr>
      </w:pPr>
    </w:p>
    <w:p>
      <w:pPr>
        <w:ind w:left="1820" w:right="57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other disruptions of our in-vehicle systems and related data could impact the safety of our end users and reduce confidence in us and our solutions.</w:t>
      </w:r>
    </w:p>
    <w:p>
      <w:pPr>
        <w:spacing w:after="0" w:line="53" w:lineRule="exact"/>
        <w:rPr>
          <w:rFonts w:ascii="Times New Roman" w:cs="Times New Roman" w:eastAsia="Times New Roman" w:hAnsi="Times New Roman"/>
          <w:sz w:val="18"/>
          <w:szCs w:val="18"/>
          <w:color w:val="auto"/>
        </w:rPr>
      </w:pPr>
    </w:p>
    <w:p>
      <w:pPr>
        <w:ind w:left="1820" w:right="1139" w:hanging="182"/>
        <w:spacing w:after="0" w:line="282" w:lineRule="auto"/>
        <w:tabs>
          <w:tab w:leader="none" w:pos="18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the automotive industry or the global economy more generally would adversely affect our business, results of operations, and financial condition.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39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OEMs are unable to maintain and increase consumer acceptance of ADAS and autonomous driving technology, our business, results of operations,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1820" w:right="719" w:hanging="182"/>
        <w:spacing w:after="0" w:line="282"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an industry that is new and rapidly evolving, and market opportunity estimates and market growth forecasts included in this prospectus are subject to significant uncertainty.</w:t>
      </w:r>
    </w:p>
    <w:p>
      <w:pPr>
        <w:spacing w:after="0" w:line="53" w:lineRule="exact"/>
        <w:rPr>
          <w:rFonts w:ascii="Times New Roman" w:cs="Times New Roman" w:eastAsia="Times New Roman" w:hAnsi="Times New Roman"/>
          <w:sz w:val="18"/>
          <w:szCs w:val="18"/>
          <w:color w:val="auto"/>
        </w:rPr>
      </w:pPr>
    </w:p>
    <w:p>
      <w:pPr>
        <w:ind w:left="1820" w:right="519" w:hanging="182"/>
        <w:spacing w:after="0" w:line="266"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be adversely affected by changes in automotive safety regulations or concerns that could increase our costs or delay or halt adoption of our solutions.</w:t>
      </w:r>
    </w:p>
    <w:p>
      <w:pPr>
        <w:spacing w:after="0" w:line="67" w:lineRule="exact"/>
        <w:rPr>
          <w:rFonts w:ascii="Times New Roman" w:cs="Times New Roman" w:eastAsia="Times New Roman" w:hAnsi="Times New Roman"/>
          <w:sz w:val="18"/>
          <w:szCs w:val="18"/>
          <w:color w:val="auto"/>
        </w:rPr>
      </w:pPr>
    </w:p>
    <w:p>
      <w:pPr>
        <w:ind w:left="1820" w:right="439" w:hanging="182"/>
        <w:spacing w:after="0" w:line="258" w:lineRule="auto"/>
        <w:tabs>
          <w:tab w:leader="none" w:pos="1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Class A common stock offered by us</w:t>
      </w:r>
    </w:p>
    <w:p>
      <w:pPr>
        <w:spacing w:after="0" w:line="117"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A common stock to be outstanding after this offering</w:t>
      </w:r>
    </w:p>
    <w:p>
      <w:pPr>
        <w:spacing w:after="0" w:line="200" w:lineRule="exact"/>
        <w:rPr>
          <w:sz w:val="20"/>
          <w:szCs w:val="20"/>
          <w:color w:val="auto"/>
        </w:rPr>
      </w:pPr>
    </w:p>
    <w:p>
      <w:pPr>
        <w:spacing w:after="0" w:line="286" w:lineRule="exact"/>
        <w:rPr>
          <w:sz w:val="20"/>
          <w:szCs w:val="20"/>
          <w:color w:val="auto"/>
        </w:rPr>
      </w:pPr>
    </w:p>
    <w:p>
      <w:pPr>
        <w:ind w:left="1460" w:right="12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460" w:hanging="179"/>
        <w:spacing w:after="0" w:line="282" w:lineRule="auto"/>
        <w:rPr>
          <w:sz w:val="20"/>
          <w:szCs w:val="20"/>
          <w:color w:val="auto"/>
        </w:rPr>
      </w:pPr>
      <w:r>
        <w:rPr>
          <w:rFonts w:ascii="Times New Roman" w:cs="Times New Roman" w:eastAsia="Times New Roman" w:hAnsi="Times New Roman"/>
          <w:sz w:val="18"/>
          <w:szCs w:val="18"/>
          <w:color w:val="auto"/>
        </w:rPr>
        <w:t>Class B common stock to be outstanding after this offering</w:t>
      </w:r>
    </w:p>
    <w:p>
      <w:pPr>
        <w:spacing w:after="0" w:line="54" w:lineRule="exact"/>
        <w:rPr>
          <w:sz w:val="20"/>
          <w:szCs w:val="20"/>
          <w:color w:val="auto"/>
        </w:rPr>
      </w:pPr>
    </w:p>
    <w:p>
      <w:pPr>
        <w:ind w:left="1460" w:right="400" w:hanging="179"/>
        <w:spacing w:after="0" w:line="282" w:lineRule="auto"/>
        <w:rPr>
          <w:sz w:val="20"/>
          <w:szCs w:val="20"/>
          <w:color w:val="auto"/>
        </w:rPr>
      </w:pPr>
      <w:r>
        <w:rPr>
          <w:rFonts w:ascii="Times New Roman" w:cs="Times New Roman" w:eastAsia="Times New Roman" w:hAnsi="Times New Roman"/>
          <w:sz w:val="18"/>
          <w:szCs w:val="18"/>
          <w:color w:val="auto"/>
        </w:rPr>
        <w:t>Total shares of common stock to be outstanding after this offering</w:t>
      </w:r>
    </w:p>
    <w:p>
      <w:pPr>
        <w:spacing w:after="0" w:line="200" w:lineRule="exact"/>
        <w:rPr>
          <w:sz w:val="20"/>
          <w:szCs w:val="20"/>
          <w:color w:val="auto"/>
        </w:rPr>
      </w:pPr>
    </w:p>
    <w:p>
      <w:pPr>
        <w:spacing w:after="0" w:line="2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8"/>
          <w:szCs w:val="18"/>
          <w:color w:val="auto"/>
        </w:rPr>
        <w:t>Concentration of 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Mobileye Holdings Inc.</w:t>
      </w:r>
    </w:p>
    <w:p>
      <w:pPr>
        <w:spacing w:after="0" w:line="117" w:lineRule="exact"/>
        <w:rPr>
          <w:sz w:val="20"/>
          <w:szCs w:val="20"/>
          <w:color w:val="auto"/>
        </w:rPr>
      </w:pPr>
    </w:p>
    <w:p>
      <w:pPr>
        <w:ind w:left="320" w:hanging="90"/>
        <w:spacing w:after="0"/>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w:t>
      </w:r>
    </w:p>
    <w:p>
      <w:pPr>
        <w:spacing w:after="0" w:line="344" w:lineRule="exact"/>
        <w:rPr>
          <w:rFonts w:ascii="Times New Roman" w:cs="Times New Roman" w:eastAsia="Times New Roman" w:hAnsi="Times New Roman"/>
          <w:sz w:val="17"/>
          <w:szCs w:val="17"/>
          <w:color w:val="auto"/>
        </w:rPr>
      </w:pPr>
    </w:p>
    <w:p>
      <w:pPr>
        <w:ind w:left="240" w:right="559" w:hanging="10"/>
        <w:spacing w:after="0" w:line="266"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of our Class A common stock in full).</w:t>
      </w:r>
    </w:p>
    <w:p>
      <w:pPr>
        <w:spacing w:after="0" w:line="284" w:lineRule="exact"/>
        <w:rPr>
          <w:sz w:val="20"/>
          <w:szCs w:val="20"/>
          <w:color w:val="auto"/>
        </w:rPr>
      </w:pPr>
    </w:p>
    <w:p>
      <w:pPr>
        <w:ind w:left="240" w:right="499"/>
        <w:spacing w:after="0" w:line="258"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additional shares of our Class A common stock. The underwriters may exercise this option at any time within 30 days from the date of this prospectus. See “Underwriting.”</w:t>
      </w:r>
    </w:p>
    <w:p>
      <w:pPr>
        <w:spacing w:after="0" w:line="291" w:lineRule="exact"/>
        <w:rPr>
          <w:sz w:val="20"/>
          <w:szCs w:val="20"/>
          <w:color w:val="auto"/>
        </w:rPr>
      </w:pPr>
    </w:p>
    <w:p>
      <w:pPr>
        <w:ind w:left="320" w:hanging="90"/>
        <w:spacing w:after="0"/>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w:t>
      </w:r>
    </w:p>
    <w:p>
      <w:pPr>
        <w:spacing w:after="0" w:line="344" w:lineRule="exact"/>
        <w:rPr>
          <w:rFonts w:ascii="Times New Roman" w:cs="Times New Roman" w:eastAsia="Times New Roman" w:hAnsi="Times New Roman"/>
          <w:sz w:val="17"/>
          <w:szCs w:val="17"/>
          <w:color w:val="auto"/>
        </w:rPr>
      </w:pPr>
    </w:p>
    <w:p>
      <w:pPr>
        <w:ind w:left="240" w:right="599" w:hanging="10"/>
        <w:spacing w:after="0" w:line="266"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(or shares if the underwriters exercise their option to purchase additional shares of our Class A common stock in full).</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expect to receive net proceeds of approximately</w:t>
      </w:r>
    </w:p>
    <w:p>
      <w:pPr>
        <w:spacing w:after="0" w:line="27" w:lineRule="exact"/>
        <w:rPr>
          <w:sz w:val="20"/>
          <w:szCs w:val="20"/>
          <w:color w:val="auto"/>
        </w:rPr>
      </w:pPr>
    </w:p>
    <w:p>
      <w:pPr>
        <w:ind w:left="240" w:right="399"/>
        <w:spacing w:after="0" w:line="251" w:lineRule="auto"/>
        <w:rPr>
          <w:sz w:val="20"/>
          <w:szCs w:val="20"/>
          <w:color w:val="auto"/>
        </w:rPr>
      </w:pPr>
      <w:r>
        <w:rPr>
          <w:rFonts w:ascii="Times New Roman" w:cs="Times New Roman" w:eastAsia="Times New Roman" w:hAnsi="Times New Roman"/>
          <w:sz w:val="18"/>
          <w:szCs w:val="18"/>
          <w:color w:val="auto"/>
        </w:rPr>
        <w:t>$            million (or approximately $            million if the underwriters exercise their option to purchase additional shares of our Class A common stock in full) from the sale of our Class A common stock in this offering assuming an initial public offering price of $                  per share (the midpoint of the price range set forth on the cover of this prospectus) and after deducting estimated offering expenses and underwriting discounts and commissions payable by us.</w:t>
      </w:r>
    </w:p>
    <w:p>
      <w:pPr>
        <w:spacing w:after="0" w:line="126" w:lineRule="exact"/>
        <w:rPr>
          <w:sz w:val="20"/>
          <w:szCs w:val="20"/>
          <w:color w:val="auto"/>
        </w:rPr>
      </w:pPr>
    </w:p>
    <w:p>
      <w:pPr>
        <w:ind w:left="240" w:right="479"/>
        <w:spacing w:after="0" w:line="250"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repay approximately $            of indebtedness under the Dividend Note and the remainder for working capital and general corporate purposes.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See “Use of Proceeds.”</w:t>
      </w:r>
    </w:p>
    <w:p>
      <w:pPr>
        <w:spacing w:after="0" w:line="117" w:lineRule="exact"/>
        <w:rPr>
          <w:sz w:val="20"/>
          <w:szCs w:val="20"/>
          <w:color w:val="auto"/>
        </w:rPr>
      </w:pPr>
    </w:p>
    <w:p>
      <w:pPr>
        <w:jc w:val="both"/>
        <w:ind w:left="240" w:right="459"/>
        <w:spacing w:after="0" w:line="266" w:lineRule="auto"/>
        <w:rPr>
          <w:sz w:val="20"/>
          <w:szCs w:val="20"/>
          <w:color w:val="auto"/>
        </w:rPr>
      </w:pPr>
      <w:r>
        <w:rPr>
          <w:rFonts w:ascii="Times New Roman" w:cs="Times New Roman" w:eastAsia="Times New Roman" w:hAnsi="Times New Roman"/>
          <w:sz w:val="18"/>
          <w:szCs w:val="18"/>
          <w:color w:val="auto"/>
        </w:rPr>
        <w:t>Each share of our Class A common stock will be entitled to one vote. Each share of our Class B common stock will be entitled to ten votes.</w:t>
      </w:r>
    </w:p>
    <w:p>
      <w:pPr>
        <w:spacing w:after="0" w:line="108" w:lineRule="exact"/>
        <w:rPr>
          <w:sz w:val="20"/>
          <w:szCs w:val="20"/>
          <w:color w:val="auto"/>
        </w:rPr>
      </w:pPr>
    </w:p>
    <w:p>
      <w:pPr>
        <w:ind w:left="240" w:right="439"/>
        <w:spacing w:after="0" w:line="256" w:lineRule="auto"/>
        <w:rPr>
          <w:sz w:val="20"/>
          <w:szCs w:val="20"/>
          <w:color w:val="auto"/>
        </w:rPr>
      </w:pPr>
      <w:r>
        <w:rPr>
          <w:rFonts w:ascii="Times New Roman" w:cs="Times New Roman" w:eastAsia="Times New Roman" w:hAnsi="Times New Roman"/>
          <w:sz w:val="18"/>
          <w:szCs w:val="18"/>
          <w:color w:val="auto"/>
        </w:rPr>
        <w:t>The holders of our Class A common stock and Class B common stock will generally vote together as a single class on all matters submitted to a vote of our stockholders unless otherwise required by Delaware law or our amended and restated certificate of incorporation. See “Description of Capital Stock.”</w:t>
      </w:r>
    </w:p>
    <w:p>
      <w:pPr>
        <w:spacing w:after="0" w:line="79" w:lineRule="exact"/>
        <w:rPr>
          <w:sz w:val="20"/>
          <w:szCs w:val="20"/>
          <w:color w:val="auto"/>
        </w:rPr>
      </w:pPr>
    </w:p>
    <w:p>
      <w:pPr>
        <w:ind w:left="240" w:right="479"/>
        <w:spacing w:after="0" w:line="255" w:lineRule="auto"/>
        <w:rPr>
          <w:sz w:val="20"/>
          <w:szCs w:val="20"/>
          <w:color w:val="auto"/>
        </w:rPr>
      </w:pPr>
      <w:r>
        <w:rPr>
          <w:rFonts w:ascii="Times New Roman" w:cs="Times New Roman" w:eastAsia="Times New Roman" w:hAnsi="Times New Roman"/>
          <w:sz w:val="18"/>
          <w:szCs w:val="18"/>
          <w:color w:val="auto"/>
        </w:rPr>
        <w:t>Intel, which beneficially owns 100% of the outstanding shares of our common stock prior to this offering, will beneficially own approximately        % of the voting power of our common stock (or approximately        % if the underwriters exercise their option to purchase additional shares of our Class A common stock in full) after the completion of this offering and, as a result, will have the</w:t>
      </w:r>
    </w:p>
    <w:p>
      <w:pPr>
        <w:spacing w:after="0" w:line="200" w:lineRule="exact"/>
        <w:rPr>
          <w:sz w:val="20"/>
          <w:szCs w:val="20"/>
          <w:color w:val="auto"/>
        </w:rPr>
      </w:pPr>
    </w:p>
    <w:p>
      <w:pPr>
        <w:sectPr>
          <w:pgSz w:w="11900" w:h="16838" w:orient="portrait"/>
          <w:cols w:equalWidth="0" w:num="2">
            <w:col w:w="4360" w:space="360"/>
            <w:col w:w="5159"/>
          </w:cols>
          <w:pgMar w:left="580" w:top="97" w:right="1440" w:bottom="1440" w:gutter="0" w:footer="0" w:header="0"/>
          <w:type w:val="continuous"/>
        </w:sectPr>
      </w:pPr>
    </w:p>
    <w:p>
      <w:pPr>
        <w:spacing w:after="0" w:line="1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93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9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ability to control the outcome of matters submitted to our</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stockholders for approval, including the election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directors and the approval of significant corporate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transactions. See “Description of Capital Stock.”</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We will be a “controlled company” within the meaning of</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corporate governance standards of                    . See</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“Management — Controlled Company Exemption.”</w:t>
      </w:r>
    </w:p>
    <w:p>
      <w:pPr>
        <w:spacing w:after="0" w:line="112"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Dividends</w:t>
      </w:r>
      <w:r>
        <w:rPr>
          <w:sz w:val="20"/>
          <w:szCs w:val="20"/>
          <w:color w:val="auto"/>
        </w:rPr>
        <w:tab/>
      </w:r>
      <w:r>
        <w:rPr>
          <w:rFonts w:ascii="Times New Roman" w:cs="Times New Roman" w:eastAsia="Times New Roman" w:hAnsi="Times New Roman"/>
          <w:sz w:val="18"/>
          <w:szCs w:val="18"/>
          <w:color w:val="auto"/>
        </w:rPr>
        <w:t>We intend to retain any future earnings and do not</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anticipate declaring or paying any cash dividends in the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foreseeable future.</w:t>
      </w:r>
    </w:p>
    <w:p>
      <w:pPr>
        <w:spacing w:after="0" w:line="13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Any declaration and payment of future dividends to holders</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of our common stock will be at the sole discretion of our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board of directors and will depend on many factors,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including economic conditions, our financial condition and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operating results, our available cash and current and</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anticipated cash needs, capital requirements, legal, tax, and</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regulatory restrictions, including restrictive covenants</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contained in certain of our subsidiaries’ credit facilities,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and such other factors as our board of directors may deem</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relevant. See “Dividend Policy.”</w:t>
      </w:r>
    </w:p>
    <w:p>
      <w:pPr>
        <w:spacing w:after="0" w:line="112"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Intercompany Agreements</w:t>
      </w:r>
      <w:r>
        <w:rPr>
          <w:sz w:val="20"/>
          <w:szCs w:val="20"/>
          <w:color w:val="auto"/>
        </w:rPr>
        <w:tab/>
      </w:r>
      <w:r>
        <w:rPr>
          <w:rFonts w:ascii="Times New Roman" w:cs="Times New Roman" w:eastAsia="Times New Roman" w:hAnsi="Times New Roman"/>
          <w:sz w:val="18"/>
          <w:szCs w:val="18"/>
          <w:color w:val="auto"/>
        </w:rPr>
        <w:t>Prior to the completion of this offering, we will enter into</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the Intercompany Agreements with Intel and certain of its</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subsidiaries, whereby Intel and such subsidiaries will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continue to provide certain administrative and operational</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services and will supply and license certain technologies to</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us, and we will supply Intel with certain technologies. See</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“Certain Relationships and Related Party Transactions — </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Intercompany Agreements.”</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We intend to apply to list our Class A common stock</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on                    under the symbol “                    ”.</w:t>
      </w:r>
    </w:p>
    <w:p>
      <w:pPr>
        <w:spacing w:after="0" w:line="99" w:lineRule="exact"/>
        <w:rPr>
          <w:sz w:val="20"/>
          <w:szCs w:val="20"/>
          <w:color w:val="auto"/>
        </w:rPr>
      </w:pPr>
    </w:p>
    <w:p>
      <w:pPr>
        <w:ind w:left="1280"/>
        <w:spacing w:after="0"/>
        <w:tabs>
          <w:tab w:leader="none" w:pos="494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“Risk Factors” for a discussion of factors you should</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carefully consider before deciding to invest in our Class A</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common stock.</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immediately after this offering:</w:t>
      </w:r>
    </w:p>
    <w:p>
      <w:pPr>
        <w:spacing w:after="0" w:line="117" w:lineRule="exact"/>
        <w:rPr>
          <w:sz w:val="20"/>
          <w:szCs w:val="20"/>
          <w:color w:val="auto"/>
        </w:rPr>
      </w:pPr>
    </w:p>
    <w:p>
      <w:pPr>
        <w:ind w:left="1820" w:right="579" w:hanging="182"/>
        <w:spacing w:after="0" w:line="282"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shares of our Class A common stock and                     shares of our Class B common stock outstanding on            , 2022;</w:t>
      </w:r>
    </w:p>
    <w:p>
      <w:pPr>
        <w:spacing w:after="0" w:line="53" w:lineRule="exact"/>
        <w:rPr>
          <w:rFonts w:ascii="Times New Roman" w:cs="Times New Roman" w:eastAsia="Times New Roman" w:hAnsi="Times New Roman"/>
          <w:sz w:val="18"/>
          <w:szCs w:val="18"/>
          <w:color w:val="auto"/>
        </w:rPr>
      </w:pPr>
    </w:p>
    <w:p>
      <w:pPr>
        <w:ind w:left="1820" w:right="479" w:hanging="182"/>
        <w:spacing w:after="0" w:line="266"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issuable upon exercise of stock options to be issued under our equity incentive plan upon the completion of this offering at an exercise price equal to the fair market value on the date of grant;</w:t>
      </w:r>
    </w:p>
    <w:p>
      <w:pPr>
        <w:spacing w:after="0" w:line="67" w:lineRule="exact"/>
        <w:rPr>
          <w:rFonts w:ascii="Times New Roman" w:cs="Times New Roman" w:eastAsia="Times New Roman" w:hAnsi="Times New Roman"/>
          <w:sz w:val="18"/>
          <w:szCs w:val="18"/>
          <w:color w:val="auto"/>
        </w:rPr>
      </w:pPr>
    </w:p>
    <w:p>
      <w:pPr>
        <w:ind w:left="1820" w:right="599" w:hanging="182"/>
        <w:spacing w:after="0" w:line="266"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issuable upon vesting of restricted stock units to be issued under our equity incentive plan upon the completion of this offering, none of which will be vested at such time; and</w:t>
      </w:r>
    </w:p>
    <w:p>
      <w:pPr>
        <w:spacing w:after="0" w:line="67" w:lineRule="exact"/>
        <w:rPr>
          <w:rFonts w:ascii="Times New Roman" w:cs="Times New Roman" w:eastAsia="Times New Roman" w:hAnsi="Times New Roman"/>
          <w:sz w:val="18"/>
          <w:szCs w:val="18"/>
          <w:color w:val="auto"/>
        </w:rPr>
      </w:pPr>
    </w:p>
    <w:p>
      <w:pPr>
        <w:ind w:left="1820" w:right="759" w:hanging="182"/>
        <w:spacing w:after="0" w:line="282" w:lineRule="auto"/>
        <w:tabs>
          <w:tab w:leader="none" w:pos="1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our Class A common stock reserved for future issuance under our equity incentive plan.</w:t>
      </w:r>
    </w:p>
    <w:p>
      <w:pPr>
        <w:spacing w:after="0" w:line="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Unless otherwise indicated, the information in this prospectus:</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gives effect to the Reorganization;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right="519" w:hanging="182"/>
        <w:spacing w:after="0" w:line="266"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an initial public offering price of $            per share of our Class A common stock, which is the midpoint of the estimated initial public offering price range set forth on the cover page of this prospectus;</w:t>
      </w:r>
    </w:p>
    <w:p>
      <w:pPr>
        <w:spacing w:after="0" w:line="67" w:lineRule="exact"/>
        <w:rPr>
          <w:rFonts w:ascii="Times New Roman" w:cs="Times New Roman" w:eastAsia="Times New Roman" w:hAnsi="Times New Roman"/>
          <w:sz w:val="18"/>
          <w:szCs w:val="18"/>
          <w:color w:val="auto"/>
        </w:rPr>
      </w:pPr>
    </w:p>
    <w:p>
      <w:pPr>
        <w:ind w:left="1820" w:right="499" w:hanging="182"/>
        <w:spacing w:after="0" w:line="266"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filing and effectiveness of our amended and restated certificate of incorporation and the adoption of our amended and restated bylaws, each of which will occur immediately prior to the completion of this offering; and</w:t>
      </w:r>
    </w:p>
    <w:p>
      <w:pPr>
        <w:spacing w:after="0" w:line="67" w:lineRule="exact"/>
        <w:rPr>
          <w:rFonts w:ascii="Times New Roman" w:cs="Times New Roman" w:eastAsia="Times New Roman" w:hAnsi="Times New Roman"/>
          <w:sz w:val="18"/>
          <w:szCs w:val="18"/>
          <w:color w:val="auto"/>
        </w:rPr>
      </w:pPr>
    </w:p>
    <w:p>
      <w:pPr>
        <w:ind w:left="1820" w:right="1079" w:hanging="182"/>
        <w:spacing w:after="0" w:line="282" w:lineRule="auto"/>
        <w:tabs>
          <w:tab w:leader="none" w:pos="1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of our Class A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36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8036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1900" w:right="120"/>
        <w:spacing w:after="0" w:line="286" w:lineRule="auto"/>
        <w:rPr>
          <w:sz w:val="20"/>
          <w:szCs w:val="20"/>
          <w:color w:val="auto"/>
        </w:rPr>
      </w:pPr>
      <w:r>
        <w:rPr>
          <w:rFonts w:ascii="Times New Roman" w:cs="Times New Roman" w:eastAsia="Times New Roman" w:hAnsi="Times New Roman"/>
          <w:sz w:val="18"/>
          <w:szCs w:val="18"/>
          <w:b w:val="1"/>
          <w:bCs w:val="1"/>
          <w:color w:val="auto"/>
        </w:rPr>
        <w:t>SUMMARY HISTORICAL AND UNAUDITED PRO FORMA CONDENSED COMBINED FINANCIAL INFORMATION</w:t>
      </w:r>
    </w:p>
    <w:p>
      <w:pPr>
        <w:spacing w:after="0" w:line="91" w:lineRule="exact"/>
        <w:rPr>
          <w:sz w:val="20"/>
          <w:szCs w:val="20"/>
          <w:color w:val="auto"/>
        </w:rPr>
      </w:pPr>
    </w:p>
    <w:p>
      <w:pPr>
        <w:ind w:left="1280" w:right="419" w:firstLine="360"/>
        <w:spacing w:after="0" w:line="252" w:lineRule="auto"/>
        <w:rPr>
          <w:sz w:val="20"/>
          <w:szCs w:val="20"/>
          <w:color w:val="auto"/>
        </w:rPr>
      </w:pPr>
      <w:r>
        <w:rPr>
          <w:rFonts w:ascii="Times New Roman" w:cs="Times New Roman" w:eastAsia="Times New Roman" w:hAnsi="Times New Roman"/>
          <w:sz w:val="18"/>
          <w:szCs w:val="18"/>
          <w:color w:val="auto"/>
        </w:rPr>
        <w:t>Set forth below are summary historical and unaudited pro forma combined financial information. The combined balance sheet information as of December 25, 2021 and December 26, 2020, and the summary historical combined statements of operations information for the years ended December 25, 2021, December 26, 2020, and December 28, 2019 have been derived from the historical combined financial statements of Mobileye Group (as such term is described in our combined financial statements and the accompanying notes included elsewhere in this prospectus) and included elsewhere in this prospectus. The summary historical combined financial information includes costs of our business, which include the allocation of certain expenses from Intel. We believe these allocations were made on a reasonable basis. The summary unaudited pro forma condensed combined financial information has been derived from the information contained in the section titled “Unaudited Pro Forma Condensed Combined Financial Information.” The summary historical and unaudited pro forma combined financial information may not be indicative of our future performance as a stand-alone public company. You should read the summary financial information presented below in conjunction with the information included under the headings “Unaudited Pro Forma Condensed Combined Financial Information” and “Management’s Discussion and Analysis of Financial Condition and Results of Operations” and our historical combined financial statements and the accompanying notes included elsewhere in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1"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4"/>
        </w:trPr>
        <w:tc>
          <w:tcPr>
            <w:tcW w:w="3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 Forma as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Adjusted</w:t>
            </w:r>
            <w:r>
              <w:rPr>
                <w:rFonts w:ascii="Times New Roman" w:cs="Times New Roman" w:eastAsia="Times New Roman" w:hAnsi="Times New Roman"/>
                <w:sz w:val="17"/>
                <w:szCs w:val="17"/>
                <w:b w:val="1"/>
                <w:bCs w:val="1"/>
                <w:color w:val="auto"/>
                <w:w w:val="94"/>
                <w:vertAlign w:val="superscript"/>
              </w:rPr>
              <w:t>(1)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3"/>
                <w:szCs w:val="13"/>
                <w:color w:val="auto"/>
              </w:rPr>
            </w:pPr>
          </w:p>
        </w:tc>
      </w:tr>
      <w:tr>
        <w:trPr>
          <w:trHeight w:val="200"/>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9" w:lineRule="exact"/>
        <w:rPr>
          <w:sz w:val="20"/>
          <w:szCs w:val="20"/>
          <w:color w:val="auto"/>
        </w:rPr>
      </w:pPr>
    </w:p>
    <w:p>
      <w:pPr>
        <w:sectPr>
          <w:pgSz w:w="11900" w:h="16838" w:orient="portrait"/>
          <w:cols w:equalWidth="0" w:num="2">
            <w:col w:w="5420" w:space="20"/>
            <w:col w:w="4439"/>
          </w:cols>
          <w:pgMar w:left="580" w:top="97" w:right="1440" w:bottom="1440" w:gutter="0" w:footer="0" w:header="0"/>
          <w:type w:val="continuous"/>
        </w:sectPr>
      </w:pPr>
    </w:p>
    <w:tbl>
      <w:tblPr>
        <w:tblLayout w:type="fixed"/>
        <w:tblInd w:w="1280" w:type="dxa"/>
        <w:tblCellMar>
          <w:top w:w="0" w:type="dxa"/>
          <w:left w:w="0" w:type="dxa"/>
          <w:bottom w:w="0" w:type="dxa"/>
          <w:right w:w="0" w:type="dxa"/>
        </w:tblCellMar>
      </w:tblPr>
      <w:tr>
        <w:trPr>
          <w:trHeight w:val="20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6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xml:space="preserve">​ ​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​$ 967</w:t>
            </w: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​$ 879</w:t>
            </w:r>
          </w:p>
        </w:tc>
        <w:tc>
          <w:tcPr>
            <w:tcW w:w="80" w:type="dxa"/>
            <w:vAlign w:val="bottom"/>
            <w:shd w:val="clear" w:color="auto" w:fill="CCEEFF"/>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​376</w:t>
            </w:r>
          </w:p>
        </w:tc>
        <w:tc>
          <w:tcPr>
            <w:tcW w:w="6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​423</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4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(86)</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 ​ ​ ​</w:t>
            </w:r>
          </w:p>
        </w:tc>
        <w:tc>
          <w:tcPr>
            <w:tcW w:w="5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​(196)</w:t>
            </w:r>
          </w:p>
        </w:tc>
        <w:tc>
          <w:tcPr>
            <w:tcW w:w="60" w:type="dxa"/>
            <w:vAlign w:val="bottom"/>
          </w:tcPr>
          <w:p>
            <w:pPr>
              <w:spacing w:after="0"/>
              <w:rPr>
                <w:sz w:val="18"/>
                <w:szCs w:val="18"/>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​(328)</w:t>
            </w: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560" w:type="dxa"/>
            <w:vAlign w:val="bottom"/>
            <w:gridSpan w:val="4"/>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xml:space="preserve">​ ​ ​$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 N/A</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​N/A</w:t>
            </w:r>
          </w:p>
        </w:tc>
        <w:tc>
          <w:tcPr>
            <w:tcW w:w="60" w:type="dxa"/>
            <w:vAlign w:val="bottom"/>
            <w:shd w:val="clear" w:color="auto" w:fill="CCEEFF"/>
          </w:tcPr>
          <w:p>
            <w:pPr>
              <w:spacing w:after="0"/>
              <w:rPr>
                <w:sz w:val="19"/>
                <w:szCs w:val="19"/>
                <w:color w:val="auto"/>
              </w:rPr>
            </w:pP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​N/A</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67"/>
        </w:trPr>
        <w:tc>
          <w:tcPr>
            <w:tcW w:w="3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7"/>
                <w:szCs w:val="17"/>
                <w:b w:val="1"/>
                <w:bCs w:val="1"/>
                <w:color w:val="auto"/>
                <w:vertAlign w:val="superscript"/>
              </w:rPr>
              <w:t>(1)(2)</w:t>
            </w:r>
          </w:p>
        </w:tc>
        <w:tc>
          <w:tcPr>
            <w:tcW w:w="18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9"/>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5"/>
          </w:tcPr>
          <w:p>
            <w:pPr>
              <w:ind w:left="4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December 25, 2021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5"/>
          </w:tcPr>
          <w:p>
            <w:pPr>
              <w:jc w:val="right"/>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December 25, 2021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5"/>
          </w:tcPr>
          <w:p>
            <w:pPr>
              <w:ind w:left="2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December 26, 2020 </w:t>
            </w:r>
            <w:r>
              <w:rPr>
                <w:rFonts w:ascii="Times New Roman" w:cs="Times New Roman" w:eastAsia="Times New Roman" w:hAnsi="Times New Roman"/>
                <w:sz w:val="24"/>
                <w:szCs w:val="24"/>
                <w:b w:val="1"/>
                <w:bCs w:val="1"/>
                <w:color w:val="auto"/>
                <w:vertAlign w:val="subscript"/>
              </w:rPr>
              <w:t>​</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Borders>
              <w:top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Total assets</w:t>
            </w:r>
            <w:r>
              <w:rPr>
                <w:rFonts w:ascii="Times New Roman" w:cs="Times New Roman" w:eastAsia="Times New Roman" w:hAnsi="Times New Roman"/>
                <w:sz w:val="23"/>
                <w:szCs w:val="23"/>
                <w:color w:val="auto"/>
                <w:vertAlign w:val="superscript"/>
              </w:rPr>
              <w:t>(3)</w:t>
            </w:r>
          </w:p>
        </w:tc>
        <w:tc>
          <w:tcPr>
            <w:tcW w:w="10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ind w:right="193"/>
              <w:spacing w:after="0"/>
              <w:rPr>
                <w:sz w:val="20"/>
                <w:szCs w:val="20"/>
                <w:color w:val="auto"/>
              </w:rPr>
            </w:pPr>
            <w:r>
              <w:rPr>
                <w:rFonts w:ascii="Times New Roman" w:cs="Times New Roman" w:eastAsia="Times New Roman" w:hAnsi="Times New Roman"/>
                <w:sz w:val="18"/>
                <w:szCs w:val="18"/>
                <w:color w:val="auto"/>
              </w:rPr>
              <w:t>​ ​16,655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​16,462</w:t>
            </w:r>
          </w:p>
        </w:tc>
        <w:tc>
          <w:tcPr>
            <w:tcW w:w="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Note payable</w:t>
            </w:r>
          </w:p>
        </w:tc>
        <w:tc>
          <w:tcPr>
            <w:tcW w:w="104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3"/>
          </w:tcPr>
          <w:p>
            <w:pPr>
              <w:jc w:val="right"/>
              <w:ind w:right="193"/>
              <w:spacing w:after="0"/>
              <w:rPr>
                <w:sz w:val="20"/>
                <w:szCs w:val="20"/>
                <w:color w:val="auto"/>
              </w:rPr>
            </w:pPr>
            <w:r>
              <w:rPr>
                <w:rFonts w:ascii="Times New Roman" w:cs="Times New Roman" w:eastAsia="Times New Roman" w:hAnsi="Times New Roman"/>
                <w:sz w:val="18"/>
                <w:szCs w:val="18"/>
                <w:color w:val="auto"/>
              </w:rPr>
              <w:t>​ ​15,889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​15,842</w:t>
            </w:r>
          </w:p>
        </w:tc>
        <w:tc>
          <w:tcPr>
            <w:tcW w:w="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333" w:lineRule="exact"/>
        <w:rPr>
          <w:sz w:val="20"/>
          <w:szCs w:val="20"/>
          <w:color w:val="auto"/>
        </w:rPr>
      </w:pPr>
    </w:p>
    <w:p>
      <w:pPr>
        <w:ind w:left="1640" w:right="639" w:hanging="362"/>
        <w:spacing w:after="0" w:line="266" w:lineRule="auto"/>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section titled “Unaudited Pro Forma Condensed Combined Financial Information” for pro forma adjustments reflected and related methodologies applied in preparing the unaudited condensed combined pro forma statement of operations and balance sheet.</w:t>
      </w:r>
    </w:p>
    <w:p>
      <w:pPr>
        <w:spacing w:after="0" w:line="40" w:lineRule="exact"/>
        <w:rPr>
          <w:rFonts w:ascii="Times New Roman" w:cs="Times New Roman" w:eastAsia="Times New Roman" w:hAnsi="Times New Roman"/>
          <w:sz w:val="18"/>
          <w:szCs w:val="18"/>
          <w:color w:val="auto"/>
        </w:rPr>
      </w:pPr>
    </w:p>
    <w:p>
      <w:pPr>
        <w:jc w:val="both"/>
        <w:ind w:left="1640" w:right="979" w:hanging="362"/>
        <w:spacing w:after="0" w:line="261" w:lineRule="auto"/>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$1.00 increase (decrease) in the assumed initial public offering price per share would increase (decrease) our cash and cash equivalents, total assets and total equity by approximately $           </w:t>
      </w:r>
    </w:p>
    <w:p>
      <w:pPr>
        <w:ind w:left="164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(or approximately $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our cash and cash equivalents, total assets and total equity by approximately $            million, assuming that the assumed initial public offering price remains the same, and after deducting the underwriting discounts and commissions and commissions and estimated offering expenses payable by us.</w:t>
      </w:r>
    </w:p>
    <w:p>
      <w:pPr>
        <w:spacing w:after="0" w:line="44" w:lineRule="exact"/>
        <w:rPr>
          <w:rFonts w:ascii="Times New Roman" w:cs="Times New Roman" w:eastAsia="Times New Roman" w:hAnsi="Times New Roman"/>
          <w:sz w:val="18"/>
          <w:szCs w:val="18"/>
          <w:color w:val="auto"/>
        </w:rPr>
      </w:pPr>
    </w:p>
    <w:p>
      <w:pPr>
        <w:ind w:left="1640" w:right="1179" w:hanging="362"/>
        <w:spacing w:after="0" w:line="282" w:lineRule="auto"/>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goodwill and intangible assets, net of $14.0 billion and $14.5 billion for years ended December 25, 2021 and December 26, 2020, respectively.</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An investment in our Class A common stock involves a high degree of risk. You should carefully consider the risks described below together with other information set forth in this prospectus before investing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559" w:firstLine="360"/>
        <w:spacing w:after="0" w:line="229"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Times New Roman" w:cs="Times New Roman" w:eastAsia="Times New Roman" w:hAnsi="Times New Roman"/>
          <w:sz w:val="26"/>
          <w:szCs w:val="26"/>
          <w:color w:val="auto"/>
          <w:vertAlign w:val="superscript"/>
        </w:rPr>
        <w:t>®</w:t>
      </w:r>
    </w:p>
    <w:p>
      <w:pPr>
        <w:spacing w:after="0" w:line="3"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SoCs and our software-defined radar, and source LiDAR cost effectively, which could include the development of our FMCW LiDAR, all of which are important components of our planned approach to address the AMaaS and consumer AV markets. This prospectus contains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 -efficient manner. The development of these and other new and enhanced solutions requires us to invest resources in research and development and also requires that we:</w:t>
      </w:r>
    </w:p>
    <w:p>
      <w:pPr>
        <w:spacing w:after="0" w:line="282" w:lineRule="exact"/>
        <w:rPr>
          <w:sz w:val="20"/>
          <w:szCs w:val="20"/>
          <w:color w:val="auto"/>
        </w:rPr>
      </w:pPr>
    </w:p>
    <w:p>
      <w:pPr>
        <w:ind w:left="1800" w:right="9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innovative, accurate, and safety- and comfort-enhancing functions that differentiate our solutions from those of our competitors;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improve the reliability of, and reduce and ultimately remove the requirement for human intervention with, our autonomous driving technology;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effectively on new designs and development with our customers, suppliers and partners;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technological changes and product announcements by our competitors; and</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to changing customer requirements, market conditions, and regulatory and rating standards quickly and cost-effectively.</w:t>
      </w:r>
    </w:p>
    <w:p>
      <w:pPr>
        <w:spacing w:after="0" w:line="9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w:t>
      </w:r>
    </w:p>
    <w:p>
      <w:pPr>
        <w:spacing w:after="0" w:line="173" w:lineRule="exact"/>
        <w:rPr>
          <w:sz w:val="20"/>
          <w:szCs w:val="20"/>
          <w:color w:val="auto"/>
        </w:rPr>
      </w:pPr>
    </w:p>
    <w:p>
      <w:pPr>
        <w:jc w:val="both"/>
        <w:ind w:left="1260" w:right="6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101" w:lineRule="exact"/>
        <w:rPr>
          <w:sz w:val="20"/>
          <w:szCs w:val="20"/>
          <w:color w:val="auto"/>
        </w:rPr>
      </w:pPr>
    </w:p>
    <w:p>
      <w:pPr>
        <w:ind w:left="1260" w:right="479" w:firstLine="360"/>
        <w:spacing w:after="0" w:line="227" w:lineRule="auto"/>
        <w:rPr>
          <w:sz w:val="20"/>
          <w:szCs w:val="20"/>
          <w:color w:val="auto"/>
        </w:rPr>
      </w:pPr>
      <w:r>
        <w:rPr>
          <w:rFonts w:ascii="Times New Roman" w:cs="Times New Roman" w:eastAsia="Times New Roman" w:hAnsi="Times New Roman"/>
          <w:sz w:val="18"/>
          <w:szCs w:val="18"/>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software-defined radar and FMCW LiDAR,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sensor fusion architecture,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technology and our RSS model, and the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w:t>
      </w:r>
    </w:p>
    <w:p>
      <w:pPr>
        <w:sectPr>
          <w:pgSz w:w="11900" w:h="16838" w:orient="portrait"/>
          <w:cols w:equalWidth="0" w:num="1">
            <w:col w:w="9879"/>
          </w:cols>
          <w:pgMar w:left="580" w:top="97" w:right="1440" w:bottom="1440" w:gutter="0" w:footer="0" w:header="0"/>
        </w:sectPr>
      </w:pPr>
    </w:p>
    <w:p>
      <w:pPr>
        <w:spacing w:after="0" w:line="3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market.</w:t>
      </w:r>
    </w:p>
    <w:p>
      <w:pPr>
        <w:spacing w:after="0" w:line="162"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12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General Motors, NIO, Volvo Cars, and Xpeng Motors also pursuing in-house solutions for portions of the ADAS software stack. In addition, our Tier 1 customers may be developing or may in the future develop competing solutions.</w:t>
      </w:r>
    </w:p>
    <w:p>
      <w:pPr>
        <w:spacing w:after="0" w:line="325" w:lineRule="exact"/>
        <w:rPr>
          <w:sz w:val="20"/>
          <w:szCs w:val="20"/>
          <w:color w:val="auto"/>
        </w:rPr>
      </w:pPr>
    </w:p>
    <w:p>
      <w:pPr>
        <w:jc w:val="both"/>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spacing w:after="0" w:line="1" w:lineRule="exact"/>
        <w:rPr>
          <w:sz w:val="20"/>
          <w:szCs w:val="20"/>
          <w:color w:val="auto"/>
        </w:rPr>
      </w:pPr>
    </w:p>
    <w:p>
      <w:pPr>
        <w:ind w:left="1260" w:right="619"/>
        <w:spacing w:after="0" w:line="253" w:lineRule="auto"/>
        <w:rPr>
          <w:sz w:val="20"/>
          <w:szCs w:val="20"/>
          <w:color w:val="auto"/>
        </w:rPr>
      </w:pPr>
      <w:r>
        <w:rPr>
          <w:rFonts w:ascii="Times New Roman" w:cs="Times New Roman" w:eastAsia="Times New Roman" w:hAnsi="Times New Roman"/>
          <w:sz w:val="18"/>
          <w:szCs w:val="18"/>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21"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“Business — Our Competition.”</w:t>
      </w:r>
    </w:p>
    <w:p>
      <w:pPr>
        <w:spacing w:after="0" w:line="186" w:lineRule="exact"/>
        <w:rPr>
          <w:sz w:val="20"/>
          <w:szCs w:val="20"/>
          <w:color w:val="auto"/>
        </w:rPr>
      </w:pPr>
    </w:p>
    <w:p>
      <w:pPr>
        <w:ind w:left="1260" w:right="499"/>
        <w:spacing w:after="0" w:line="210"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are continuing to experience constraints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as the result of the global semiconductor shortage, and future shortages in the supply of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 or other critical parts would adversely affect our business, results of operations, and financial condition.</w:t>
      </w:r>
    </w:p>
    <w:p>
      <w:pPr>
        <w:spacing w:after="0" w:line="118" w:lineRule="exact"/>
        <w:rPr>
          <w:sz w:val="20"/>
          <w:szCs w:val="20"/>
          <w:color w:val="auto"/>
        </w:rPr>
      </w:pPr>
    </w:p>
    <w:p>
      <w:pPr>
        <w:ind w:left="1260" w:right="439" w:firstLine="360"/>
        <w:spacing w:after="0" w:line="228" w:lineRule="auto"/>
        <w:rPr>
          <w:sz w:val="20"/>
          <w:szCs w:val="20"/>
          <w:color w:val="auto"/>
        </w:rPr>
      </w:pPr>
      <w:r>
        <w:rPr>
          <w:rFonts w:ascii="Times New Roman" w:cs="Times New Roman" w:eastAsia="Times New Roman" w:hAnsi="Times New Roman"/>
          <w:sz w:val="18"/>
          <w:szCs w:val="18"/>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 a shortage of semiconductors. During 2021, STMicroelectronics N.V.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we will continue to experience a shortfall of chips during 2022, which may cause a delay in our ability to fulfill our customers’ orders. As we have entered 2022 with significantly lower inventories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a result of the limited supply during 2021, we may be unable to offset future supply constraints through the use of inventory on hand and, without a solution to the shortages, may have insufficient inventory in subsequent fiscal years. Since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our ADAS and autonomous driving solutions,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meet our production needs would impair our ability to meet our customers’ requirements in a timely manner, and would adversely affect our business, results of operations, and financial condition. Moreover, to the extent that the global semiconductor shortage results in reduced production or production delays by automakers, those delays could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which could require substantial amounts of capital. Furthermore, accumulating such inventories may expose us to risks regarding the obsolescence of such chips.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depend on STMicroelectronics to manufacture our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SoCs.</w:t>
      </w:r>
    </w:p>
    <w:p>
      <w:pPr>
        <w:spacing w:after="0" w:line="83" w:lineRule="exact"/>
        <w:rPr>
          <w:sz w:val="20"/>
          <w:szCs w:val="20"/>
          <w:color w:val="auto"/>
        </w:rPr>
      </w:pPr>
    </w:p>
    <w:p>
      <w:pPr>
        <w:ind w:left="1260" w:right="419" w:firstLine="360"/>
        <w:spacing w:after="0" w:line="217" w:lineRule="auto"/>
        <w:rPr>
          <w:sz w:val="20"/>
          <w:szCs w:val="20"/>
          <w:color w:val="auto"/>
        </w:rPr>
      </w:pPr>
      <w:r>
        <w:rPr>
          <w:rFonts w:ascii="Times New Roman" w:cs="Times New Roman" w:eastAsia="Times New Roman" w:hAnsi="Times New Roman"/>
          <w:sz w:val="18"/>
          <w:szCs w:val="18"/>
          <w:color w:val="auto"/>
        </w:rPr>
        <w:t>We currently purchase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from STMicroelectronics. Because of the complex proprietary nature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any transition from STMicroelectronics to a new supplier or, if there were a disaster at any of STMicroelectronics’ facilities involved in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cease operations altogether. Moreover, STMicroelectronics depends on Taiwan Semiconductor Manufacturing Company Limited (“TSMC”) as its subcontractor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as a result, we are also vulnerable to the risk that TSMC may be unable to meet demand or cease operations altogether. In addition, we may be affected by supply constraints involving STMicroelectronics and TSMC resulting from the global semiconductor shortage.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w:t>
      </w:r>
    </w:p>
    <w:p>
      <w:pPr>
        <w:spacing w:after="0" w:line="109" w:lineRule="exact"/>
        <w:rPr>
          <w:sz w:val="20"/>
          <w:szCs w:val="20"/>
          <w:color w:val="auto"/>
        </w:rPr>
      </w:pPr>
    </w:p>
    <w:p>
      <w:pPr>
        <w:ind w:left="1260" w:right="559" w:firstLine="360"/>
        <w:spacing w:after="0" w:line="236" w:lineRule="auto"/>
        <w:rPr>
          <w:sz w:val="20"/>
          <w:szCs w:val="20"/>
          <w:color w:val="auto"/>
        </w:rPr>
      </w:pPr>
      <w:r>
        <w:rPr>
          <w:rFonts w:ascii="Times New Roman" w:cs="Times New Roman" w:eastAsia="Times New Roman" w:hAnsi="Times New Roman"/>
          <w:sz w:val="18"/>
          <w:szCs w:val="18"/>
          <w:color w:val="auto"/>
        </w:rPr>
        <w:t>TSMC is located in Taiwan, and our ability to receive sufficient supplies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could be adversely affected by events such as natural disasters in Taiwan, including earthquakes, drought and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typhoons, the escalations of tensions between the People’s Republic of China and Taiwan, political unrest, trade restrictions, or war.</w:t>
      </w:r>
    </w:p>
    <w:p>
      <w:pPr>
        <w:spacing w:after="0" w:line="144" w:lineRule="exact"/>
        <w:rPr>
          <w:sz w:val="20"/>
          <w:szCs w:val="20"/>
          <w:color w:val="auto"/>
        </w:rPr>
      </w:pPr>
    </w:p>
    <w:p>
      <w:pPr>
        <w:ind w:left="1260" w:right="7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67"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as the result of the global semiconductor shortage, and future shortages in the supply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or other critical parts would adversely affect our business, results of operations, and financial condition” and “— We depend on STMicroelectronics to manufacture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w:t>
      </w:r>
    </w:p>
    <w:p>
      <w:pPr>
        <w:spacing w:after="0" w:line="6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2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pacing w:after="0" w:line="200" w:lineRule="exact"/>
        <w:rPr>
          <w:sz w:val="20"/>
          <w:szCs w:val="20"/>
          <w:color w:val="auto"/>
        </w:rPr>
      </w:pPr>
    </w:p>
    <w:p>
      <w:pPr>
        <w:spacing w:after="0" w:line="205" w:lineRule="exact"/>
        <w:rPr>
          <w:sz w:val="20"/>
          <w:szCs w:val="20"/>
          <w:color w:val="auto"/>
        </w:rPr>
      </w:pPr>
    </w:p>
    <w:p>
      <w:pPr>
        <w:ind w:left="12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Increases in costs of the materials and other components that we use in our solutions would adversely affect our business, results of operations, and financial condition.</w:t>
      </w:r>
    </w:p>
    <w:p>
      <w:pPr>
        <w:spacing w:after="0" w:line="90" w:lineRule="exact"/>
        <w:rPr>
          <w:sz w:val="20"/>
          <w:szCs w:val="20"/>
          <w:color w:val="auto"/>
        </w:rPr>
      </w:pPr>
    </w:p>
    <w:p>
      <w:pPr>
        <w:ind w:left="1260" w:right="659" w:firstLine="360"/>
        <w:spacing w:after="0" w:line="226" w:lineRule="auto"/>
        <w:rPr>
          <w:sz w:val="20"/>
          <w:szCs w:val="20"/>
          <w:color w:val="auto"/>
        </w:rPr>
      </w:pPr>
      <w:r>
        <w:rPr>
          <w:rFonts w:ascii="Times New Roman" w:cs="Times New Roman" w:eastAsia="Times New Roman" w:hAnsi="Times New Roman"/>
          <w:sz w:val="18"/>
          <w:szCs w:val="18"/>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with other suppliers, does not provide us with long-term pricing or quantity guarantees. As a result of the global semiconductor shortage, we have</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experienced increases in the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While we are working to enhance production</w:t>
      </w:r>
    </w:p>
    <w:p>
      <w:pPr>
        <w:ind w:left="1260" w:right="499"/>
        <w:spacing w:after="0" w:line="241" w:lineRule="auto"/>
        <w:rPr>
          <w:sz w:val="20"/>
          <w:szCs w:val="20"/>
          <w:color w:val="auto"/>
        </w:rPr>
      </w:pPr>
      <w:r>
        <w:rPr>
          <w:rFonts w:ascii="Times New Roman" w:cs="Times New Roman" w:eastAsia="Times New Roman" w:hAnsi="Times New Roman"/>
          <w:sz w:val="18"/>
          <w:szCs w:val="18"/>
          <w:color w:val="auto"/>
        </w:rPr>
        <w:t>efficiencies in order to maintain or increase our gross margin on existing products, there can be no guarantee such efforts will be successful. Although we seek to adjust the prices charged to our customers to offset these cost increases, competitive and market pressures may limit our ability to do so.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18"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77" w:lineRule="exact"/>
        <w:rPr>
          <w:sz w:val="20"/>
          <w:szCs w:val="20"/>
          <w:color w:val="auto"/>
        </w:rPr>
      </w:pPr>
    </w:p>
    <w:p>
      <w:pPr>
        <w:jc w:val="both"/>
        <w:ind w:left="126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47" w:lineRule="exact"/>
        <w:rPr>
          <w:sz w:val="20"/>
          <w:szCs w:val="20"/>
          <w:color w:val="auto"/>
        </w:rPr>
      </w:pPr>
    </w:p>
    <w:p>
      <w:pPr>
        <w:ind w:left="1260" w:right="599" w:firstLine="360"/>
        <w:spacing w:after="0"/>
        <w:rPr>
          <w:sz w:val="20"/>
          <w:szCs w:val="20"/>
          <w:color w:val="auto"/>
        </w:rPr>
      </w:pPr>
      <w:r>
        <w:rPr>
          <w:rFonts w:ascii="Times New Roman" w:cs="Times New Roman" w:eastAsia="Times New Roman" w:hAnsi="Times New Roman"/>
          <w:sz w:val="18"/>
          <w:szCs w:val="18"/>
          <w:color w:val="auto"/>
        </w:rPr>
        <w:t>Our software and hardware, including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are complex and could have, or could be alleged to have, defects in design or manufacturing, security vulnerabilities or other errors, suffer failures, or may not function in accordance with their specifications or as expected. Some errors or defects in our solutions may initially be undetected and only be discovered after they have been tested, commercialized, and deployed by customers. Alleged or actual defects in any of our solutions would result in adverse publicity, warranty claims, litigation against us, legal expenses and damages, our customers never being able to commercialize technology incorporating our solutions, negative publicity,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303"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 Depending on the terms under which we supply products to a Tier 1 customer or OEM, a vehicle manufacturer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343"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While STMicroelectronics is responsible for quality control and procedures for testing and manufacturing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our specifications, we retain liability for failure in production caused by defective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or error. Although we use disclaimers, limitations of liability, and similar provisions in our agreements, there is no assurance that any or all of these provisions will prove to be effective barriers to product liability claims. In addition, although we are currently covered by Intel’s product liability insurance program, there is no assurance that such insurance will be adequate to cover any or all of our potential losses as a result of large deductibles and broad exclusions. Intel may also discontinue our insurance coverage, and we may be unable to find replacement insurance on acceptable terms, or at all.</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36" w:lineRule="auto"/>
        <w:rPr>
          <w:sz w:val="20"/>
          <w:szCs w:val="20"/>
          <w:color w:val="auto"/>
        </w:rPr>
      </w:pPr>
      <w:r>
        <w:rPr>
          <w:rFonts w:ascii="Times New Roman" w:cs="Times New Roman" w:eastAsia="Times New Roman" w:hAnsi="Times New Roman"/>
          <w:sz w:val="18"/>
          <w:szCs w:val="18"/>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notwithstanding the absence of any defect in design or manufacture or other failure in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themselves, could result in additional claims being made against us.</w:t>
      </w:r>
    </w:p>
    <w:p>
      <w:pPr>
        <w:spacing w:after="0" w:line="47"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91"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10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pacing w:after="0" w:line="396" w:lineRule="exact"/>
        <w:rPr>
          <w:sz w:val="20"/>
          <w:szCs w:val="20"/>
          <w:color w:val="auto"/>
        </w:rPr>
      </w:pPr>
    </w:p>
    <w:p>
      <w:pPr>
        <w:ind w:left="1260" w:right="4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recent global material shortage, we have been working with our customers to ensure they commit to certain volumes in order to secure quantities.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particular solution matures and unit volumes increase, we also generally expect its average selling price (“ASP”) to decline. In addition, there are generally step- 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11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333"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our design wins, we typically receive preliminary estimates from OEMs of their anticipated production volumes for the models relating to those design wins, and we have included information in this prospectus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In addition, long development cycles or vehicle model cancellations or postponements would adversely affect our business, results of operations, and financial condition.</w:t>
      </w:r>
    </w:p>
    <w:p>
      <w:pPr>
        <w:spacing w:after="0" w:line="191" w:lineRule="exact"/>
        <w:rPr>
          <w:sz w:val="20"/>
          <w:szCs w:val="20"/>
          <w:color w:val="auto"/>
        </w:rPr>
      </w:pPr>
    </w:p>
    <w:p>
      <w:pPr>
        <w:ind w:left="1260" w:right="71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64"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We supply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directly or through our arrangements with automotive</w:t>
      </w:r>
    </w:p>
    <w:p>
      <w:pPr>
        <w:ind w:left="1260" w:right="419"/>
        <w:spacing w:after="0"/>
        <w:rPr>
          <w:sz w:val="20"/>
          <w:szCs w:val="20"/>
          <w:color w:val="auto"/>
        </w:rPr>
      </w:pPr>
      <w:r>
        <w:rPr>
          <w:rFonts w:ascii="Times New Roman" w:cs="Times New Roman" w:eastAsia="Times New Roman" w:hAnsi="Times New Roman"/>
          <w:sz w:val="18"/>
          <w:szCs w:val="18"/>
          <w:color w:val="auto"/>
        </w:rPr>
        <w:t>system integrators, known as Tier 1 automotive suppliers, which are direct suppliers to OEMs. In 2021, we had three Tier 1 customers that accounted for 35%, 19%, and 17% of our revenue. Moreover, in 2021, 14%, 12%, 12%, and 12% of our revenue was derived from the incorporation of our solutions in their vehicle models by four OEMs and a total of 78% of our revenue was accounted for by eight OEMs (including those four). 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 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AMaaS solutions will depend on their effective deployment and operation by third parties.</w:t>
      </w:r>
    </w:p>
    <w:p>
      <w:pPr>
        <w:spacing w:after="0" w:line="162"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The success of our AMaaS directed solutions will depend on our customers and partners, such as fleet operators, effectively deploying and operating our solution in the future, and their failure to do so may result from factors outside our control. We are collaborating with various business-to -business and business-to-consumer channels for the purpose of deploying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As part of our business-to-business go-to-market strategy, we expect to sell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a range of shuttle network operators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27" w:lineRule="auto"/>
        <w:rPr>
          <w:sz w:val="20"/>
          <w:szCs w:val="20"/>
          <w:color w:val="auto"/>
        </w:rPr>
      </w:pPr>
      <w:r>
        <w:rPr>
          <w:rFonts w:ascii="Times New Roman" w:cs="Times New Roman" w:eastAsia="Times New Roman" w:hAnsi="Times New Roman"/>
          <w:sz w:val="18"/>
          <w:szCs w:val="18"/>
          <w:color w:val="auto"/>
        </w:rPr>
        <w:t>and vehicle OEMs that intend to operate consumer-facing AMaaS, transportation on demand, and delivery services. Our current list of publicly announced business-to-business partners is Beep, Benteler, Lohr, Marubeni, RATP Group, Schaeffler, Transdev, Udelv, and Willer. Additionally, as part of our business-to-customer go-to-market strategy, we expect to deploy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AMaaS offerings by</w:t>
      </w:r>
    </w:p>
    <w:p>
      <w:pPr>
        <w:ind w:left="1260" w:right="619"/>
        <w:spacing w:after="0" w:line="239" w:lineRule="auto"/>
        <w:rPr>
          <w:sz w:val="20"/>
          <w:szCs w:val="20"/>
          <w:color w:val="auto"/>
        </w:rPr>
      </w:pPr>
      <w:r>
        <w:rPr>
          <w:rFonts w:ascii="Times New Roman" w:cs="Times New Roman" w:eastAsia="Times New Roman" w:hAnsi="Times New Roman"/>
          <w:sz w:val="18"/>
          <w:szCs w:val="18"/>
          <w:color w:val="auto"/>
        </w:rPr>
        <w:t>integrating them with our self-driving vehicles in partnership with fleet operators, such as SIXT. Any failures by third parties to effectively deploy and operate our AMaaS solutions would adversely affect our business, results of operations, and financial condition.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Developing RoadBook</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depends on continued cooperation by OEMs.</w:t>
      </w:r>
    </w:p>
    <w:p>
      <w:pPr>
        <w:spacing w:after="0" w:line="104" w:lineRule="exact"/>
        <w:rPr>
          <w:sz w:val="20"/>
          <w:szCs w:val="20"/>
          <w:color w:val="auto"/>
        </w:rPr>
      </w:pPr>
    </w:p>
    <w:p>
      <w:pPr>
        <w:ind w:left="1260" w:right="499" w:firstLine="360"/>
        <w:spacing w:after="0" w:line="220" w:lineRule="auto"/>
        <w:rPr>
          <w:sz w:val="20"/>
          <w:szCs w:val="20"/>
          <w:color w:val="auto"/>
        </w:rPr>
      </w:pPr>
      <w:r>
        <w:rPr>
          <w:rFonts w:ascii="Times New Roman" w:cs="Times New Roman" w:eastAsia="Times New Roman" w:hAnsi="Times New Roman"/>
          <w:sz w:val="18"/>
          <w:szCs w:val="18"/>
          <w:color w:val="auto"/>
        </w:rPr>
        <w:t>The success of our Cloud-Enhanced Driver Assist system requires significant amounts of fresh mapping data from series production vehicles around the world in order to develop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Cloud-Enhanced Driver Assist system will not perform as expected, which would adversely affect our business, results of operations, and financial condition.</w:t>
      </w:r>
    </w:p>
    <w:p>
      <w:pPr>
        <w:spacing w:after="0" w:line="200"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i w:val="1"/>
          <w:iCs w:val="1"/>
          <w:color w:val="auto"/>
        </w:rPr>
        <w:t>We are highly dependent on the services of Professor Amnon Shashua, our President and Chief Executive Officer.</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 -founder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84"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retain, and motivate key employees, then our business, results of operations, and financial condition would be adversely affected.</w:t>
      </w:r>
    </w:p>
    <w:p>
      <w:pPr>
        <w:spacing w:after="0" w:line="9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intend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346"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customers and OEMs contribute to our ability to maintain strong relationships with key partners and to identify new business opportunities.</w:t>
      </w:r>
    </w:p>
    <w:p>
      <w:pPr>
        <w:spacing w:after="0" w:line="94"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As part of the Reorganization, we also plan to transfer certain employees relating to the Mobileye business from Intel to us. The failure to successfully transition and assimilate key employees would adversely affect our results of operations.</w:t>
      </w:r>
    </w:p>
    <w:p>
      <w:pPr>
        <w:spacing w:after="0" w:line="172"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91"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We will legally acquire the Moovit entities from Intel in connection with this offering, and we may be unable to successfully integrate Moovit’s MaaS platform into our business and may fail to achieve the financial and strategic objectives of the acquisition of Moovit. We have also recently integrated a number of Intel employees to support and accelerate the development of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200" w:lineRule="exact"/>
        <w:rPr>
          <w:sz w:val="20"/>
          <w:szCs w:val="20"/>
          <w:color w:val="auto"/>
        </w:rPr>
      </w:pPr>
    </w:p>
    <w:p>
      <w:pPr>
        <w:spacing w:after="0" w:line="213"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in the future, which may not be available on terms acceptable to us, or at all.</w:t>
      </w:r>
    </w:p>
    <w:p>
      <w:pPr>
        <w:spacing w:after="0" w:line="148" w:lineRule="exact"/>
        <w:rPr>
          <w:sz w:val="20"/>
          <w:szCs w:val="20"/>
          <w:color w:val="auto"/>
        </w:rPr>
      </w:pPr>
    </w:p>
    <w:p>
      <w:pPr>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A majority of our operating expenses are for research and development activities. Our capital requirements will depend on many factors, including, but not limited to:</w:t>
      </w:r>
    </w:p>
    <w:p>
      <w:pPr>
        <w:spacing w:after="0" w:line="67" w:lineRule="exact"/>
        <w:rPr>
          <w:sz w:val="20"/>
          <w:szCs w:val="20"/>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 and solution enhancements, and the overall level of sales of our solutions;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customers and suppliers;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expenses;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enhancements to our infrastructure and systems and any capital improvements to our facilities;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acquisitions of businesses and product lines; and</w:t>
      </w:r>
    </w:p>
    <w:p>
      <w:pPr>
        <w:spacing w:after="0" w:line="13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the effects of the COVID-19 pandemic, inflation, rising interest rates, and international conflicts and their impact on the automotive industry in particular.</w:t>
      </w:r>
    </w:p>
    <w:p>
      <w:pPr>
        <w:spacing w:after="0" w:line="94"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affected by fluctuations in currency exchange rates, including those in connection with recent inflationary trends in the United States.</w:t>
      </w:r>
    </w:p>
    <w:p>
      <w:pPr>
        <w:spacing w:after="0" w:line="7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For example, recent inflationary trends in the United States have significantly devalued the U.S. dollar with respect to the New Israeli Shekel and many other currencies, causing a significant increase to our expenses, particularly in Israel. Changes in exchange rates would adversely affect our business, results of operations, and financial condition.</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Our historical financial information may not be representative of our results as an independent public company.</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prospectus may not necessarily reflect our results of operations, financial position, and cash flows in the future or what they would have been had we been a separate, stand-alone company during the years presented. Our historical financial data presented in this prospectus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Furthermore, although we have provided pro forma financial information that gives effect to the Reorganization, this offering, and the use of net proceeds from this offering, as further described under “Unaudited Pro Forma Condensed Combined Financial Information.” The pro forma financial information included in this prospectus is also not representative of our results as an independent public company. See “Management’s Discussion and Analysis of Financial Condition and Results of Operations,” “Unaudited Pro Forma Condensed Combined Financial Information” and our historical combined financial statements and the accompanying notes included elsewhere in this prospectus.</w:t>
      </w:r>
    </w:p>
    <w:p>
      <w:pPr>
        <w:spacing w:after="0" w:line="200" w:lineRule="exact"/>
        <w:rPr>
          <w:sz w:val="20"/>
          <w:szCs w:val="20"/>
          <w:color w:val="auto"/>
        </w:rPr>
      </w:pPr>
    </w:p>
    <w:p>
      <w:pPr>
        <w:spacing w:after="0" w:line="201"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9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 contain the virus and its variants or treat its impact, such as travel bans and restrictions, quarantines, shelter-in-place/stay-at-home and social distancing orders, shutdowns, and vaccine requirements. These measures have impacted and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risks posed by the virus, and illness and workforce disruptions could lead to unavailability of key personnel and harm our ability to perform critical functions.</w:t>
      </w:r>
    </w:p>
    <w:p>
      <w:pPr>
        <w:spacing w:after="0" w:line="81"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 Given the continued and substantial economic uncertainty and volatility created by the pandemic, it is difficult to predict the nature and extent of impacts on demand for our solutions.</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degree to which COVID-19 impacts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prospectus.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We are a holding company. Accordingly, our ability to conduct our operations, service the Dividend Note after the consummation of this offering and any debt that we may incur in the future,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Privacy, Data, and Cybersecurity</w:t>
      </w:r>
    </w:p>
    <w:p>
      <w:pPr>
        <w:spacing w:after="0" w:line="225"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Interruptions to our information technology systems and networks and cybersecurity incidents could adversely affect our business, results of operations, and financial condition.</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electronic, and organizational measures designed to safeguard and secure our systems to prevent a data breach or compromise, and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24"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We cannot be sure that the IT systems upon which we rely, including those of our third-party vendors or suppliers, will be effectively implemented, maintained, or expanded as planned. While cyberattacks against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32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325"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200" w:lineRule="exact"/>
        <w:rPr>
          <w:sz w:val="20"/>
          <w:szCs w:val="20"/>
          <w:color w:val="auto"/>
        </w:rPr>
      </w:pPr>
    </w:p>
    <w:p>
      <w:pPr>
        <w:spacing w:after="0" w:line="215"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other disruptions of our in-vehicle systems and related data could impact the safety of our end users and reduce confidence in us and our solutions.</w:t>
      </w:r>
    </w:p>
    <w:p>
      <w:pPr>
        <w:spacing w:after="0" w:line="90" w:lineRule="exact"/>
        <w:rPr>
          <w:sz w:val="20"/>
          <w:szCs w:val="20"/>
          <w:color w:val="auto"/>
        </w:rPr>
      </w:pPr>
    </w:p>
    <w:p>
      <w:pPr>
        <w:ind w:left="1260" w:right="599" w:firstLine="360"/>
        <w:spacing w:after="0" w:line="264" w:lineRule="auto"/>
        <w:rPr>
          <w:sz w:val="20"/>
          <w:szCs w:val="20"/>
          <w:color w:val="auto"/>
        </w:rPr>
      </w:pPr>
      <w:r>
        <w:rPr>
          <w:rFonts w:ascii="Times New Roman" w:cs="Times New Roman" w:eastAsia="Times New Roman" w:hAnsi="Times New Roman"/>
          <w:sz w:val="18"/>
          <w:szCs w:val="18"/>
          <w:color w:val="auto"/>
        </w:rPr>
        <w:t>Our ADAS and autonomous driving systems contain complex information technology. These systems may affect the control of various vehicle functions including engine, transmission, safety, steering, navigation,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32" w:lineRule="auto"/>
        <w:rPr>
          <w:sz w:val="20"/>
          <w:szCs w:val="20"/>
          <w:color w:val="auto"/>
        </w:rPr>
      </w:pPr>
      <w:r>
        <w:rPr>
          <w:rFonts w:ascii="Times New Roman" w:cs="Times New Roman" w:eastAsia="Times New Roman" w:hAnsi="Times New Roman"/>
          <w:sz w:val="18"/>
          <w:szCs w:val="18"/>
          <w:color w:val="auto"/>
        </w:rPr>
        <w:t>acceleration, and braking. We have designed, implemented, and tested security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over-the-air updates, our solutions may increasingly be subject to cyber threats. We also transmit and store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data on the cloud with Amazon Web Services, and we depend on</w:t>
      </w:r>
    </w:p>
    <w:p>
      <w:pPr>
        <w:spacing w:after="0" w:line="2"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Amazon Web Services for securing data stored with it. Hackers may attempt to infiltrate, steal, corrupt, or manipulate such data on the cloud, which could also result in our in-vehicle systems malfunctioning. 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result in legal or regulatory claims or proceedings, liability, or regulatory penalties. Moreover, new laws, such as the new data law in Massachusetts that would permit third-party access to vehicle data and related systems, could expose our vehicles and vehicle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pacing w:after="0" w:line="188" w:lineRule="exact"/>
        <w:rPr>
          <w:sz w:val="20"/>
          <w:szCs w:val="20"/>
          <w:color w:val="auto"/>
        </w:rPr>
      </w:pPr>
    </w:p>
    <w:p>
      <w:pPr>
        <w:ind w:left="1260" w:right="439"/>
        <w:spacing w:after="0" w:line="283" w:lineRule="auto"/>
        <w:rPr>
          <w:sz w:val="20"/>
          <w:szCs w:val="20"/>
          <w:color w:val="auto"/>
        </w:rPr>
      </w:pPr>
      <w:r>
        <w:rPr>
          <w:rFonts w:ascii="Times New Roman" w:cs="Times New Roman" w:eastAsia="Times New Roman" w:hAnsi="Times New Roman"/>
          <w:sz w:val="17"/>
          <w:szCs w:val="17"/>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8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A major breach of our network security and systems may result in fines, penalties, and damages, harm our reputation, and adversely affect our business, results of operations, and financial condition.</w:t>
      </w:r>
    </w:p>
    <w:p>
      <w:pPr>
        <w:spacing w:after="0" w:line="32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related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w:t>
      </w: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7" w:lineRule="auto"/>
        <w:rPr>
          <w:sz w:val="20"/>
          <w:szCs w:val="20"/>
          <w:color w:val="auto"/>
        </w:rPr>
      </w:pPr>
      <w:r>
        <w:rPr>
          <w:rFonts w:ascii="Times New Roman" w:cs="Times New Roman" w:eastAsia="Times New Roman" w:hAnsi="Times New Roman"/>
          <w:sz w:val="18"/>
          <w:szCs w:val="18"/>
          <w:color w:val="auto"/>
        </w:rPr>
        <w:t>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with Data Protection Laws, could result in additional cost and liability to us, harm our reputation and brand, and could adversely affect our business, results of operations, and financial condition.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Rights</w:t>
      </w:r>
    </w:p>
    <w:p>
      <w:pPr>
        <w:spacing w:after="0" w:line="225"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defend or enforce our intellectual property rights, and our efforts to do so may be costly.</w:t>
      </w:r>
    </w:p>
    <w:p>
      <w:pPr>
        <w:spacing w:after="0" w:line="7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 -party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33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16"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6" w:lineRule="auto"/>
        <w:rPr>
          <w:sz w:val="20"/>
          <w:szCs w:val="20"/>
          <w:color w:val="auto"/>
        </w:rPr>
      </w:pPr>
      <w:r>
        <w:rPr>
          <w:rFonts w:ascii="Times New Roman" w:cs="Times New Roman" w:eastAsia="Times New Roman" w:hAnsi="Times New Roman"/>
          <w:sz w:val="18"/>
          <w:szCs w:val="18"/>
          <w:color w:val="auto"/>
        </w:rPr>
        <w:t>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72"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91"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w:t>
      </w:r>
    </w:p>
    <w:p>
      <w:pPr>
        <w:spacing w:after="0" w:line="3" w:lineRule="exact"/>
        <w:rPr>
          <w:sz w:val="20"/>
          <w:szCs w:val="20"/>
          <w:color w:val="auto"/>
        </w:rPr>
      </w:pPr>
    </w:p>
    <w:p>
      <w:pPr>
        <w:ind w:left="1260" w:right="599"/>
        <w:spacing w:after="0" w:line="260" w:lineRule="auto"/>
        <w:rPr>
          <w:sz w:val="20"/>
          <w:szCs w:val="20"/>
          <w:color w:val="auto"/>
        </w:rPr>
      </w:pPr>
      <w:r>
        <w:rPr>
          <w:rFonts w:ascii="Times New Roman" w:cs="Times New Roman" w:eastAsia="Times New Roman" w:hAnsi="Times New Roman"/>
          <w:sz w:val="18"/>
          <w:szCs w:val="18"/>
          <w:color w:val="auto"/>
        </w:rPr>
        <w:t>recent years, there has been significant litigation globally involving patents and other intellectual property rights.</w:t>
      </w:r>
    </w:p>
    <w:p>
      <w:pPr>
        <w:spacing w:after="0" w:line="114"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34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78" w:lineRule="exact"/>
        <w:rPr>
          <w:sz w:val="20"/>
          <w:szCs w:val="20"/>
          <w:color w:val="auto"/>
        </w:rPr>
      </w:pPr>
    </w:p>
    <w:p>
      <w:pPr>
        <w:ind w:left="1260" w:right="479" w:firstLine="360"/>
        <w:spacing w:after="0" w:line="232" w:lineRule="auto"/>
        <w:rPr>
          <w:sz w:val="20"/>
          <w:szCs w:val="20"/>
          <w:color w:val="auto"/>
        </w:rPr>
      </w:pPr>
      <w:r>
        <w:rPr>
          <w:rFonts w:ascii="Times New Roman" w:cs="Times New Roman" w:eastAsia="Times New Roman" w:hAnsi="Times New Roman"/>
          <w:sz w:val="18"/>
          <w:szCs w:val="18"/>
          <w:color w:val="auto"/>
        </w:rPr>
        <w:t>We integrate certain technologies developed and owned by third parties into our solutions, including the central processing unit cores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through license and technology transfer agreements. Under these agreements, we are obligated to pay royalties for each unit of our solutions that we sell that incorporates such third- 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17"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97" w:lineRule="exact"/>
        <w:rPr>
          <w:sz w:val="20"/>
          <w:szCs w:val="20"/>
          <w:color w:val="auto"/>
        </w:rPr>
      </w:pPr>
    </w:p>
    <w:p>
      <w:pPr>
        <w:ind w:left="1260" w:right="6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0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spacing w:after="0" w:line="200" w:lineRule="exact"/>
        <w:rPr>
          <w:sz w:val="20"/>
          <w:szCs w:val="20"/>
          <w:color w:val="auto"/>
        </w:rPr>
      </w:pPr>
    </w:p>
    <w:p>
      <w:pPr>
        <w:spacing w:after="0" w:line="209"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91"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33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72" w:lineRule="exact"/>
        <w:rPr>
          <w:sz w:val="20"/>
          <w:szCs w:val="20"/>
          <w:color w:val="auto"/>
        </w:rPr>
      </w:pPr>
    </w:p>
    <w:p>
      <w:pPr>
        <w:ind w:left="12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91"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337"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09"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25" w:lineRule="exact"/>
        <w:rPr>
          <w:sz w:val="20"/>
          <w:szCs w:val="20"/>
          <w:color w:val="auto"/>
        </w:rPr>
      </w:pPr>
    </w:p>
    <w:p>
      <w:pPr>
        <w:ind w:left="1260" w:right="7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conditions in the automotive industry or the global economy more generally would adversely affect our business, results of operations, and financial condition.</w:t>
      </w:r>
    </w:p>
    <w:p>
      <w:pPr>
        <w:spacing w:after="0" w:line="78"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 with approximately 3% growth year over year in 2021, production in 2021 was still approximately 13% below the 2019 level. The volume of automotive production in North America, Europe, China, and the rest of the world has fluctuated, sometimes significantly, from year to year, for many reasons, and such fluctuations give rise to fluctuations in the demand for our solutions. Any adverse change in any of these factors, including, but not limited to, general economic conditions, the bankruptcy of any of our customers or the closure of OEM manufacturing facilities may result in a reduction in automotive sales and production, and would have an adverse effect on our business, results of operations, and financial condition.</w:t>
      </w:r>
    </w:p>
    <w:p>
      <w:pPr>
        <w:spacing w:after="0" w:line="399"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9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 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spacing w:after="0" w:line="193"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industry that is new and rapidly evolving, and the estimates and forecasts of TAM and SAM included in this prospectus are subject to significant uncertainty.</w:t>
      </w:r>
    </w:p>
    <w:p>
      <w:pPr>
        <w:spacing w:after="0" w:line="90"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We are pursuing opportunities in markets that are undergoing rapid changes, including technological and regulatory changes, and it is difficult to predict the timing and size of the opportunities. For example, ADAS and autonomous driving applications require complex technology and are subject to uncertainties with respect to, among other things, the rate of consumer acceptance and the impact of current or future regulations. Because these automotive systems depend on technology from many companies, commercialization of some ADAS or autonomous driving solutions could be delayed or impaired on account of certain technological components of our or others not being ready to be deployed in vehicles. Regulatory, safety or reliability developments, many of which are outside of our control, could also cause delays or otherwise impair commercial adoption of these new technologies, which will adversely affect our growth.</w:t>
      </w:r>
    </w:p>
    <w:p>
      <w:pPr>
        <w:spacing w:after="0" w:line="32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serviceable addressable market (“SAM”) of our current and anticipated future solutions, that are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color w:val="auto"/>
        </w:rPr>
        <w:t>based on industry publications and reports or other publicly available information as well as our internal estimates and expectations. These estimates and forecasts involve a number of assumptions and limitations, and are subject to significant uncertainty, and you are cautioned not to give them undue weight.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believe our assumptions and the data underlying our estimates and forecasts are reasonable, these assumptions and estimates may not be correct and the conditions supporting our assumptions or estimates may change at any time, thereby reducing the predictive accuracy of these underlying factors. As a result, our estimates and forecasts may prove to be incorrect. If third-party or internally generated data prove to be inaccurate or we make errors in our assumptions based on that data, the TAM and SAM for our solutions may be smaller than we have estimated, our future growth opportunities and sales growth may be smaller than we estimate, and our future business, results of operations and financial condition may be adversely affected.</w:t>
      </w:r>
    </w:p>
    <w:p>
      <w:pPr>
        <w:spacing w:after="0" w:line="34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future financial performance will depend on our ability to make timely investments in the correct market opportunities. If one or more of these markets experience a shift in customer or prospective customer demand, then our solutions may not compete as effectively, if at all, and they may not be incorporated into commercialized end customer products. Given the evolving nature of the markets in which we operate, it is difficult to predict customer demand or adoption rates for our solutions or the future growth of the markets in which we operate. Even if the market for ADAS and autonomous driving solutions grows substantially, there is no guarantee that demand for our solutions will correlate with that growth if we fail to effectively pursue such opportunities. There is also no guarantee that our business will be successful simply because of the future TAM or SAM of our solutions, or because of the trends of the TAM and SAM of our solutions. If demand does not develop or if we cannot accurately forecast customer demand, then the size of our markets, inventory requirements or our future business, results of operations, and financial condition would be adversely affected.</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and Compliance Risks</w:t>
      </w:r>
    </w:p>
    <w:p>
      <w:pPr>
        <w:spacing w:after="0" w:line="22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laws and regulations that affect our operations and that could adversely affect our business, results of operations, and financial condition.</w:t>
      </w:r>
    </w:p>
    <w:p>
      <w:pPr>
        <w:spacing w:after="0" w:line="9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subject to laws and regulations worldwide that affect our operations and that differ among jurisdictions, including automotive safety regulations, regulations governing autonomous driving technology,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3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73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 -driving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117"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32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trade policies, sanctions, and export controls.</w:t>
      </w:r>
    </w:p>
    <w:p>
      <w:pPr>
        <w:spacing w:after="0" w:line="162" w:lineRule="exact"/>
        <w:rPr>
          <w:sz w:val="20"/>
          <w:szCs w:val="20"/>
          <w:color w:val="auto"/>
        </w:rPr>
      </w:pPr>
    </w:p>
    <w:p>
      <w:pPr>
        <w:ind w:left="1260" w:right="779" w:firstLine="360"/>
        <w:spacing w:after="0" w:line="244" w:lineRule="auto"/>
        <w:rPr>
          <w:sz w:val="20"/>
          <w:szCs w:val="20"/>
          <w:color w:val="auto"/>
        </w:rPr>
      </w:pPr>
      <w:r>
        <w:rPr>
          <w:rFonts w:ascii="Times New Roman" w:cs="Times New Roman" w:eastAsia="Times New Roman" w:hAnsi="Times New Roman"/>
          <w:sz w:val="18"/>
          <w:szCs w:val="18"/>
          <w:color w:val="auto"/>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While we believe that current U.S. sanctions do not materially impede our ability to conduct our current business, new sanctions imposed by the United States, the European Union or other countries may restrict certain of our operations and negatively affect our revenue and profitability in the future.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In particular, in response to Russia’s recent invasion of Ukraine, the United States, the European Union, and several other countries are imposing far-reaching sanctions and export control restrictions on Russian entities and individuals. Although these measures do not currently have, nor do we expect them in the future to have, a material, direct impact on our business, results of operations, or financial condition, they may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w:t>
      </w:r>
    </w:p>
    <w:p>
      <w:pPr>
        <w:spacing w:after="0" w:line="324" w:lineRule="exact"/>
        <w:rPr>
          <w:sz w:val="20"/>
          <w:szCs w:val="20"/>
          <w:color w:val="auto"/>
        </w:rPr>
      </w:pPr>
    </w:p>
    <w:p>
      <w:pPr>
        <w:ind w:left="1260" w:right="479" w:firstLine="360"/>
        <w:spacing w:after="0" w:line="232" w:lineRule="auto"/>
        <w:rPr>
          <w:sz w:val="20"/>
          <w:szCs w:val="20"/>
          <w:color w:val="auto"/>
        </w:rPr>
      </w:pPr>
      <w:r>
        <w:rPr>
          <w:rFonts w:ascii="Times New Roman" w:cs="Times New Roman" w:eastAsia="Times New Roman" w:hAnsi="Times New Roman"/>
          <w:sz w:val="18"/>
          <w:szCs w:val="18"/>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including certain of our customers. Future restrictions could adversely affect our financial performance, result in reputational harm to us due to our relationship with such companies or lead such companies to develop or adopt technologies that compete with our solutions. For example, Geely Holding Group Co., Ltd, an automotive company headquartered in China, recently commenced production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with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scheduled for</w:t>
      </w:r>
    </w:p>
    <w:p>
      <w:pPr>
        <w:spacing w:after="0" w:line="7" w:lineRule="exact"/>
        <w:rPr>
          <w:sz w:val="20"/>
          <w:szCs w:val="20"/>
          <w:color w:val="auto"/>
        </w:rPr>
      </w:pPr>
    </w:p>
    <w:p>
      <w:pPr>
        <w:ind w:left="1260" w:right="599"/>
        <w:spacing w:after="0" w:line="225" w:lineRule="auto"/>
        <w:rPr>
          <w:sz w:val="20"/>
          <w:szCs w:val="20"/>
          <w:color w:val="auto"/>
        </w:rPr>
      </w:pPr>
      <w:r>
        <w:rPr>
          <w:rFonts w:ascii="Times New Roman" w:cs="Times New Roman" w:eastAsia="Times New Roman" w:hAnsi="Times New Roman"/>
          <w:sz w:val="18"/>
          <w:szCs w:val="18"/>
          <w:color w:val="auto"/>
        </w:rPr>
        <w:t>inclusion with an OTA update in 2022, and we achieved an AV design win for inclusion of our consumer Level 4 platform built on the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 Zeekr. Moreover, in 2021, we derived approximately 19%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2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have a material adverse effect on our business and growth prospects.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Operations in Israel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Conditions in Israel affect our operations and may limit our ability to produce and sell our solutions.</w:t>
      </w:r>
    </w:p>
    <w:p>
      <w:pPr>
        <w:spacing w:after="0" w:line="14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Although we are incorporated under the laws of the State of Delaware, our headquarters and research and development center are located in the State of Israel, and as of the end of 2021, substantially all of our equipment and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operations and results of operations.</w:t>
      </w:r>
    </w:p>
    <w:p>
      <w:pPr>
        <w:spacing w:after="0" w:line="117" w:lineRule="exact"/>
        <w:rPr>
          <w:sz w:val="20"/>
          <w:szCs w:val="20"/>
          <w:color w:val="auto"/>
        </w:rPr>
      </w:pPr>
    </w:p>
    <w:p>
      <w:pPr>
        <w:ind w:left="1260" w:right="619" w:firstLine="360"/>
        <w:spacing w:after="0" w:line="243"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disrupted by the obligations of personnel to perform military service.</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197" w:lineRule="exact"/>
        <w:rPr>
          <w:sz w:val="20"/>
          <w:szCs w:val="20"/>
          <w:color w:val="auto"/>
        </w:rPr>
      </w:pPr>
    </w:p>
    <w:p>
      <w:pPr>
        <w:ind w:left="1260" w:right="10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90"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200" w:lineRule="exact"/>
        <w:rPr>
          <w:sz w:val="20"/>
          <w:szCs w:val="20"/>
          <w:color w:val="auto"/>
        </w:rPr>
      </w:pPr>
    </w:p>
    <w:p>
      <w:pPr>
        <w:spacing w:after="0" w:line="205" w:lineRule="exact"/>
        <w:rPr>
          <w:sz w:val="20"/>
          <w:szCs w:val="20"/>
          <w:color w:val="auto"/>
        </w:rPr>
      </w:pPr>
    </w:p>
    <w:p>
      <w:pPr>
        <w:ind w:left="1260" w:right="83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It may be difficult to enforce a U.S. judgment against our officers and directors named in this prospectus, or to assert U.S. securities laws claims in Israel or serve process on our non-U.S. officers and directors.</w:t>
      </w:r>
    </w:p>
    <w:p>
      <w:pPr>
        <w:spacing w:after="0" w:line="6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Intel and our Dual Class Structure</w:t>
      </w:r>
    </w:p>
    <w:p>
      <w:pPr>
        <w:spacing w:after="0" w:line="225"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pacing w:after="0" w:line="107"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Class B common stock will have ten votes per share, and our Class A common stock, which is the stock we are offering in this offering, will have one vote per share. Because of the 10-to-1 voting ratio between our Class B common stock and our Class A common stock, immediately following the offering, Intel, which will be the beneficial holder of         shares of Class B common stock, will beneficially own approximately        % of the voting power of our outstanding capital stock, assuming no exercise by the underwriters of their option to purchase additional shares of our Class A common stock (or        % assuming full exercise by the underwriters of their option to purchase additional shares of our Class A common stock). Because Intel will beneficially hold significantly more than a majority of the combined voting power of our capital stock upon the completion of this offering, it will be able to control all matters submitted to our stockholders for approval.</w:t>
      </w:r>
    </w:p>
    <w:p>
      <w:pPr>
        <w:spacing w:after="0" w:line="32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 See “Description of Capital Stock.”</w:t>
      </w:r>
    </w:p>
    <w:p>
      <w:pPr>
        <w:spacing w:after="0" w:line="181" w:lineRule="exact"/>
        <w:rPr>
          <w:sz w:val="20"/>
          <w:szCs w:val="20"/>
          <w:color w:val="auto"/>
        </w:rPr>
      </w:pPr>
    </w:p>
    <w:p>
      <w:pPr>
        <w:ind w:left="1260" w:right="5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expect to be a “controlled company” within the meaning of the corporate governance standards of        . As a result, we will qualify for, and intend to rely on, exemptions from certain corporate governance standards. You will not have the same protections afforded to stockholders of companies that are subject to all corporate governance requirements of        .</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So long as more than 50% of the voting power for the election of our directors is held by an individual, a group or another company, we will qualify as a “controlled company” under listing requirements of        . After the completion of this offering, Intel will continue to beneficially hold a majority of the voting power of our outstanding common stock. As a result, we are a “controlled company” under the        rules. As a controlled company, we are exempt from certain        corporate governance requirements, and we currently intend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dual class structure may depress the trading price of our Class A common stock.</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cannot predict whether our dual class structure will result in a lower or more volatile market price of our Class A common stock or in adverse publicity or other adverse consequences. For example, certain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04" w:lineRule="exact"/>
        <w:rPr>
          <w:sz w:val="20"/>
          <w:szCs w:val="20"/>
          <w:color w:val="auto"/>
        </w:rPr>
      </w:pPr>
    </w:p>
    <w:p>
      <w:pPr>
        <w:ind w:left="12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of interest with Intel and, because of Intel’s controlling beneficial ownership interest in our company, we may not be able to resolve such conflicts on terms favorable to us.</w:t>
      </w:r>
    </w:p>
    <w:p>
      <w:pPr>
        <w:spacing w:after="0" w:line="9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Conflicts of interest may arise between Intel and us in a number of areas relating to our ongoing relationship. Potential conflicts of interest that we have identified include the following:</w:t>
      </w:r>
    </w:p>
    <w:p>
      <w:pPr>
        <w:spacing w:after="0" w:line="52" w:lineRule="exact"/>
        <w:rPr>
          <w:sz w:val="20"/>
          <w:szCs w:val="20"/>
          <w:color w:val="auto"/>
        </w:rPr>
      </w:pPr>
    </w:p>
    <w:p>
      <w:pPr>
        <w:ind w:left="1800" w:right="47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of our directors may have conflicts of interest</w:t>
      </w:r>
      <w:r>
        <w:rPr>
          <w:rFonts w:ascii="Times New Roman" w:cs="Times New Roman" w:eastAsia="Times New Roman" w:hAnsi="Times New Roman"/>
          <w:sz w:val="18"/>
          <w:szCs w:val="18"/>
          <w:color w:val="auto"/>
        </w:rPr>
        <w:t>. Each of        serves both as our director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 of shares of our common stock</w:t>
      </w:r>
      <w:r>
        <w:rPr>
          <w:rFonts w:ascii="Times New Roman" w:cs="Times New Roman" w:eastAsia="Times New Roman" w:hAnsi="Times New Roman"/>
          <w:sz w:val="18"/>
          <w:szCs w:val="18"/>
          <w:color w:val="auto"/>
        </w:rPr>
        <w:t>. Intel may decide to sell all or a portion of our shares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to a third party, including to one of our competitors, thereby giving that third-party substantial influence over our business and our affairs and possibly depressing the trading price of our Class A common stock. Such a sale could be in conflict with your interests.</w:t>
      </w:r>
    </w:p>
    <w:p>
      <w:pPr>
        <w:spacing w:after="0" w:line="71"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Developing business relationships with Intel’s competitors</w:t>
      </w:r>
      <w:r>
        <w:rPr>
          <w:rFonts w:ascii="Times New Roman" w:cs="Times New Roman" w:eastAsia="Times New Roman" w:hAnsi="Times New Roman"/>
          <w:sz w:val="18"/>
          <w:szCs w:val="18"/>
          <w:color w:val="auto"/>
        </w:rPr>
        <w:t>. We may from time to time partner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from, and sell to a number of companies that compete with Intel. These companies may be less willing or unwilling to develop and maintain relationships with us, and may favor our competitors or may view us as competitors, because of our relationship with Intel.</w:t>
      </w:r>
    </w:p>
    <w:p>
      <w:pPr>
        <w:spacing w:after="0" w:line="71" w:lineRule="exact"/>
        <w:rPr>
          <w:rFonts w:ascii="Times New Roman" w:cs="Times New Roman" w:eastAsia="Times New Roman" w:hAnsi="Times New Roman"/>
          <w:sz w:val="18"/>
          <w:szCs w:val="18"/>
          <w:color w:val="auto"/>
        </w:rPr>
      </w:pPr>
    </w:p>
    <w:p>
      <w:pPr>
        <w:ind w:left="1800" w:right="619" w:hanging="180"/>
        <w:spacing w:after="0" w:line="267"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business opportunities</w:t>
      </w:r>
      <w:r>
        <w:rPr>
          <w:rFonts w:ascii="Times New Roman" w:cs="Times New Roman" w:eastAsia="Times New Roman" w:hAnsi="Times New Roman"/>
          <w:sz w:val="18"/>
          <w:szCs w:val="18"/>
          <w:color w:val="auto"/>
        </w:rPr>
        <w:t>. Business opportunities may arise that both we and Intel find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attractive, and which would complement our businesses. We may be prevented from taking advantage of new business opportunities that Intel has entered into.</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Offering and Our Class A Common Stock</w:t>
      </w:r>
    </w:p>
    <w:p>
      <w:pPr>
        <w:spacing w:after="0" w:line="225"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107"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Since Intel has completed its acquisition of us, prior to this offering, there has not been a public trading market for shares of our Class A common stock. It is possible that an active trading market for our Class A common stock will not develop or, if developed, not be sustained, which would make it difficult for you to sell your shares of Class A common stock at an attractive price or at all. The initial public offering price per share of our Class A common stock will be determined by agreement between us and the underwriters and may not be indicative of the price at which shares of our Class A common stock will trade in the public market after this offering. The market price of our Class A common stock may decline below</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the initial public offering price, and you may not be able to sell your shares of our Class A common stock at or above the price you paid in this offering or at all.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fluctuate, and you could lose all or part of your investment.</w:t>
      </w:r>
    </w:p>
    <w:p>
      <w:pPr>
        <w:spacing w:after="0" w:line="173"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stock market in general has been, and the market price of our Class A common stock specifically is, subject to fluctuation, whether due to, or irrespective of, our operating results and financial condition. The market price of our Class A common stock on        may fluctuate as a result of a number of factors, some of which are beyond our control, including, but not limited to:</w:t>
      </w:r>
    </w:p>
    <w:p>
      <w:pPr>
        <w:spacing w:after="0" w:line="72" w:lineRule="exact"/>
        <w:rPr>
          <w:sz w:val="20"/>
          <w:szCs w:val="20"/>
          <w:color w:val="auto"/>
        </w:rPr>
      </w:pPr>
    </w:p>
    <w:p>
      <w:pPr>
        <w:ind w:left="1800" w:right="6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regulators and other safety organizations regarding ADAS, autonomous driving and related technology;</w:t>
      </w:r>
    </w:p>
    <w:p>
      <w:pPr>
        <w:spacing w:after="0" w:line="6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publicized accidents involving ADAS and autonomous driving technology, whether developed by us or our competitors;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solutions;</w:t>
      </w:r>
    </w:p>
    <w:p>
      <w:pPr>
        <w:spacing w:after="0" w:line="130"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management, employees, customers, and operating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results of research and development projects by us or our competitors;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others relating to autonomous driving technology and its adoption by OEMs;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competitive systems and products by others;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intellectual property rights;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particularly Professor Shashua;</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of satisfying our warranty obligations;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customers;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and the global supply chain;</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irregularities such as worsening inflationary trends, volatile interest rates and labor shortages;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between our expenditures to develop and market new or enhanced products and the generation of sales from those products;</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amount that we spend to develop, acquire, or license new products, technologies, or businesses;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research and development and operating expenditures;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and our competitors’ results of operations and financial condition;</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or proposed sale or the sale or proposed sale by Intel or other significant stockholders of our common stock or other securities in the future; and</w:t>
      </w:r>
    </w:p>
    <w:p>
      <w:pPr>
        <w:spacing w:after="0" w:line="67" w:lineRule="exact"/>
        <w:rPr>
          <w:rFonts w:ascii="Times New Roman" w:cs="Times New Roman" w:eastAsia="Times New Roman" w:hAnsi="Times New Roman"/>
          <w:sz w:val="18"/>
          <w:szCs w:val="18"/>
          <w:color w:val="auto"/>
        </w:rPr>
      </w:pPr>
    </w:p>
    <w:p>
      <w:pPr>
        <w:ind w:left="1800" w:right="14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over the use of net proceeds from this offering, and we may not use them effectively.</w:t>
      </w:r>
    </w:p>
    <w:p>
      <w:pPr>
        <w:spacing w:after="0" w:line="16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repay $            of indebtedness owed to Intel under the Dividend Note and use the remaining $            (or $            if the underwriters exercise their option to purchase additional shares of our Class A common stock in full) for working capital and general corporate purposes. Our management will have broad discretion in the application of net proceeds from this offering allocated for working capital and general corporate purposes, and you will not have the opportunity as part of your investment decision to assess whether such proceeds are being used appropriately. The failure by our management to apply these proceeds effectively could adversely affect our business, results of operations, and financial condition.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dividends in the foreseeable future.</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completion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addition, we will be subject to other reporting and corporate governance requirements, including certain requirements of        and certain provisions of the Sarbanes- 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32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Furthermore, though we have been indirectly subject to these requirements previously as a subsidiary of Intel, we might not be successful in implementing these requirements. The increased costs of compliance with public company reporting requirements and our potential failure to satisfy these requirements could have an adverse effect on our business, results of operations, and financial condition.</w:t>
      </w:r>
    </w:p>
    <w:p>
      <w:pPr>
        <w:spacing w:after="0" w:line="187"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10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Upon becoming a public company, we will be required to comply with the SEC’s rules implementing Sections 302 and 404 of the Sarbanes- Oxley Act, which will require management to certify financial and other information in our quarterly and annual reports and, beginning in the first full fiscal year after the completion of this offering, provide an annual management report on the effectiveness of internal control over financial reporting, to which our auditors will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adversely affect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Investors in this offering will experience immediate and substantial dilution.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initial public offering price is substantially higher than the pro forma net tangible book value per share of our common stock immediately following this offering. Therefore, if you purchase shares of our Class A common stock in this offering, then, based on the midpoint of the price range set forth on the cover page of this prospectus, and the issuance by us of          shares of Class A common stock in this offering, you will experience immediate dilution of $            per share, the difference between the price per share you pay for our Class A common stock and the pro forma net tangible book value per share of our common stock as of December 25, 2021 after giving effect to this offering. Furthermore, if the underwriters exercise their option to purchase additional shares, if we issue awards to our employees under our equity incentive plans or if we otherwise issue additional shares of our Class A common stock, then you could experience further dilution. As a result of the dilution to investors purchasing shares in this offering, investors may receive less than the purchase price paid in this offering, if anything, in the event of our liquidation. See “Dilution.”</w:t>
      </w:r>
    </w:p>
    <w:p>
      <w:pPr>
        <w:spacing w:after="0" w:line="188" w:lineRule="exact"/>
        <w:rPr>
          <w:sz w:val="20"/>
          <w:szCs w:val="20"/>
          <w:color w:val="auto"/>
        </w:rPr>
      </w:pPr>
    </w:p>
    <w:p>
      <w:pPr>
        <w:ind w:left="1260" w:right="4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91"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following this offering,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400"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by us of additional equity securities may dilute your ownership and adversely affect the market price of our Class A common stock.</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After this offering and the use of proceeds to us therefrom, we will have an aggregate of               </w:t>
      </w:r>
    </w:p>
    <w:p>
      <w:pPr>
        <w:spacing w:after="0" w:line="27" w:lineRule="exact"/>
        <w:rPr>
          <w:sz w:val="20"/>
          <w:szCs w:val="20"/>
          <w:color w:val="auto"/>
        </w:rPr>
      </w:pPr>
    </w:p>
    <w:p>
      <w:pPr>
        <w:ind w:left="1260" w:right="439"/>
        <w:spacing w:after="0" w:line="252" w:lineRule="auto"/>
        <w:tabs>
          <w:tab w:leader="none" w:pos="13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authorized but unissued shares of Class A common stock. Our amended and restated certificate of incorporation will authorize us to issue shares of Class A common stock and rights relating to Class A common stock for the consideration and on the terms and conditions established by our board of directors in its sole discretion, whether in connection with acquisitions or otherwise. Any Class A common stock that we issue, including under our equity incentive plan, would dilute the percentage ownership held by the investors who purchase Class A common stock in this offering.</w:t>
      </w:r>
    </w:p>
    <w:p>
      <w:pPr>
        <w:spacing w:after="0" w:line="12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90" w:lineRule="exact"/>
        <w:rPr>
          <w:sz w:val="20"/>
          <w:szCs w:val="20"/>
          <w:color w:val="auto"/>
        </w:rPr>
      </w:pPr>
    </w:p>
    <w:p>
      <w:pPr>
        <w:jc w:val="both"/>
        <w:ind w:left="1260" w:right="6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Delaware law and certain provisions of our amended and restated certificate of incorporation and amended and restated bylaws that will be in effect at the completion of this offering could make a merger, tender offer, or proxy contest difficult, thereby adversely affecting the market price of our common stock.</w:t>
      </w:r>
    </w:p>
    <w:p>
      <w:pPr>
        <w:spacing w:after="0" w:line="107"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will contain provisions that may make the acquisition of our company more difficult, including the following:</w:t>
      </w:r>
    </w:p>
    <w:p>
      <w:pPr>
        <w:spacing w:after="0" w:line="295" w:lineRule="exact"/>
        <w:rPr>
          <w:sz w:val="20"/>
          <w:szCs w:val="20"/>
          <w:color w:val="auto"/>
        </w:rPr>
      </w:pPr>
    </w:p>
    <w:p>
      <w:pPr>
        <w:ind w:left="1800" w:right="59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spacing w:after="0" w:line="67" w:lineRule="exact"/>
        <w:rPr>
          <w:rFonts w:ascii="Times New Roman" w:cs="Times New Roman" w:eastAsia="Times New Roman" w:hAnsi="Times New Roman"/>
          <w:sz w:val="18"/>
          <w:szCs w:val="18"/>
          <w:color w:val="auto"/>
        </w:rPr>
      </w:pPr>
    </w:p>
    <w:p>
      <w:pPr>
        <w:jc w:val="both"/>
        <w:ind w:left="1800" w:right="5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8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on our board of directors will be able to be filled only by our board of directors and not by stockholders;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Chairman of our Board of Directors, our Chief Executive Officer, or a majority of our Board of Directors are authorized to call a special meeting of stockholders;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bylaws will provide that certain litigation against us can only be brought in Delaware;</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our amended and restated certificate of incorporation precludes future issuances without stockholder approval of the authorized but unissued shares of our Class A common stock;</w:t>
      </w:r>
    </w:p>
    <w:p>
      <w:pPr>
        <w:spacing w:after="0" w:line="53"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apply for stockholders to nominate candidates for election as directors or to bring matters before an annual meeting of stockholders.</w:t>
      </w:r>
    </w:p>
    <w:p>
      <w:pPr>
        <w:spacing w:after="0" w:line="94"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will contain exclusive forum provisions for certain claims, which could limit our stockholders’ ability to obtain a favorable judicial forum for disputes with us or our directors, officers, or employees.</w:t>
      </w:r>
    </w:p>
    <w:p>
      <w:pPr>
        <w:spacing w:after="0" w:line="6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that will be in effect upon completion of this offering, to the fullest extent permitted by law, will provide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2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will provide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32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claims brought to enforce any duty or liability created by the Exchange Act or the rules and regulations thereunder and our amended and restated bylaws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21"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rates may reduce our net income.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number of factors can increase our effective tax rates, which could reduce our net income, including:</w:t>
      </w:r>
    </w:p>
    <w:p>
      <w:pPr>
        <w:spacing w:after="0" w:line="117" w:lineRule="exact"/>
        <w:rPr>
          <w:sz w:val="20"/>
          <w:szCs w:val="20"/>
          <w:color w:val="auto"/>
        </w:rPr>
      </w:pPr>
    </w:p>
    <w:p>
      <w:pPr>
        <w:ind w:left="1800" w:right="87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and mix of profits earned and location of assets across jurisdictions with varying tax rates and the associated impacts of legislative actions affecting multi-national enterprises;</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 and in associated deferred tax asset valuation allowance;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income taxes upon finalization of tax returns;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 not deductible for tax purposes, including equity-based compensation or impairments of goodwill;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ability to secure new, or renew existing, tax holidays and incentives;</w:t>
      </w:r>
    </w:p>
    <w:p>
      <w:pPr>
        <w:spacing w:after="0" w:line="117"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Global or regional conditions can adversely affect our business, results of operations, and financial condition.</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and our suppliers have manufacturing, assembly and testing, research and development, sales and other operations in Israel and several other countries, and some of our business activities are concentrated in one or more geographic areas. Moreover, 74% of our total revenue in 2021 was derived outside of the United States, with China, Germany, and the United Kingdom making up 19%, 19%, and 14%,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including those related to the pandemic,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can be adversely affected by other global and regional factors that periodically occur, including:</w:t>
      </w:r>
    </w:p>
    <w:p>
      <w:pPr>
        <w:spacing w:after="0" w:line="104" w:lineRule="exact"/>
        <w:rPr>
          <w:sz w:val="20"/>
          <w:szCs w:val="20"/>
          <w:color w:val="auto"/>
        </w:rPr>
      </w:pPr>
    </w:p>
    <w:p>
      <w:pPr>
        <w:ind w:left="1800" w:right="11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security issues, such as armed conflict and civil or military unrest, political instability, human rights concerns and terrorist activity;</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public health issues (including the COVID-19 pandemic) and other catastrophic events;</w:t>
      </w:r>
    </w:p>
    <w:p>
      <w:pPr>
        <w:spacing w:after="0" w:line="53" w:lineRule="exact"/>
        <w:rPr>
          <w:rFonts w:ascii="Times New Roman" w:cs="Times New Roman" w:eastAsia="Times New Roman" w:hAnsi="Times New Roman"/>
          <w:sz w:val="18"/>
          <w:szCs w:val="18"/>
          <w:color w:val="auto"/>
        </w:rPr>
      </w:pPr>
    </w:p>
    <w:p>
      <w:pPr>
        <w:ind w:left="1800" w:right="7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or informal imposition of new or revised export, import or doing-business regulations, including trade sanctions, tariffs, and changes in the ability to obtain export licenses, which could be changed without notice;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or nationalization of, our operations in any country, or restrictions on our ability to repatriate earnings from a particular country;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relating to government grants, tax credits or other government incentives, including more favorable incentives provided to competitors;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issues;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legal protection of our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current standards and practices;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uncertainty regarding social, political, immigration and tax and trade policies; and</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can adversely affect our business, results of operations, and financial condition.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 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337"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11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are covered by Intel’s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Intel may also discontinue our insurance coverage and we may be unable to find replacement insurance on acceptable terms or at all, or claims by Intel under these policies may exhaust the available policy limits. Losses not covered by insurance may be large,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“anticipate,” “believe,” “estimate,” “expect,” “forecast,” “intend,” “may,” “plan,” “project,” “predict,” “should” and “will” and similar expressions are intended to identify such forward-looking statements.</w:t>
      </w:r>
    </w:p>
    <w:p>
      <w:pPr>
        <w:spacing w:after="0" w:line="11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Forward-looking statements contained in this prospectus include, but are not limited to, statements about:</w:t>
      </w:r>
    </w:p>
    <w:p>
      <w:pPr>
        <w:spacing w:after="0" w:line="54" w:lineRule="exact"/>
        <w:rPr>
          <w:sz w:val="20"/>
          <w:szCs w:val="20"/>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w:t>
      </w:r>
    </w:p>
    <w:p>
      <w:pPr>
        <w:spacing w:after="0" w:line="117"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10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40"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TAM, SAM, estimated vehicle production and market opportunity, potential production volumes associated with design wins and other characterizations of future events or circumstances;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completion of the Reorganization;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responses to and effects of the COVID-19 pandemic;</w:t>
      </w:r>
    </w:p>
    <w:p>
      <w:pPr>
        <w:spacing w:after="0" w:line="103"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 and</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prospectus under “Risk Factors,” “Management’s Discussion and Analysis of Financial Condition and Results of Operations” and “Business.”</w:t>
      </w:r>
    </w:p>
    <w:p>
      <w:pPr>
        <w:spacing w:after="0" w:line="9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adverse changes in general economic or market conditions and other one-time events and other important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ectPr>
          <w:pgSz w:w="11900" w:h="16838" w:orient="portrait"/>
          <w:cols w:equalWidth="0" w:num="1">
            <w:col w:w="9879"/>
          </w:cols>
          <w:pgMar w:left="580" w:top="97" w:right="1440" w:bottom="1440" w:gutter="0" w:footer="0" w:header="0"/>
        </w:sect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16"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These statements are inherently uncertain and investors are cautioned not to unduly rely upon these statements.</w:t>
      </w:r>
    </w:p>
    <w:p>
      <w:pPr>
        <w:spacing w:after="0" w:line="9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99"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INDUSTRY, MARKET, AND OTHER DATA</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and forecasts concerning our industry, including estimates of the TAM and SAM of our current and anticipated future solutions, that are based on industry publications and reports or other publicly available information as well as our internal estimates and expectations. This information involves a number of assumptions and limitations, and is subject to significant uncertainty,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are not aware of any misstatements regarding any market, industry or similar data presented herein, such data involves risks and uncertainties and is subject to change based on various factors, including those discussed under the headings “Cautionary Note Regarding Forward-Looking Statements” and “Risk Factors” in this prospectus.</w:t>
      </w:r>
    </w:p>
    <w:p>
      <w:pPr>
        <w:spacing w:after="0" w:line="120"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source of certain statistical data, estimates, and forecasts contained in this prospectus are the following independent industry publications or reports:</w:t>
      </w:r>
    </w:p>
    <w:p>
      <w:pPr>
        <w:spacing w:after="0" w:line="52"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Automobile Association, </w:t>
      </w:r>
      <w:r>
        <w:rPr>
          <w:rFonts w:ascii="Times New Roman" w:cs="Times New Roman" w:eastAsia="Times New Roman" w:hAnsi="Times New Roman"/>
          <w:sz w:val="18"/>
          <w:szCs w:val="18"/>
          <w:i w:val="1"/>
          <w:iCs w:val="1"/>
          <w:color w:val="auto"/>
        </w:rPr>
        <w:t>Your Driving Costs 2021</w:t>
      </w:r>
      <w:r>
        <w:rPr>
          <w:rFonts w:ascii="Times New Roman" w:cs="Times New Roman" w:eastAsia="Times New Roman" w:hAnsi="Times New Roman"/>
          <w:sz w:val="18"/>
          <w:szCs w:val="18"/>
          <w:color w:val="auto"/>
        </w:rPr>
        <w:t>, dated August 2021.</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IHS Markit, </w:t>
      </w:r>
      <w:r>
        <w:rPr>
          <w:rFonts w:ascii="Times New Roman" w:cs="Times New Roman" w:eastAsia="Times New Roman" w:hAnsi="Times New Roman"/>
          <w:sz w:val="18"/>
          <w:szCs w:val="18"/>
          <w:i w:val="1"/>
          <w:iCs w:val="1"/>
          <w:color w:val="auto"/>
        </w:rPr>
        <w:t>Light Vehicle Production Forecast as of February 1, 2022</w:t>
      </w:r>
      <w:r>
        <w:rPr>
          <w:rFonts w:ascii="Times New Roman" w:cs="Times New Roman" w:eastAsia="Times New Roman" w:hAnsi="Times New Roman"/>
          <w:sz w:val="18"/>
          <w:szCs w:val="18"/>
          <w:color w:val="auto"/>
        </w:rPr>
        <w:t>, dated February 2022.</w:t>
      </w:r>
    </w:p>
    <w:p>
      <w:pPr>
        <w:spacing w:after="0" w:line="119"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National Highway Traffic Safety Administration, </w:t>
      </w:r>
      <w:r>
        <w:rPr>
          <w:rFonts w:ascii="Times New Roman" w:cs="Times New Roman" w:eastAsia="Times New Roman" w:hAnsi="Times New Roman"/>
          <w:sz w:val="18"/>
          <w:szCs w:val="18"/>
          <w:i w:val="1"/>
          <w:iCs w:val="1"/>
          <w:color w:val="auto"/>
        </w:rPr>
        <w:t>Automated Vehicles for Safety: The Road to Full Automation</w:t>
      </w:r>
      <w:r>
        <w:rPr>
          <w:rFonts w:ascii="Times New Roman" w:cs="Times New Roman" w:eastAsia="Times New Roman" w:hAnsi="Times New Roman"/>
          <w:sz w:val="18"/>
          <w:szCs w:val="18"/>
          <w:color w:val="auto"/>
        </w:rPr>
        <w:t>, dated 2022.</w:t>
      </w:r>
    </w:p>
    <w:p>
      <w:pPr>
        <w:spacing w:after="0" w:line="51" w:lineRule="exact"/>
        <w:rPr>
          <w:rFonts w:ascii="Times New Roman" w:cs="Times New Roman" w:eastAsia="Times New Roman" w:hAnsi="Times New Roman"/>
          <w:sz w:val="18"/>
          <w:szCs w:val="18"/>
          <w:color w:val="auto"/>
        </w:rPr>
      </w:pPr>
    </w:p>
    <w:p>
      <w:pPr>
        <w:ind w:left="1800" w:right="739" w:hanging="180"/>
        <w:spacing w:after="0" w:line="284"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United States Department of Transportation, Volpe National Transportation Systems Center, </w:t>
      </w:r>
      <w:r>
        <w:rPr>
          <w:rFonts w:ascii="Times New Roman" w:cs="Times New Roman" w:eastAsia="Times New Roman" w:hAnsi="Times New Roman"/>
          <w:sz w:val="18"/>
          <w:szCs w:val="18"/>
          <w:i w:val="1"/>
          <w:iCs w:val="1"/>
          <w:color w:val="auto"/>
        </w:rPr>
        <w:t>How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Much Time Do Americans Spend Behind the Wheel?</w:t>
      </w:r>
      <w:r>
        <w:rPr>
          <w:rFonts w:ascii="Times New Roman" w:cs="Times New Roman" w:eastAsia="Times New Roman" w:hAnsi="Times New Roman"/>
          <w:sz w:val="18"/>
          <w:szCs w:val="18"/>
          <w:color w:val="auto"/>
        </w:rPr>
        <w:t>, dated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We expect to receive net proceeds from this offering of approximately $            million (or approximately $            million if the underwriters exercise their option to purchase additional shares of our Class A common stock in full), after deducting underwriting discounts and commissions and estimated offering expenses payable by us, based on an assumed initial public offering price of $            per share of Class A common stock (the midpoint of the price range set forth on the cover of this prospectus).</w:t>
      </w:r>
    </w:p>
    <w:p>
      <w:pPr>
        <w:spacing w:after="0" w:line="11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that we receive from this offering to repay $            of indebtedness under the Dividend Note and use the remaining $            (or $            if the underwriters exercise their option to purchase additional shares of our Class A common stock in full) for working capital and general corporate purposes. The Dividend Note is scheduled to mature on                     and will accrue interest at a rate equal to        % per annum. The Dividend Note is being issued in connection with our Reorganization, as described under “Prospectus Summary — Reorganization.”</w:t>
      </w:r>
    </w:p>
    <w:p>
      <w:pPr>
        <w:spacing w:after="0" w:line="106" w:lineRule="exact"/>
        <w:rPr>
          <w:sz w:val="20"/>
          <w:szCs w:val="20"/>
          <w:color w:val="auto"/>
        </w:rPr>
      </w:pPr>
    </w:p>
    <w:p>
      <w:pPr>
        <w:ind w:left="1260" w:right="979" w:firstLine="360"/>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per share would increase (decrease) the estimated net proceeds to us by approximately $            million (or approximately</w:t>
      </w: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the net proceeds to us from this offering by approximately $            million, assuming that the assumed initial public offering price remains the same, and after deducting the underwriting discounts and commissions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intend to retain any future earnings and do not anticipate declaring or paying any cash dividends in the foreseeable future. See “Risk Factors — Risks Related to the Offering and Our Class A Common Stock — We do not expect to pay dividends in the foreseeable future.”</w:t>
      </w:r>
    </w:p>
    <w:p>
      <w:pPr>
        <w:spacing w:after="0" w:line="10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contained in certain of our subsidiaries’ credit facilities, and such other factors as our board of directors may deem relevant.</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1260" w:right="168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December 25, 2021:</w:t>
      </w:r>
    </w:p>
    <w:p>
      <w:pPr>
        <w:spacing w:after="0" w:line="54"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800" w:right="1400"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the transactions described in the section titled “Unaudited Pro Forma Condensed Combined Financial Information” other than this offering and the use of estimated net proceeds from this offering; and</w:t>
      </w:r>
    </w:p>
    <w:p>
      <w:pPr>
        <w:spacing w:after="0" w:line="67" w:lineRule="exact"/>
        <w:rPr>
          <w:rFonts w:ascii="Times New Roman" w:cs="Times New Roman" w:eastAsia="Times New Roman" w:hAnsi="Times New Roman"/>
          <w:sz w:val="18"/>
          <w:szCs w:val="18"/>
          <w:color w:val="auto"/>
        </w:rPr>
      </w:pPr>
    </w:p>
    <w:p>
      <w:pPr>
        <w:ind w:left="1800" w:right="1380" w:hanging="180"/>
        <w:spacing w:after="0" w:line="266"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the transactions described in the section titled “Unaudited Pro Forma Condensed Combined Financial Information” including this offering and the use of the estimated net proceeds from this offering.</w:t>
      </w:r>
    </w:p>
    <w:p>
      <w:pPr>
        <w:spacing w:after="0" w:line="108" w:lineRule="exact"/>
        <w:rPr>
          <w:sz w:val="20"/>
          <w:szCs w:val="20"/>
          <w:color w:val="auto"/>
        </w:rPr>
      </w:pPr>
    </w:p>
    <w:p>
      <w:pPr>
        <w:ind w:left="1260" w:right="1260" w:firstLine="360"/>
        <w:spacing w:after="0" w:line="254" w:lineRule="auto"/>
        <w:rPr>
          <w:sz w:val="20"/>
          <w:szCs w:val="20"/>
          <w:color w:val="auto"/>
        </w:rPr>
      </w:pPr>
      <w:r>
        <w:rPr>
          <w:rFonts w:ascii="Times New Roman" w:cs="Times New Roman" w:eastAsia="Times New Roman" w:hAnsi="Times New Roman"/>
          <w:sz w:val="18"/>
          <w:szCs w:val="18"/>
          <w:color w:val="auto"/>
        </w:rPr>
        <w:t>The information below is not necessarily indicative of what our cash and cash equivalents and capitalization would have been had the pro forma adjustments described in the section titled “Unaudited Pro Forma Condensed Combined Financial Information” been completed as of December 25, 2021. In addition, it is not indicative of our future cash and cash equivalents and capitalization. The pro forma as adjusted information set forth in the following table is illustrative only and will be adjusted based on the actual initial public offering price and other terms of this offering determined at pricing. The table is derived from and should be read together with the sections of this prospectus entitled “Use of Proceeds,” “Management’s Discussion and Analysis of Financial Condition and Results of Operations,” “Unaudited Pro Forma Condensed Combined Financial Information,” and our historical combined financial statements and accompanying notes included elsewhere in this prospectus.</w:t>
      </w:r>
    </w:p>
    <w:p>
      <w:pPr>
        <w:spacing w:after="0" w:line="344"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 ​</w:t>
            </w:r>
          </w:p>
        </w:tc>
        <w:tc>
          <w:tcPr>
            <w:tcW w:w="2940" w:type="dxa"/>
            <w:vAlign w:val="bottom"/>
            <w:tcBorders>
              <w:bottom w:val="single" w:sz="8" w:color="auto"/>
            </w:tcBorders>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As of December 25, 2021</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5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 Forma As</w:t>
            </w:r>
          </w:p>
        </w:tc>
        <w:tc>
          <w:tcPr>
            <w:tcW w:w="40" w:type="dxa"/>
            <w:vAlign w:val="bottom"/>
          </w:tcPr>
          <w:p>
            <w:pPr>
              <w:spacing w:after="0"/>
              <w:rPr>
                <w:sz w:val="14"/>
                <w:szCs w:val="14"/>
                <w:color w:val="auto"/>
              </w:rPr>
            </w:pPr>
          </w:p>
        </w:tc>
      </w:tr>
      <w:tr>
        <w:trPr>
          <w:trHeight w:val="214"/>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580"/>
              <w:spacing w:after="0"/>
              <w:rPr>
                <w:sz w:val="20"/>
                <w:szCs w:val="20"/>
                <w:color w:val="auto"/>
              </w:rPr>
            </w:pPr>
            <w:r>
              <w:rPr>
                <w:rFonts w:ascii="Times New Roman" w:cs="Times New Roman" w:eastAsia="Times New Roman" w:hAnsi="Times New Roman"/>
                <w:sz w:val="14"/>
                <w:szCs w:val="14"/>
                <w:b w:val="1"/>
                <w:bCs w:val="1"/>
                <w:color w:val="auto"/>
              </w:rPr>
              <w:t>​ ​</w:t>
            </w:r>
          </w:p>
        </w:tc>
        <w:tc>
          <w:tcPr>
            <w:tcW w:w="1980" w:type="dxa"/>
            <w:vAlign w:val="bottom"/>
            <w:tcBorders>
              <w:bottom w:val="single" w:sz="8" w:color="auto"/>
            </w:tcBorders>
          </w:tcPr>
          <w:p>
            <w:pPr>
              <w:ind w:left="1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Actual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Pro Forma  </w:t>
            </w:r>
            <w:r>
              <w:rPr>
                <w:rFonts w:ascii="Times New Roman" w:cs="Times New Roman" w:eastAsia="Times New Roman" w:hAnsi="Times New Roman"/>
                <w:sz w:val="24"/>
                <w:szCs w:val="24"/>
                <w:b w:val="1"/>
                <w:bCs w:val="1"/>
                <w:color w:val="auto"/>
                <w:vertAlign w:val="subscript"/>
              </w:rPr>
              <w:t>​ ​</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9"/>
        </w:trPr>
        <w:tc>
          <w:tcPr>
            <w:tcW w:w="2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 ​</w:t>
            </w:r>
          </w:p>
        </w:tc>
        <w:tc>
          <w:tcPr>
            <w:tcW w:w="2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14"/>
                <w:szCs w:val="14"/>
                <w:b w:val="1"/>
                <w:bCs w:val="1"/>
                <w:color w:val="auto"/>
                <w:w w:val="98"/>
              </w:rPr>
              <w:t xml:space="preserve">(in millions, except share and per share numbers) </w:t>
            </w:r>
            <w:r>
              <w:rPr>
                <w:rFonts w:ascii="Times New Roman" w:cs="Times New Roman" w:eastAsia="Times New Roman" w:hAnsi="Times New Roman"/>
                <w:sz w:val="28"/>
                <w:szCs w:val="28"/>
                <w:b w:val="1"/>
                <w:bCs w:val="1"/>
                <w:color w:val="auto"/>
                <w:w w:val="98"/>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-189230</wp:posOffset>
            </wp:positionV>
            <wp:extent cx="137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-189230</wp:posOffset>
            </wp:positionV>
            <wp:extent cx="137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Dividend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9861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2080" cy="986155"/>
                    </a:xfrm>
                    <a:prstGeom prst="rect">
                      <a:avLst/>
                    </a:prstGeom>
                    <a:noFill/>
                  </pic:spPr>
                </pic:pic>
              </a:graphicData>
            </a:graphic>
          </wp:anchor>
        </w:drawing>
      </w:r>
    </w:p>
    <w:p>
      <w:pPr>
        <w:spacing w:after="0" w:line="16" w:lineRule="exact"/>
        <w:rPr>
          <w:sz w:val="20"/>
          <w:szCs w:val="20"/>
          <w:color w:val="auto"/>
        </w:rPr>
      </w:pPr>
    </w:p>
    <w:p>
      <w:pPr>
        <w:ind w:left="1440" w:hanging="179"/>
        <w:spacing w:after="0" w:line="255" w:lineRule="auto"/>
        <w:rPr>
          <w:sz w:val="20"/>
          <w:szCs w:val="20"/>
          <w:color w:val="auto"/>
        </w:rPr>
      </w:pPr>
      <w:r>
        <w:rPr>
          <w:rFonts w:ascii="Times New Roman" w:cs="Times New Roman" w:eastAsia="Times New Roman" w:hAnsi="Times New Roman"/>
          <w:sz w:val="18"/>
          <w:szCs w:val="18"/>
          <w:color w:val="auto"/>
        </w:rPr>
        <w:t>Class A common stock, par value $0.01 per share;           ,           , and             shares of Class A common stock authorized, actual, pro forma, and pro forma as adjusted, respectively; no shares of Class A common stock issued and outstanding, actual,</w:t>
      </w:r>
    </w:p>
    <w:p>
      <w:pPr>
        <w:spacing w:after="0" w:line="3" w:lineRule="exact"/>
        <w:rPr>
          <w:sz w:val="20"/>
          <w:szCs w:val="20"/>
          <w:color w:val="auto"/>
        </w:rPr>
      </w:pPr>
    </w:p>
    <w:p>
      <w:pPr>
        <w:jc w:val="both"/>
        <w:ind w:left="1440" w:right="60"/>
        <w:spacing w:after="0" w:line="255" w:lineRule="auto"/>
        <w:tabs>
          <w:tab w:leader="none" w:pos="15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issued and outstanding, pro forma, and             shares of Class A common stock issued and outstanding, pro forma as adjusted</w:t>
      </w:r>
    </w:p>
    <w:p>
      <w:pPr>
        <w:spacing w:after="0" w:line="10" w:lineRule="exact"/>
        <w:rPr>
          <w:sz w:val="20"/>
          <w:szCs w:val="20"/>
          <w:color w:val="auto"/>
        </w:rPr>
      </w:pPr>
    </w:p>
    <w:p>
      <w:pPr>
        <w:jc w:val="both"/>
        <w:ind w:left="1440" w:hanging="179"/>
        <w:spacing w:after="0" w:line="255" w:lineRule="auto"/>
        <w:rPr>
          <w:sz w:val="20"/>
          <w:szCs w:val="20"/>
          <w:color w:val="auto"/>
        </w:rPr>
      </w:pPr>
      <w:r>
        <w:rPr>
          <w:rFonts w:ascii="Times New Roman" w:cs="Times New Roman" w:eastAsia="Times New Roman" w:hAnsi="Times New Roman"/>
          <w:sz w:val="18"/>
          <w:szCs w:val="18"/>
          <w:color w:val="auto"/>
        </w:rPr>
        <w:t>Class B common stock, par value $0.01 per share;           ,           , and             shares of Class B common stock authorized, actual, pro forma, and pro forma as adjusted, respectively; no shares of Class B common stock issued and outstanding, actual,</w:t>
      </w:r>
    </w:p>
    <w:p>
      <w:pPr>
        <w:spacing w:after="0" w:line="3" w:lineRule="exact"/>
        <w:rPr>
          <w:sz w:val="20"/>
          <w:szCs w:val="20"/>
          <w:color w:val="auto"/>
        </w:rPr>
      </w:pPr>
    </w:p>
    <w:p>
      <w:pPr>
        <w:jc w:val="both"/>
        <w:ind w:left="1440" w:right="80"/>
        <w:spacing w:after="0" w:line="255" w:lineRule="auto"/>
        <w:tabs>
          <w:tab w:leader="none" w:pos="153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B common stock issued and outstanding, pro forma, and             shares of Class B common stock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33858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420" w:type="dxa"/>
            <w:vAlign w:val="bottom"/>
            <w:gridSpan w:val="2"/>
          </w:tcPr>
          <w:p>
            <w:pPr>
              <w:spacing w:after="0" w:line="207"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4"/>
                <w:szCs w:val="24"/>
                <w:color w:val="auto"/>
                <w:vertAlign w:val="superscript"/>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line="207"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580" w:val="left"/>
          <w:tab w:leader="none" w:pos="1760" w:val="left"/>
          <w:tab w:leader="none" w:pos="2240" w:val="left"/>
          <w:tab w:leader="none" w:pos="2880" w:val="left"/>
        </w:tabs>
        <w:rPr>
          <w:sz w:val="20"/>
          <w:szCs w:val="20"/>
          <w:color w:val="auto"/>
        </w:rPr>
      </w:pPr>
      <w:r>
        <w:rPr>
          <w:rFonts w:ascii="Times New Roman" w:cs="Times New Roman" w:eastAsia="Times New Roman" w:hAnsi="Times New Roman"/>
          <w:sz w:val="18"/>
          <w:szCs w:val="18"/>
          <w:color w:val="auto"/>
        </w:rPr>
        <w:t>​ ​ ​ ​</w:t>
        <w:tab/>
        <w:t>— ​​ ​ ​ ​</w:t>
      </w:r>
      <w:r>
        <w:rPr>
          <w:sz w:val="20"/>
          <w:szCs w:val="20"/>
          <w:color w:val="auto"/>
        </w:rPr>
        <w:tab/>
      </w:r>
      <w:r>
        <w:rPr>
          <w:rFonts w:ascii="Times New Roman" w:cs="Times New Roman" w:eastAsia="Times New Roman" w:hAnsi="Times New Roman"/>
          <w:sz w:val="18"/>
          <w:szCs w:val="18"/>
          <w:color w:val="auto"/>
        </w:rPr>
        <w:t>​ ​​ ​</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108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color w:val="auto"/>
              </w:rPr>
              <w:t>— ​​ ​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6"/>
        </w:trPr>
        <w:tc>
          <w:tcPr>
            <w:tcW w:w="460" w:type="dxa"/>
            <w:vAlign w:val="bottom"/>
            <w:gridSpan w:val="2"/>
          </w:tcPr>
          <w:p>
            <w:pPr>
              <w:spacing w:after="0" w:line="24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760" w:type="dxa"/>
            <w:vAlign w:val="bottom"/>
            <w:gridSpan w:val="4"/>
          </w:tcPr>
          <w:p>
            <w:pPr>
              <w:jc w:val="right"/>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 ​</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line="24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1836420</wp:posOffset>
            </wp:positionH>
            <wp:positionV relativeFrom="paragraph">
              <wp:posOffset>1270</wp:posOffset>
            </wp:positionV>
            <wp:extent cx="111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1133475</wp:posOffset>
            </wp:positionH>
            <wp:positionV relativeFrom="paragraph">
              <wp:posOffset>1270</wp:posOffset>
            </wp:positionV>
            <wp:extent cx="3003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1270</wp:posOffset>
            </wp:positionV>
            <wp:extent cx="231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260" w:space="140"/>
            <w:col w:w="4320"/>
          </w:cols>
          <w:pgMar w:left="580" w:top="97" w:right="5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26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260" w:type="dxa"/>
            <w:vAlign w:val="bottom"/>
          </w:tcPr>
          <w:p>
            <w:pPr>
              <w:spacing w:after="0"/>
              <w:rPr>
                <w:sz w:val="21"/>
                <w:szCs w:val="21"/>
                <w:color w:val="auto"/>
              </w:rPr>
            </w:pPr>
          </w:p>
        </w:tc>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218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3"/>
            <w:shd w:val="clear" w:color="auto" w:fill="CCEEFF"/>
          </w:tcPr>
          <w:p>
            <w:pPr>
              <w:ind w:left="60"/>
              <w:spacing w:after="0" w:line="245"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xml:space="preserve"> ​15,889 </w:t>
            </w:r>
            <w:r>
              <w:rPr>
                <w:rFonts w:ascii="Times New Roman" w:cs="Times New Roman" w:eastAsia="Times New Roman" w:hAnsi="Times New Roman"/>
                <w:sz w:val="28"/>
                <w:szCs w:val="28"/>
                <w:color w:val="auto"/>
                <w:vertAlign w:val="subscript"/>
              </w:rPr>
              <w:t>​​ ​</w:t>
            </w:r>
          </w:p>
        </w:tc>
        <w:tc>
          <w:tcPr>
            <w:tcW w:w="62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80" w:type="dxa"/>
            <w:vAlign w:val="bottom"/>
            <w:shd w:val="clear" w:color="auto" w:fill="CCEEFF"/>
          </w:tcPr>
          <w:p>
            <w:pPr>
              <w:jc w:val="right"/>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2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capitalization</w:t>
            </w:r>
          </w:p>
        </w:tc>
        <w:tc>
          <w:tcPr>
            <w:tcW w:w="2180" w:type="dxa"/>
            <w:vAlign w:val="bottom"/>
          </w:tcPr>
          <w:p>
            <w:pPr>
              <w:spacing w:after="0"/>
              <w:rPr>
                <w:sz w:val="22"/>
                <w:szCs w:val="22"/>
                <w:color w:val="auto"/>
              </w:rPr>
            </w:pPr>
          </w:p>
        </w:tc>
        <w:tc>
          <w:tcPr>
            <w:tcW w:w="122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16,505 </w:t>
            </w:r>
            <w:r>
              <w:rPr>
                <w:rFonts w:ascii="Times New Roman" w:cs="Times New Roman" w:eastAsia="Times New Roman" w:hAnsi="Times New Roman"/>
                <w:sz w:val="28"/>
                <w:szCs w:val="28"/>
                <w:color w:val="auto"/>
                <w:vertAlign w:val="subscript"/>
              </w:rPr>
              <w:t>​​ ​</w:t>
            </w:r>
          </w:p>
        </w:tc>
        <w:tc>
          <w:tcPr>
            <w:tcW w:w="62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8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Times New Roman" w:cs="Times New Roman" w:eastAsia="Times New Roman" w:hAnsi="Times New Roman"/>
          <w:sz w:val="18"/>
          <w:szCs w:val="18"/>
          <w:color w:val="auto"/>
        </w:rPr>
        <w:t>If you invest in shares of our Class A common stock in this offering, you will experience immediate and substantial dilution in the net tangible book value per share of our Class A common stock upon the completion of this offering. Dilution results from the fact that the per share offering price of the shares of our Class A common stock is substantially in excess of the pro forma net tangible book value per share after this offering.</w:t>
      </w:r>
    </w:p>
    <w:p>
      <w:pPr>
        <w:spacing w:after="0" w:line="331"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Our net tangible book value as of December 25, 2021 was $1,923 million, or $            per share of Class A common stock. Net tangible book value represents total tangible assets less total liabilities. Tangible assets represent total assets excluding goodwill and other intangible assets. Net tangible book value per share represents net tangible book value divided by the aggregate number of shares of common stock outstanding immediately prior to this offering.</w:t>
      </w:r>
    </w:p>
    <w:p>
      <w:pPr>
        <w:spacing w:after="0" w:line="105"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After giving effect to the pro forma adjustments described in the section titled “Unaudited Pro Forma Condensed Combined Financial Information”, our pro forma net tangible book value as of December 25, 2021 would have been approximately $            million, or approximately $            per share of Class A common stock. After giving effect to these pro forma adjustments, including the sale of                     shares of our Class A common stock in this offering (assuming the underwriters do not exercise the option to purchase additional shares of our Class A common stock) at an assumed initial public offering price of</w:t>
      </w:r>
    </w:p>
    <w:p>
      <w:pPr>
        <w:spacing w:after="0" w:line="4" w:lineRule="exact"/>
        <w:rPr>
          <w:sz w:val="20"/>
          <w:szCs w:val="20"/>
          <w:color w:val="auto"/>
        </w:rPr>
      </w:pPr>
    </w:p>
    <w:p>
      <w:pPr>
        <w:ind w:left="1260" w:right="499"/>
        <w:spacing w:after="0" w:line="262" w:lineRule="auto"/>
        <w:rPr>
          <w:sz w:val="20"/>
          <w:szCs w:val="20"/>
          <w:color w:val="auto"/>
        </w:rPr>
      </w:pPr>
      <w:r>
        <w:rPr>
          <w:rFonts w:ascii="Times New Roman" w:cs="Times New Roman" w:eastAsia="Times New Roman" w:hAnsi="Times New Roman"/>
          <w:sz w:val="18"/>
          <w:szCs w:val="18"/>
          <w:color w:val="auto"/>
        </w:rPr>
        <w:t>$            per share of Class A common stock (the midpoint of the price range set forth on the cover page of this prospectus), and after deducting the underwriting discounts and commissions and estimated offering expenses payable by us, and the application of such net proceeds as described under “Use of Proceeds,” our pro forma as adjusted net tangible book value as of December 25, 2021 would have been approximately</w:t>
      </w:r>
    </w:p>
    <w:p>
      <w:pPr>
        <w:spacing w:after="0" w:line="1" w:lineRule="exact"/>
        <w:rPr>
          <w:sz w:val="20"/>
          <w:szCs w:val="20"/>
          <w:color w:val="auto"/>
        </w:rPr>
      </w:pPr>
    </w:p>
    <w:p>
      <w:pPr>
        <w:ind w:left="1260" w:right="999"/>
        <w:spacing w:after="0" w:line="264" w:lineRule="auto"/>
        <w:rPr>
          <w:sz w:val="20"/>
          <w:szCs w:val="20"/>
          <w:color w:val="auto"/>
        </w:rPr>
      </w:pPr>
      <w:r>
        <w:rPr>
          <w:rFonts w:ascii="Times New Roman" w:cs="Times New Roman" w:eastAsia="Times New Roman" w:hAnsi="Times New Roman"/>
          <w:sz w:val="18"/>
          <w:szCs w:val="18"/>
          <w:color w:val="auto"/>
        </w:rPr>
        <w:t>$            million, or approximately $            per share of Class A common stock. This represents an immediate increase in pro forma as adjusted net tangible book value of $            per share of Class A common stock to our existing stockholder and an immediate dilution (i.e., the difference between the offering price and the pro forma as adjusted net tangible book value after this offering) to investors participating in this offering of $            per share of Class A common stock.</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illustrates the per share dilution to investors participating in this offering:</w:t>
      </w:r>
    </w:p>
    <w:p>
      <w:pPr>
        <w:spacing w:after="0" w:line="19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8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4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Net tangible book deficit per share as of December 25, 2021</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30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the pro forma</w:t>
            </w:r>
          </w:p>
        </w:tc>
        <w:tc>
          <w:tcPr>
            <w:tcW w:w="30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adjustments referred to above</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4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Pro forma net tangible book value per share before completion of this offering</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8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w:t>
            </w:r>
          </w:p>
        </w:tc>
        <w:tc>
          <w:tcPr>
            <w:tcW w:w="300" w:type="dxa"/>
            <w:vAlign w:val="bottom"/>
            <w:tcBorders>
              <w:right w:val="single" w:sz="8" w:color="CCEEFF"/>
            </w:tcBorders>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investors participating in this offering and the use of the net proceeds from this</w:t>
            </w:r>
          </w:p>
        </w:tc>
        <w:tc>
          <w:tcPr>
            <w:tcW w:w="30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offering</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w:t>
            </w:r>
          </w:p>
        </w:tc>
        <w:tc>
          <w:tcPr>
            <w:tcW w:w="4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Pro forma as adjusted net tangible book value per share</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18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6480" w:type="dxa"/>
            <w:vAlign w:val="bottom"/>
            <w:tcBorders>
              <w:top w:val="single" w:sz="8" w:color="CCEEFF"/>
            </w:tcBorders>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Dilution in pro forma as adjusted net tangible book value per share to investors</w:t>
            </w: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participating in this offering</w:t>
            </w:r>
            <w:r>
              <w:rPr>
                <w:rFonts w:ascii="Times New Roman" w:cs="Times New Roman" w:eastAsia="Times New Roman" w:hAnsi="Times New Roman"/>
                <w:sz w:val="23"/>
                <w:szCs w:val="23"/>
                <w:color w:val="auto"/>
                <w:vertAlign w:val="superscript"/>
              </w:rPr>
              <w:t>(1)</w:t>
            </w:r>
          </w:p>
        </w:tc>
        <w:tc>
          <w:tcPr>
            <w:tcW w:w="30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4"/>
            <w:shd w:val="clear" w:color="auto" w:fill="CCEEFF"/>
          </w:tcPr>
          <w:p>
            <w:pPr>
              <w:spacing w:after="0" w:line="278"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perscript"/>
              </w:rPr>
              <w:t>$</w:t>
            </w:r>
          </w:p>
        </w:tc>
        <w:tc>
          <w:tcPr>
            <w:tcW w:w="4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2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-436245</wp:posOffset>
            </wp:positionV>
            <wp:extent cx="48088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08855" cy="8255"/>
                    </a:xfrm>
                    <a:prstGeom prst="rect">
                      <a:avLst/>
                    </a:prstGeom>
                    <a:noFill/>
                  </pic:spPr>
                </pic:pic>
              </a:graphicData>
            </a:graphic>
          </wp:anchor>
        </w:drawing>
      </w:r>
    </w:p>
    <w:p>
      <w:pPr>
        <w:spacing w:after="0" w:line="124" w:lineRule="exact"/>
        <w:rPr>
          <w:sz w:val="20"/>
          <w:szCs w:val="20"/>
          <w:color w:val="auto"/>
        </w:rPr>
      </w:pPr>
    </w:p>
    <w:p>
      <w:pPr>
        <w:ind w:left="1620" w:right="519" w:hanging="360"/>
        <w:spacing w:after="0" w:line="282"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is determined by subtracting pro forma as adjusted net tangible book value per share from the initial public offering price paid by an investor participating in this offering.</w:t>
      </w:r>
    </w:p>
    <w:p>
      <w:pPr>
        <w:spacing w:after="0" w:line="94"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December 25, 2021, the total number of shares of common stock owned by our existing stockholder and to be owned by the investors participating in this offering, the total consideration paid and the average price per share paid by our existing stockholder and to be paid by the investors participating in this offering at $            per share of Class A common stock, the midpoint of the price range set forth on the cover page of this prospectus, calculated before deducting discounts and commissions and estimated offering expenses:</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Total Consideration</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080" w:type="dxa"/>
            <w:vAlign w:val="bottom"/>
          </w:tcPr>
          <w:p>
            <w:pPr>
              <w:jc w:val="center"/>
              <w:ind w:left="107"/>
              <w:spacing w:after="0"/>
              <w:rPr>
                <w:sz w:val="20"/>
                <w:szCs w:val="20"/>
                <w:color w:val="auto"/>
              </w:rPr>
            </w:pPr>
            <w:r>
              <w:rPr>
                <w:rFonts w:ascii="Times New Roman" w:cs="Times New Roman" w:eastAsia="Times New Roman" w:hAnsi="Times New Roman"/>
                <w:sz w:val="14"/>
                <w:szCs w:val="14"/>
                <w:b w:val="1"/>
                <w:bCs w:val="1"/>
                <w:color w:val="auto"/>
                <w:w w:val="97"/>
              </w:rPr>
              <w:t>Average Price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16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8"/>
              </w:rPr>
              <w:t>per Shares of Class A</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3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Number </w:t>
            </w:r>
            <w:r>
              <w:rPr>
                <w:rFonts w:ascii="Times New Roman" w:cs="Times New Roman" w:eastAsia="Times New Roman" w:hAnsi="Times New Roman"/>
                <w:sz w:val="26"/>
                <w:szCs w:val="26"/>
                <w:b w:val="1"/>
                <w:bCs w:val="1"/>
                <w:color w:val="auto"/>
                <w:vertAlign w:val="subscript"/>
              </w:rPr>
              <w:t>​</w:t>
            </w:r>
          </w:p>
        </w:tc>
        <w:tc>
          <w:tcPr>
            <w:tcW w:w="90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6"/>
                <w:szCs w:val="26"/>
                <w:b w:val="1"/>
                <w:bCs w:val="1"/>
                <w:color w:val="auto"/>
                <w:vertAlign w:val="subscript"/>
              </w:rPr>
              <w:t>​</w:t>
            </w:r>
          </w:p>
        </w:tc>
        <w:tc>
          <w:tcPr>
            <w:tcW w:w="66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Amount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4"/>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Percentage </w:t>
            </w:r>
            <w:r>
              <w:rPr>
                <w:rFonts w:ascii="Times New Roman" w:cs="Times New Roman" w:eastAsia="Times New Roman" w:hAnsi="Times New Roman"/>
                <w:sz w:val="26"/>
                <w:szCs w:val="26"/>
                <w:b w:val="1"/>
                <w:bCs w:val="1"/>
                <w:color w:val="auto"/>
                <w:vertAlign w:val="sub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Our existing stockholder</w:t>
            </w:r>
          </w:p>
        </w:tc>
        <w:tc>
          <w:tcPr>
            <w:tcW w:w="38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8"/>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107"/>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Borders>
              <w:right w:val="single" w:sz="8" w:color="CCEEFF"/>
            </w:tcBorders>
            <w:shd w:val="clear" w:color="auto" w:fill="CCEEFF"/>
          </w:tcPr>
          <w:p>
            <w:pPr>
              <w:spacing w:after="0"/>
              <w:rPr>
                <w:sz w:val="17"/>
                <w:szCs w:val="17"/>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380" w:type="dxa"/>
            <w:vAlign w:val="bottom"/>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00" w:type="dxa"/>
            <w:vAlign w:val="bottom"/>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40" w:type="dxa"/>
            <w:vAlign w:val="bottom"/>
            <w:gridSpan w:val="2"/>
            <w:shd w:val="clear" w:color="auto" w:fill="CCEEFF"/>
          </w:tcPr>
          <w:p>
            <w:pPr>
              <w:jc w:val="right"/>
              <w:ind w:right="31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w:t>
            </w:r>
          </w:p>
        </w:tc>
        <w:tc>
          <w:tcPr>
            <w:tcW w:w="440" w:type="dxa"/>
            <w:vAlign w:val="bottom"/>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640" w:type="dxa"/>
            <w:vAlign w:val="bottom"/>
            <w:gridSpan w:val="2"/>
            <w:shd w:val="clear" w:color="auto" w:fill="CCEEFF"/>
          </w:tcPr>
          <w:p>
            <w:pPr>
              <w:jc w:val="right"/>
              <w:ind w:right="31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26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shd w:val="clear" w:color="auto" w:fill="CCEEFF"/>
          </w:tcPr>
          <w:p>
            <w:pPr>
              <w:spacing w:after="0"/>
              <w:rPr>
                <w:sz w:val="4"/>
                <w:szCs w:val="4"/>
                <w:color w:val="auto"/>
              </w:rPr>
            </w:pPr>
          </w:p>
        </w:tc>
        <w:tc>
          <w:tcPr>
            <w:tcW w:w="1080" w:type="dxa"/>
            <w:vAlign w:val="bottom"/>
            <w:shd w:val="clear" w:color="auto" w:fill="CCEEFF"/>
          </w:tcPr>
          <w:p>
            <w:pPr>
              <w:ind w:left="200"/>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tcBorders>
              <w:right w:val="single" w:sz="8" w:color="CCEEFF"/>
            </w:tcBorders>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Investors participating in this offering</w:t>
            </w:r>
          </w:p>
        </w:tc>
        <w:tc>
          <w:tcPr>
            <w:tcW w:w="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-496570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3980180</wp:posOffset>
            </wp:positionH>
            <wp:positionV relativeFrom="paragraph">
              <wp:posOffset>-496570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27514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-496570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jc w:val="both"/>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which is the midpoint of the price range set forth on the cover page of this prospectus, would increase (decrease) our pro forma as adjusted net tangible book value as of December 25, 2021 by approximately $            million, our pro forma as adjusted net tangible book value per share by $            per share and the dilution in</w:t>
      </w:r>
    </w:p>
    <w:p>
      <w:pPr>
        <w:spacing w:after="0" w:line="3" w:lineRule="exact"/>
        <w:rPr>
          <w:sz w:val="20"/>
          <w:szCs w:val="20"/>
          <w:color w:val="auto"/>
        </w:rPr>
      </w:pPr>
    </w:p>
    <w:p>
      <w:pPr>
        <w:ind w:left="1260" w:right="619"/>
        <w:spacing w:after="0" w:line="255" w:lineRule="auto"/>
        <w:rPr>
          <w:sz w:val="20"/>
          <w:szCs w:val="20"/>
          <w:color w:val="auto"/>
        </w:rPr>
      </w:pPr>
      <w:r>
        <w:rPr>
          <w:rFonts w:ascii="Times New Roman" w:cs="Times New Roman" w:eastAsia="Times New Roman" w:hAnsi="Times New Roman"/>
          <w:sz w:val="18"/>
          <w:szCs w:val="18"/>
          <w:color w:val="auto"/>
        </w:rPr>
        <w:t>pro forma as adjusted net tangible book value per share to new investors in this offering by $            per share, assuming the number of shares offered by us, as set forth on the cover page of this prospectus, remains the same, and after deducting the estimated underwriting discounts and commissions and offering expenses.</w:t>
      </w:r>
    </w:p>
    <w:p>
      <w:pPr>
        <w:spacing w:after="0" w:line="334"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A 1.0 million share increase (decrease) in the number of shares of Class A common stock offered by us would increase (decrease), as applicable, our pro forma as adjusted net tangible book value as of December 25, 2021 by approximately $      million, our pro forma as adjusted net tangible book value per share by $      per share and the dilution in pro forma as adjusted net tangible book value per share to new investors in this offering by $      per share, assuming that the assumed initial public offering price of $     </w:t>
      </w:r>
    </w:p>
    <w:p>
      <w:pPr>
        <w:spacing w:after="0" w:line="3" w:lineRule="exact"/>
        <w:rPr>
          <w:sz w:val="20"/>
          <w:szCs w:val="20"/>
          <w:color w:val="auto"/>
        </w:rPr>
      </w:pPr>
    </w:p>
    <w:p>
      <w:pPr>
        <w:ind w:left="1260" w:right="479"/>
        <w:spacing w:after="0" w:line="260" w:lineRule="auto"/>
        <w:rPr>
          <w:sz w:val="20"/>
          <w:szCs w:val="20"/>
          <w:color w:val="auto"/>
        </w:rPr>
      </w:pPr>
      <w:r>
        <w:rPr>
          <w:rFonts w:ascii="Times New Roman" w:cs="Times New Roman" w:eastAsia="Times New Roman" w:hAnsi="Times New Roman"/>
          <w:sz w:val="18"/>
          <w:szCs w:val="18"/>
          <w:color w:val="auto"/>
        </w:rPr>
        <w:t>per share, which is the midpoint of the price range set forth on the cover page of this prospectus, remains the same, and after deducting the estimated underwriting discounts and commissions and offering expenses.</w:t>
      </w:r>
    </w:p>
    <w:p>
      <w:pPr>
        <w:spacing w:after="0" w:line="100"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If the underwriters exercise their option to purchase additional shares of our Class A common stock in full at the assumed initial public offering price of $            per share, which is the midpoint of the price range set forth on the cover page of this prospectus, assuming the number of shares offered by us (as set forth on the cover page of this prospectus) remains the same, and after deducting the estimated underwriting discounts and commissions and offering expenses, the pro forma as adjusted net tangible book value per share after this offering would be approximately $            per share, and the dilution per share to investors purchasing shares of common stock in this offering would be approximately $            per share.</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Immediately following the completion of this offering, 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consists of an unaudited pro forma condensed combined balance sheet as of December 25, 2021, and an unaudited pro forma condensed combined statement of operations for the year ended December 25, 2021.</w:t>
      </w:r>
    </w:p>
    <w:p>
      <w:pPr>
        <w:spacing w:after="0" w:line="102"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25, 2021 presents Mobileye Group’s combined financial position after giving pro forma effect to the Reorganization, as described below, this offering and the use of the net proceeds from this offering, as described below (collectively, the “Transactions”), as if the Transactions occurred on December 25, 2021. The unaudited pro forma condensed combined statement of operations for the year ended December 25, 2021 presents Mobileye Group’s combined results of operations after giving pro forma effect to the Transactions, as if the Transactions occurred on December 27, 2020, the first day of fiscal year 2021.</w:t>
      </w:r>
    </w:p>
    <w:p>
      <w:pPr>
        <w:spacing w:after="0" w:line="114"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has been prepared in conformity with Article 11 of Regulation S-X and is based on currently available information and certain estimates and assumptions. The adjustments in the unaudited pro forma condensed combined financial information have been identified and presented to provide relevant information necessary for an illustrative understanding of Mobileye Holdings Inc. upon consummation of the Transactions. Assumptions and estimates underlying the unaudited pro forma adjustments set forth in the unaudited pro forma condensed combined financial information are described in the accompanying notes.</w:t>
      </w:r>
    </w:p>
    <w:p>
      <w:pPr>
        <w:spacing w:after="0" w:line="10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for informational purposes only and is not necessarily indicative of financial results that would have been attained had the described transactions occurred on the dates indicated above and does not project our results of operations or financial position for any future period or as of any future date. The unaudited pro forma condensed combined financial information also does not give effect to the potential impact of any operating synergies or cost savings that may result from the Transactions. Our future results of operations or financial position may vary significantly from the results reflected in the unaudited pro forma condensed combined statements of comprehensive income and should not be relied on as an indication of our results after the consummation of the Transactions. See “Risk Factors—Risks Related to Our Relationship with Intel and Our Dual Class Structure —Our historical financial information may not be representative of our results as an independent public company.” However, we believe that the assumptions provide a reasonable basis for presenting the effects of the Transactions as contemplated and that the pro forma adjustments give appropriate effect to those assumptions and are properly applied in the unaudited pro forma condensed combined financial information.</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Reorganization and this Offering</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Mobileye Holdings Inc., the issuer, was incorporated to serve as the holding company that owns Mobileye Group. The unaudited pro forma condensed combined financial information reflects the impact of certain transactions, which comprise the following:</w:t>
      </w:r>
    </w:p>
    <w:p>
      <w:pPr>
        <w:spacing w:after="0" w:line="68" w:lineRule="exact"/>
        <w:rPr>
          <w:sz w:val="20"/>
          <w:szCs w:val="20"/>
          <w:color w:val="auto"/>
        </w:rPr>
      </w:pPr>
    </w:p>
    <w:p>
      <w:pPr>
        <w:ind w:left="1800" w:right="4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of 100% of the issued and outstanding equity interests of the Moovit entities from Intel;</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the Dividend from our Israeli subsidiary;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the Dividend Note; and</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Holdings Inc.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Other events we expect to occur in connection with the offering are summarized below:</w:t>
      </w:r>
    </w:p>
    <w:p>
      <w:pPr>
        <w:spacing w:after="0" w:line="117" w:lineRule="exact"/>
        <w:rPr>
          <w:sz w:val="20"/>
          <w:szCs w:val="20"/>
          <w:color w:val="auto"/>
        </w:rPr>
      </w:pPr>
    </w:p>
    <w:p>
      <w:pPr>
        <w:ind w:left="1800" w:right="539" w:hanging="180"/>
        <w:spacing w:after="0" w:line="258"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by us of             shares of our Class A common stock in this offering (assuming the underwriters do not exercise the option to purchase additional shares of our Class A common stock) at an assumed initial public offering price of $          per share (the midpoint of the price range set forth on the cover of this prospectus), after deducting the underwriting discounts and commissions and estimated offering expenses payable by us;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net proceeds that we receive from this offering to repay $          of indebtedness under the Dividend Note;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will be awarded to employees.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historical combined financial information has been derived from the combined financial statements of Mobileye Group and accompanying notes to the combined financial statements included elsewhere in this prospectus. Mobileye Holdings Inc. was formed in January 2022 and has no, and will not have any, material assets or results of operations until the completion of the Reorganization. Therefore, its historical financial information is not included in the unaudited pro forma condensed combined financial information. Following this offering, Mobileye Holdings Inc. will be a holding company with no operations and no material assets of its own other than its ownership interest in Mobileye Group.</w:t>
      </w:r>
    </w:p>
    <w:p>
      <w:pPr>
        <w:spacing w:after="0" w:line="12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 the sections of this prospectus titled “Basis of Presentation,” “Prospectus Summary—Reorganization,” “Use of Proceeds,” “Capitalization,” “Management’s Discussion and Analysis of Financial Condition and Results of Operations,” “Certain Relationship and Related Party Transactions,” and the historical combined financial statements and accompanying notes, included elsewhere in this prospectus. All pro forma adjustments and their underlying assumptions are described more fully in the notes to these unaudited</w:t>
      </w:r>
    </w:p>
    <w:p>
      <w:pPr>
        <w:spacing w:after="0" w:line="5" w:lineRule="exact"/>
        <w:rPr>
          <w:sz w:val="20"/>
          <w:szCs w:val="20"/>
          <w:color w:val="auto"/>
        </w:rPr>
      </w:pPr>
    </w:p>
    <w:p>
      <w:pPr>
        <w:ind w:left="1260" w:right="679"/>
        <w:spacing w:after="0" w:line="260" w:lineRule="auto"/>
        <w:rPr>
          <w:sz w:val="20"/>
          <w:szCs w:val="20"/>
          <w:color w:val="auto"/>
        </w:rPr>
      </w:pPr>
      <w:r>
        <w:rPr>
          <w:rFonts w:ascii="Times New Roman" w:cs="Times New Roman" w:eastAsia="Times New Roman" w:hAnsi="Times New Roman"/>
          <w:sz w:val="18"/>
          <w:szCs w:val="18"/>
          <w:color w:val="auto"/>
        </w:rPr>
        <w:t>pro forma condensed combined balance sheet and unaudited pro forma condensed combined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AS OF DECEMBER 25, 2021</w:t>
      </w:r>
    </w:p>
    <w:p>
      <w:pPr>
        <w:spacing w:after="0" w:line="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As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8"/>
              </w:rPr>
              <w:t>As Reported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Forma</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 xml:space="preserve">Accounting –  </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Group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​​Reorganization ​​</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2480" w:type="dxa"/>
            <w:vAlign w:val="bottom"/>
            <w:vMerge w:val="continue"/>
            <w:shd w:val="clear" w:color="auto" w:fill="CCEEFF"/>
          </w:tcPr>
          <w:p>
            <w:pPr>
              <w:spacing w:after="0"/>
              <w:rPr>
                <w:sz w:val="18"/>
                <w:szCs w:val="18"/>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w:t>
            </w:r>
          </w:p>
        </w:tc>
        <w:tc>
          <w:tcPr>
            <w:tcW w:w="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3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​​(E, F) ​​ 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loan</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 1,326</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 C)</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 ​ 2,270</w:t>
            </w: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 3,071</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​10,895</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40" w:type="dxa"/>
            <w:vAlign w:val="bottom"/>
            <w:gridSpan w:val="5"/>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16,655</w:t>
            </w: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top w:val="single" w:sz="8" w:color="CCEEFF"/>
              <w:bottom w:val="single" w:sz="8" w:color="CCEEFF"/>
            </w:tcBorders>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3"/>
            <w:vMerge w:val="restart"/>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CCEEFF"/>
              <w:bottom w:val="single" w:sz="8" w:color="CCEEFF"/>
            </w:tcBorders>
            <w:vMerge w:val="restart"/>
          </w:tcPr>
          <w:p>
            <w:pPr>
              <w:ind w:left="30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bottom w:val="single" w:sz="8" w:color="CCEEFF"/>
            </w:tcBorders>
            <w:vMerge w:val="restart"/>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top w:val="single" w:sz="8" w:color="CCEEFF"/>
              <w:bottom w:val="single" w:sz="8" w:color="CCEEFF"/>
            </w:tcBorders>
            <w:vMerge w:val="restart"/>
          </w:tcPr>
          <w:p>
            <w:pPr>
              <w:ind w:left="16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bottom w:val="single" w:sz="8" w:color="CCEEFF"/>
            </w:tcBorders>
            <w:vMerge w:val="restart"/>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49"/>
        </w:trPr>
        <w:tc>
          <w:tcPr>
            <w:tcW w:w="248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240" w:type="dxa"/>
            <w:vAlign w:val="bottom"/>
          </w:tcPr>
          <w:p>
            <w:pPr>
              <w:spacing w:after="0" w:line="150" w:lineRule="exact"/>
              <w:rPr>
                <w:sz w:val="20"/>
                <w:szCs w:val="20"/>
                <w:color w:val="auto"/>
              </w:rPr>
            </w:pPr>
            <w:r>
              <w:rPr>
                <w:rFonts w:ascii="Times New Roman" w:cs="Times New Roman" w:eastAsia="Times New Roman" w:hAnsi="Times New Roman"/>
                <w:sz w:val="17"/>
                <w:szCs w:val="17"/>
                <w:b w:val="1"/>
                <w:bCs w:val="1"/>
                <w:color w:val="auto"/>
              </w:rPr>
              <w:t>​ ​</w:t>
            </w:r>
          </w:p>
        </w:tc>
        <w:tc>
          <w:tcPr>
            <w:tcW w:w="360" w:type="dxa"/>
            <w:vAlign w:val="bottom"/>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8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64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vMerge w:val="continue"/>
          </w:tcPr>
          <w:p>
            <w:pPr>
              <w:spacing w:after="0"/>
              <w:rPr>
                <w:sz w:val="13"/>
                <w:szCs w:val="13"/>
                <w:color w:val="auto"/>
              </w:rPr>
            </w:pPr>
          </w:p>
        </w:tc>
        <w:tc>
          <w:tcPr>
            <w:tcW w:w="80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6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shd w:val="clear" w:color="auto" w:fill="CCEEFF"/>
          </w:tcPr>
          <w:p>
            <w:pPr>
              <w:spacing w:after="0"/>
              <w:rPr>
                <w:sz w:val="18"/>
                <w:szCs w:val="18"/>
                <w:color w:val="auto"/>
              </w:rPr>
            </w:pPr>
          </w:p>
        </w:tc>
        <w:tc>
          <w:tcPr>
            <w:tcW w:w="2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 accrued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0"/>
                <w:szCs w:val="20"/>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2480" w:type="dxa"/>
            <w:vAlign w:val="bottom"/>
            <w:tcBorders>
              <w:top w:val="single" w:sz="8" w:color="CCEEFF"/>
            </w:tcBorders>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TOTAL CURRENT</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note payable</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36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 C, D) ​​</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net investment</w:t>
            </w:r>
          </w:p>
        </w:tc>
        <w:tc>
          <w:tcPr>
            <w:tcW w:w="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​15,884</w:t>
            </w:r>
          </w:p>
        </w:tc>
        <w:tc>
          <w:tcPr>
            <w:tcW w:w="80" w:type="dxa"/>
            <w:vAlign w:val="bottom"/>
            <w:shd w:val="clear" w:color="auto" w:fill="CCEEFF"/>
          </w:tcPr>
          <w:p>
            <w:pPr>
              <w:spacing w:after="0"/>
              <w:rPr>
                <w:sz w:val="19"/>
                <w:szCs w:val="19"/>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 B)</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vMerge w:val="continue"/>
            <w:shd w:val="clear" w:color="auto" w:fill="CCEEFF"/>
          </w:tcPr>
          <w:p>
            <w:pPr>
              <w:spacing w:after="0"/>
              <w:rPr>
                <w:sz w:val="21"/>
                <w:szCs w:val="21"/>
                <w:color w:val="auto"/>
              </w:rPr>
            </w:pPr>
          </w:p>
        </w:tc>
        <w:tc>
          <w:tcPr>
            <w:tcW w:w="7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​15,889</w:t>
            </w:r>
          </w:p>
        </w:tc>
        <w:tc>
          <w:tcPr>
            <w:tcW w:w="80" w:type="dxa"/>
            <w:vAlign w:val="bottom"/>
            <w:shd w:val="clear" w:color="auto" w:fill="CCEEFF"/>
          </w:tcPr>
          <w:p>
            <w:pPr>
              <w:spacing w:after="0"/>
              <w:rPr>
                <w:sz w:val="21"/>
                <w:szCs w:val="21"/>
                <w:color w:val="auto"/>
              </w:rPr>
            </w:pP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 AND</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9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16,655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-504825</wp:posOffset>
            </wp:positionV>
            <wp:extent cx="4197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-504825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-504825</wp:posOffset>
            </wp:positionV>
            <wp:extent cx="5829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-504825</wp:posOffset>
            </wp:positionV>
            <wp:extent cx="21774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-1567815</wp:posOffset>
            </wp:positionV>
            <wp:extent cx="4197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-1567815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-1567815</wp:posOffset>
            </wp:positionV>
            <wp:extent cx="5829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-1567815</wp:posOffset>
            </wp:positionV>
            <wp:extent cx="2177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-2167890</wp:posOffset>
            </wp:positionV>
            <wp:extent cx="4197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-2167890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-2167890</wp:posOffset>
            </wp:positionV>
            <wp:extent cx="5829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-2167890</wp:posOffset>
            </wp:positionV>
            <wp:extent cx="21774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-3771265</wp:posOffset>
            </wp:positionV>
            <wp:extent cx="4197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-3771265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-3771265</wp:posOffset>
            </wp:positionV>
            <wp:extent cx="5829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-3771265</wp:posOffset>
            </wp:positionV>
            <wp:extent cx="21774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-4345305</wp:posOffset>
            </wp:positionV>
            <wp:extent cx="4197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-4345305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-4345305</wp:posOffset>
            </wp:positionV>
            <wp:extent cx="5829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-4345305</wp:posOffset>
            </wp:positionV>
            <wp:extent cx="21774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-5494020</wp:posOffset>
            </wp:positionV>
            <wp:extent cx="4197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9735"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-5494020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-5494020</wp:posOffset>
            </wp:positionV>
            <wp:extent cx="5829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-5494020</wp:posOffset>
            </wp:positionV>
            <wp:extent cx="21774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1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740" w:right="72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YEAR ENDED DECEMBER 25, 2021 (IN MILLIONS EXCEPT SHARE AND PER SHARE DATA)</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As Reported</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Pro Forma</w:t>
            </w:r>
          </w:p>
        </w:tc>
        <w:tc>
          <w:tcPr>
            <w:tcW w:w="12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6"/>
              </w:rPr>
              <w:t>Transaction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Accounting –  </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Mobileye</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 xml:space="preserve">Accounting –  </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December 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160" w:type="dxa"/>
            <w:vAlign w:val="bottom"/>
            <w:gridSpan w:val="3"/>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Reorganization </w:t>
            </w:r>
            <w:r>
              <w:rPr>
                <w:rFonts w:ascii="Times New Roman" w:cs="Times New Roman" w:eastAsia="Times New Roman" w:hAnsi="Times New Roman"/>
                <w:sz w:val="24"/>
                <w:szCs w:val="24"/>
                <w:b w:val="1"/>
                <w:bCs w:val="1"/>
                <w:color w:val="auto"/>
                <w:vertAlign w:val="subscript"/>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Group</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Offering</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right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$ 1,386</w:t>
            </w: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right="12"/>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200" w:type="dxa"/>
            <w:vAlign w:val="bottom"/>
            <w:tcBorders>
              <w:right w:val="single" w:sz="8" w:color="CCEEFF"/>
            </w:tcBorders>
            <w:vMerge w:val="continue"/>
            <w:shd w:val="clear" w:color="auto" w:fill="CCEEFF"/>
          </w:tcPr>
          <w:p>
            <w:pPr>
              <w:spacing w:after="0"/>
              <w:rPr>
                <w:sz w:val="4"/>
                <w:szCs w:val="4"/>
                <w:color w:val="auto"/>
              </w:rPr>
            </w:pPr>
          </w:p>
        </w:tc>
        <w:tc>
          <w:tcPr>
            <w:tcW w:w="20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34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w:t>
            </w:r>
          </w:p>
        </w:tc>
        <w:tc>
          <w:tcPr>
            <w:tcW w:w="660" w:type="dxa"/>
            <w:vAlign w:val="bottom"/>
            <w:shd w:val="clear" w:color="auto" w:fill="CCEEFF"/>
          </w:tcPr>
          <w:p>
            <w:pPr>
              <w:spacing w:after="0"/>
              <w:rPr>
                <w:sz w:val="4"/>
                <w:szCs w:val="4"/>
                <w:color w:val="auto"/>
              </w:rPr>
            </w:pPr>
          </w:p>
        </w:tc>
        <w:tc>
          <w:tcPr>
            <w:tcW w:w="120" w:type="dxa"/>
            <w:vAlign w:val="bottom"/>
            <w:tcBorders>
              <w:right w:val="single" w:sz="8" w:color="CCEEFF"/>
            </w:tcBorders>
            <w:vMerge w:val="continue"/>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160" w:type="dxa"/>
            <w:vAlign w:val="bottom"/>
            <w:tcBorders>
              <w:right w:val="single" w:sz="8" w:color="CCEEFF"/>
            </w:tcBorders>
            <w:vMerge w:val="continue"/>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(J)</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vMerge w:val="continue"/>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right w:val="single" w:sz="8" w:color="CCEEFF"/>
            </w:tcBorders>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(H)</w:t>
            </w:r>
            <w:r>
              <w:rPr>
                <w:rFonts w:ascii="Times New Roman" w:cs="Times New Roman" w:eastAsia="Times New Roman" w:hAnsi="Times New Roman"/>
                <w:sz w:val="17"/>
                <w:szCs w:val="17"/>
                <w:color w:val="auto"/>
              </w:rPr>
              <w:t xml:space="preserve">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vMerge w:val="continue"/>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(expenses) with a</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 ​​</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580" w:type="dxa"/>
            <w:vAlign w:val="bottom"/>
            <w:tcBorders>
              <w:right w:val="single" w:sz="8" w:color="CCEEFF"/>
            </w:tcBorders>
            <w:gridSpan w:val="3"/>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(18) </w:t>
            </w:r>
            <w:r>
              <w:rPr>
                <w:rFonts w:ascii="Times New Roman" w:cs="Times New Roman" w:eastAsia="Times New Roman" w:hAnsi="Times New Roman"/>
                <w:sz w:val="32"/>
                <w:szCs w:val="32"/>
                <w:color w:val="auto"/>
                <w:vertAlign w:val="subscript"/>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ind w:left="20"/>
              <w:spacing w:after="0" w:line="283"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2"/>
                <w:szCs w:val="32"/>
                <w:color w:val="auto"/>
                <w:vertAlign w:val="superscript"/>
              </w:rPr>
              <w:t>(I)</w:t>
            </w:r>
            <w:r>
              <w:rPr>
                <w:rFonts w:ascii="Times New Roman" w:cs="Times New Roman" w:eastAsia="Times New Roman" w:hAnsi="Times New Roman"/>
                <w:sz w:val="17"/>
                <w:szCs w:val="17"/>
                <w:color w:val="auto"/>
              </w:rPr>
              <w:t xml:space="preserve">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(I)</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0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 forma weighted-average number of</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w:t>
            </w:r>
          </w:p>
        </w:tc>
        <w:tc>
          <w:tcPr>
            <w:tcW w:w="20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Pro forma diluted</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 ​​</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 ​​</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-2390775</wp:posOffset>
            </wp:positionV>
            <wp:extent cx="3086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-2390775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-2390775</wp:posOffset>
            </wp:positionV>
            <wp:extent cx="274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-2390775</wp:posOffset>
            </wp:positionV>
            <wp:extent cx="25203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-3402965</wp:posOffset>
            </wp:positionV>
            <wp:extent cx="3086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-3402965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-3402965</wp:posOffset>
            </wp:positionV>
            <wp:extent cx="274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-3402965</wp:posOffset>
            </wp:positionV>
            <wp:extent cx="25203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-3745865</wp:posOffset>
            </wp:positionV>
            <wp:extent cx="3086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-3745865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3894455</wp:posOffset>
            </wp:positionH>
            <wp:positionV relativeFrom="paragraph">
              <wp:posOffset>-3745865</wp:posOffset>
            </wp:positionV>
            <wp:extent cx="274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-3745865</wp:posOffset>
            </wp:positionV>
            <wp:extent cx="25203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The accompanying notes are an integral part of this unaudited pro forma condensed combined financial</w:t>
      </w:r>
    </w:p>
    <w:p>
      <w:pPr>
        <w:spacing w:after="0" w:line="27"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158" w:lineRule="exact"/>
        <w:rPr>
          <w:sz w:val="20"/>
          <w:szCs w:val="20"/>
          <w:color w:val="auto"/>
        </w:rPr>
      </w:pPr>
    </w:p>
    <w:p>
      <w:pPr>
        <w:ind w:left="1620" w:hanging="360"/>
        <w:spacing w:after="0"/>
        <w:tabs>
          <w:tab w:leader="none" w:pos="16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6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25, 2021 gives pro forma effect to the Transactions as if they occurred on December 25, 2021. The unaudited pro forma condensed combined statement of operations for the year ended December 25, 2021 gives pro forma effect to the Transactions as if they occurred on December 27, 2020, the first day of fiscal year 2021.</w:t>
      </w:r>
    </w:p>
    <w:p>
      <w:pPr>
        <w:spacing w:after="0" w:line="9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 The unaudited pro forma condensed combined financial information does not reflect any cost savings or operating synergies that may result from the Transactions.</w:t>
      </w:r>
    </w:p>
    <w:p>
      <w:pPr>
        <w:spacing w:after="0" w:line="117" w:lineRule="exact"/>
        <w:rPr>
          <w:sz w:val="20"/>
          <w:szCs w:val="20"/>
          <w:color w:val="auto"/>
        </w:rPr>
      </w:pPr>
    </w:p>
    <w:p>
      <w:pPr>
        <w:ind w:left="1620" w:hanging="360"/>
        <w:spacing w:after="0"/>
        <w:tabs>
          <w:tab w:leader="none" w:pos="16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Financial Information</w:t>
      </w:r>
    </w:p>
    <w:p>
      <w:pPr>
        <w:spacing w:after="0" w:line="162"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The Company made the following pro forma adjustments and assumptions in the preparation of the unaudited pro forma condensed combined balance sheet:</w:t>
      </w:r>
    </w:p>
    <w:p>
      <w:pPr>
        <w:spacing w:after="0" w:line="81" w:lineRule="exact"/>
        <w:rPr>
          <w:sz w:val="20"/>
          <w:szCs w:val="20"/>
          <w:color w:val="auto"/>
        </w:rPr>
      </w:pPr>
    </w:p>
    <w:p>
      <w:pPr>
        <w:ind w:left="1620" w:right="419" w:firstLine="360"/>
        <w:spacing w:after="0" w:line="261" w:lineRule="auto"/>
        <w:tabs>
          <w:tab w:leader="none" w:pos="23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settlement of approximately $            of our related party loan receivable in connection with the legal purchase of 100% of the issued and outstanding equity interests of the Moovit entities from Intel. The settlement of the related party loan receivable will be treated as an equity distribution from us to Intel.</w:t>
      </w:r>
    </w:p>
    <w:p>
      <w:pPr>
        <w:spacing w:after="0" w:line="112" w:lineRule="exact"/>
        <w:rPr>
          <w:rFonts w:ascii="Times New Roman" w:cs="Times New Roman" w:eastAsia="Times New Roman" w:hAnsi="Times New Roman"/>
          <w:sz w:val="18"/>
          <w:szCs w:val="18"/>
          <w:color w:val="auto"/>
        </w:rPr>
      </w:pPr>
    </w:p>
    <w:p>
      <w:pPr>
        <w:ind w:left="1620" w:right="739" w:firstLine="360"/>
        <w:spacing w:after="0" w:line="266" w:lineRule="auto"/>
        <w:tabs>
          <w:tab w:leader="none" w:pos="23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elimination of parent net investment and establishment of common stock and additional paid-in capital in connection with the legal entity reorganization and contribution of the Mobileye Group business from Intel to Mobileye Holdings Inc.</w:t>
      </w:r>
    </w:p>
    <w:p>
      <w:pPr>
        <w:spacing w:after="0" w:line="108" w:lineRule="exact"/>
        <w:rPr>
          <w:rFonts w:ascii="Times New Roman" w:cs="Times New Roman" w:eastAsia="Times New Roman" w:hAnsi="Times New Roman"/>
          <w:sz w:val="18"/>
          <w:szCs w:val="18"/>
          <w:color w:val="auto"/>
        </w:rPr>
      </w:pPr>
    </w:p>
    <w:p>
      <w:pPr>
        <w:ind w:left="1620" w:right="639" w:firstLine="360"/>
        <w:spacing w:after="0" w:line="282" w:lineRule="auto"/>
        <w:tabs>
          <w:tab w:leader="none" w:pos="237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distribution related to the Dividend of an aggregate amount of $            in cash by our Israeli subsidiary to Intel and settlement of $            of the related party loan receivable.</w:t>
      </w:r>
    </w:p>
    <w:p>
      <w:pPr>
        <w:spacing w:after="0" w:line="80" w:lineRule="exact"/>
        <w:rPr>
          <w:rFonts w:ascii="Times New Roman" w:cs="Times New Roman" w:eastAsia="Times New Roman" w:hAnsi="Times New Roman"/>
          <w:sz w:val="18"/>
          <w:szCs w:val="18"/>
          <w:color w:val="auto"/>
        </w:rPr>
      </w:pPr>
    </w:p>
    <w:p>
      <w:pPr>
        <w:ind w:left="1620" w:right="799" w:firstLine="360"/>
        <w:spacing w:after="0" w:line="282" w:lineRule="auto"/>
        <w:tabs>
          <w:tab w:leader="none" w:pos="238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dividend distribution to Intel and the associated indebtedness incurred by us under the Dividend Note Payable of approximately $              .</w:t>
      </w:r>
    </w:p>
    <w:p>
      <w:pPr>
        <w:spacing w:after="0" w:line="94" w:lineRule="exact"/>
        <w:rPr>
          <w:rFonts w:ascii="Times New Roman" w:cs="Times New Roman" w:eastAsia="Times New Roman" w:hAnsi="Times New Roman"/>
          <w:sz w:val="18"/>
          <w:szCs w:val="18"/>
          <w:color w:val="auto"/>
        </w:rPr>
      </w:pPr>
    </w:p>
    <w:p>
      <w:pPr>
        <w:ind w:left="1620" w:right="539" w:firstLine="360"/>
        <w:spacing w:after="0" w:line="255" w:lineRule="auto"/>
        <w:tabs>
          <w:tab w:leader="none" w:pos="236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Reflects the receipt of net proceeds from this offering of approximately $            million (or approximately $            million if the underwriters exercise their option to purchase additional shares of our Class A common stock in full), after deducting underwriting discounts and commissions and estimated offering expenses payable by us, based on an assumed initial public offering price of $         </w:t>
      </w:r>
    </w:p>
    <w:p>
      <w:pPr>
        <w:spacing w:after="0" w:line="2" w:lineRule="exact"/>
        <w:rPr>
          <w:rFonts w:ascii="Times New Roman" w:cs="Times New Roman" w:eastAsia="Times New Roman" w:hAnsi="Times New Roman"/>
          <w:sz w:val="18"/>
          <w:szCs w:val="18"/>
          <w:color w:val="auto"/>
        </w:rPr>
      </w:pPr>
    </w:p>
    <w:p>
      <w:pPr>
        <w:ind w:left="1620" w:right="9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of Class A common stock (the midpoint of the price range set forth on the cover of this prospectus).</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the Dividend Note Payable to Intel of approximately $          that will occur in connection with the completion of this offering.</w:t>
      </w:r>
    </w:p>
    <w:p>
      <w:pPr>
        <w:spacing w:after="0" w:line="81" w:lineRule="exact"/>
        <w:rPr>
          <w:sz w:val="20"/>
          <w:szCs w:val="20"/>
          <w:color w:val="auto"/>
        </w:rPr>
      </w:pPr>
    </w:p>
    <w:p>
      <w:pPr>
        <w:ind w:left="1260" w:right="659" w:firstLine="360"/>
        <w:spacing w:after="0" w:line="282" w:lineRule="auto"/>
        <w:rPr>
          <w:sz w:val="20"/>
          <w:szCs w:val="20"/>
          <w:color w:val="auto"/>
        </w:rPr>
      </w:pPr>
      <w:r>
        <w:rPr>
          <w:rFonts w:ascii="Times New Roman" w:cs="Times New Roman" w:eastAsia="Times New Roman" w:hAnsi="Times New Roman"/>
          <w:sz w:val="18"/>
          <w:szCs w:val="18"/>
          <w:color w:val="auto"/>
        </w:rPr>
        <w:t>The Company made the following pro forma adjustments and assumptions in the preparation of the unaudited pro forma condensed combined statement of operations for the year ended December 25, 2021.</w:t>
      </w:r>
    </w:p>
    <w:p>
      <w:pPr>
        <w:spacing w:after="0" w:line="94" w:lineRule="exact"/>
        <w:rPr>
          <w:sz w:val="20"/>
          <w:szCs w:val="20"/>
          <w:color w:val="auto"/>
        </w:rPr>
      </w:pPr>
    </w:p>
    <w:p>
      <w:pPr>
        <w:ind w:left="1620" w:right="459" w:firstLine="360"/>
        <w:spacing w:after="0" w:line="282" w:lineRule="auto"/>
        <w:tabs>
          <w:tab w:leader="none" w:pos="23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interest expense of approximately $            in connection with the issuance of the Dividend Note Payable.</w:t>
      </w:r>
    </w:p>
    <w:p>
      <w:pPr>
        <w:spacing w:after="0" w:line="94" w:lineRule="exact"/>
        <w:rPr>
          <w:rFonts w:ascii="Times New Roman" w:cs="Times New Roman" w:eastAsia="Times New Roman" w:hAnsi="Times New Roman"/>
          <w:sz w:val="18"/>
          <w:szCs w:val="18"/>
          <w:color w:val="auto"/>
        </w:rPr>
      </w:pPr>
    </w:p>
    <w:p>
      <w:pPr>
        <w:ind w:left="2380" w:hanging="400"/>
        <w:spacing w:after="0"/>
        <w:tabs>
          <w:tab w:leader="none" w:pos="2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stock-based compensation of approximately $            related to restricted</w:t>
      </w:r>
    </w:p>
    <w:p>
      <w:pPr>
        <w:spacing w:after="0" w:line="27"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stock units that will be awarded to employees upon completion of this offering. The estimated grant date fair value of these stock awards will be recognized ratably over the service periods ranging from              to              years. The grant date fair values of the restricted stock awards were determined based on the fair value of our underlying common stock as of the date of the grant using preliminary valuation techniques with the most reliable information available. Actual results may differ from these estimates and such differences may be material.</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19" w:firstLine="360"/>
        <w:spacing w:after="0" w:line="282" w:lineRule="auto"/>
        <w:tabs>
          <w:tab w:leader="none" w:pos="23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tax effects of the unaudited pro forma adjustments calculated at the statutory rate in effect for the period.</w:t>
      </w:r>
    </w:p>
    <w:p>
      <w:pPr>
        <w:spacing w:after="0" w:line="94" w:lineRule="exact"/>
        <w:rPr>
          <w:rFonts w:ascii="Times New Roman" w:cs="Times New Roman" w:eastAsia="Times New Roman" w:hAnsi="Times New Roman"/>
          <w:sz w:val="18"/>
          <w:szCs w:val="18"/>
          <w:color w:val="auto"/>
        </w:rPr>
      </w:pPr>
    </w:p>
    <w:p>
      <w:pPr>
        <w:ind w:left="1620" w:right="619" w:firstLine="360"/>
        <w:spacing w:after="0" w:line="266" w:lineRule="auto"/>
        <w:tabs>
          <w:tab w:leader="none" w:pos="232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expense which would otherwise be incurred related to the Dividend Note Payable in connection with the expected use of $            from the net proceeds of the Offering to partially pay down the Dividend Note Payable.</w:t>
      </w:r>
    </w:p>
    <w:p>
      <w:pPr>
        <w:spacing w:after="0" w:line="108" w:lineRule="exact"/>
        <w:rPr>
          <w:rFonts w:ascii="Times New Roman" w:cs="Times New Roman" w:eastAsia="Times New Roman" w:hAnsi="Times New Roman"/>
          <w:sz w:val="18"/>
          <w:szCs w:val="18"/>
          <w:color w:val="auto"/>
        </w:rPr>
      </w:pPr>
    </w:p>
    <w:p>
      <w:pPr>
        <w:ind w:left="1620" w:right="559" w:firstLine="360"/>
        <w:spacing w:after="0" w:line="261" w:lineRule="auto"/>
        <w:tabs>
          <w:tab w:leader="none" w:pos="238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 forma weighted-average shares outstanding is based on the number of shares of our common stock expected to be outstanding following this offering. The calculation includes                  </w:t>
      </w:r>
    </w:p>
    <w:p>
      <w:pPr>
        <w:jc w:val="both"/>
        <w:ind w:left="1620" w:right="5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assumed issued to Intel as part of the Reorganization and                   shares assumed to be sold in this offering (assuming no exercise by the underwriters of their option to purchase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3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combined financial statements and related notes included elsewhere in this prospectus. Some of the information contained in this discussion and analysis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We have a 52- or 53-week fiscal year that ends on the last Saturday in December. Fiscal years 2021, 2020, and 2019 were 52-week fiscal years; fiscal year 2022 is a 53-week fiscal year. Any references to our performance for the years 2021, 2020, and 2019 are references to our fiscal years ended December 25, 2021, December 26, 2020, and December 28, 2019, respectively. Our historical financial data has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95"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6"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As of the end of 2021, our solutions had been installed in more than 700 vehicle models (including local country variations), and our SoCs had been deployed in over 100 million vehicles.We are actively working with more than 50 OEMs worldwide on the implementation of our ADAS solutions, and we announced over 40 new design wins in 2021 alone. We estimate, based on our existing design wins through March 31, 2022, that our ADAS solutions will be deployed in more than an additional 250 million vehicles by 2030, including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2021. We currently ship a variety of ADAS solutions to 13 of the 15 largest automakers in the world in addition to many smaller OEMs, and we are recognized for our top-rated safety solutions globally. For example, 67% of Euro New Car Assessment Programs (“NCAP”) 5-star rated vehicle models for 2018-2021 are equipped with our solutions.</w:t>
      </w:r>
    </w:p>
    <w:p>
      <w:pPr>
        <w:spacing w:after="0" w:line="33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 with Zeeker,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sign of broad interest in consumer-level eyes-off/hands-free driving. Building upon Mobileye Chauffeur™, we are developing Mobileye Drive™, our Level 4 self-driving system targeted for fleet-owned AMaaS and goods delivery networks. Mobileye Drive™ will encompass our core autonomous driving technologies and will deliver the driving functions without the need for any in-vehicle human intervention by adding teleoperability and by minimizing cases where human input would be required. We are working to deploy Mobileye Drive™ through various business-to-business and business-to-consumer channels through the formation of collaborations with potential partners around the world.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70" w:lineRule="auto"/>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 was $1.4 billion, $967 million, and $879 million, respectively, representing year-over-year growth of 43% in 2021. We recorded net losses of $75 million, $196 million, and $328 million in 2021, 2020, and 2019, respectively. Our Adjusted Net Income for 2021, 2020 and 2019 was $474 million, $289 million, and $51 million, respectively.</w:t>
      </w:r>
    </w:p>
    <w:p>
      <w:pPr>
        <w:spacing w:after="0" w:line="105" w:lineRule="exact"/>
        <w:rPr>
          <w:sz w:val="20"/>
          <w:szCs w:val="20"/>
          <w:color w:val="auto"/>
        </w:rPr>
      </w:pPr>
    </w:p>
    <w:p>
      <w:pPr>
        <w:ind w:left="1260" w:right="539" w:firstLine="360"/>
        <w:spacing w:after="0" w:line="281" w:lineRule="auto"/>
        <w:rPr>
          <w:sz w:val="20"/>
          <w:szCs w:val="20"/>
          <w:color w:val="auto"/>
        </w:rPr>
      </w:pPr>
      <w:r>
        <w:rPr>
          <w:rFonts w:ascii="Times New Roman" w:cs="Times New Roman" w:eastAsia="Times New Roman" w:hAnsi="Times New Roman"/>
          <w:sz w:val="18"/>
          <w:szCs w:val="18"/>
          <w:color w:val="auto"/>
        </w:rPr>
        <w:t>We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Reorganization</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will consummate the following transactions:</w:t>
      </w:r>
    </w:p>
    <w:p>
      <w:pPr>
        <w:spacing w:after="0" w:line="95" w:lineRule="exact"/>
        <w:rPr>
          <w:sz w:val="20"/>
          <w:szCs w:val="20"/>
          <w:color w:val="auto"/>
        </w:rPr>
      </w:pPr>
    </w:p>
    <w:p>
      <w:pPr>
        <w:ind w:left="1800" w:right="43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purchase by us of 100% of the issued and outstanding equity interests of the Moovit entities from Intel;</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certain employees and assets relating to the Mobileye business from Intel to us;</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the Dividend from our Israeli subsidiary;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to Intel of the Dividend Note;</w:t>
      </w:r>
    </w:p>
    <w:p>
      <w:pPr>
        <w:spacing w:after="0" w:line="144"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entity reorganization of our operations comprising the Mobileye Group business so that they are all under the single parent entity, Mobileye Holdings Inc.; and</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8"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16" w:lineRule="exact"/>
        <w:rPr>
          <w:sz w:val="20"/>
          <w:szCs w:val="20"/>
          <w:color w:val="auto"/>
        </w:rPr>
      </w:pPr>
    </w:p>
    <w:p>
      <w:pPr>
        <w:ind w:left="1260" w:right="659" w:firstLine="360"/>
        <w:spacing w:after="0" w:line="274" w:lineRule="auto"/>
        <w:rPr>
          <w:sz w:val="20"/>
          <w:szCs w:val="20"/>
          <w:color w:val="auto"/>
        </w:rPr>
      </w:pPr>
      <w:r>
        <w:rPr>
          <w:rFonts w:ascii="Times New Roman" w:cs="Times New Roman" w:eastAsia="Times New Roman" w:hAnsi="Times New Roman"/>
          <w:sz w:val="18"/>
          <w:szCs w:val="18"/>
          <w:color w:val="auto"/>
        </w:rPr>
        <w:t>For further information and descriptions of the transactions in the Reorganization, see “Certain Relationship and Related Party Transactions” and “Unaudited Pro Forma Condensed Combined Financial Information.”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62" w:lineRule="exact"/>
        <w:rPr>
          <w:sz w:val="20"/>
          <w:szCs w:val="20"/>
          <w:color w:val="auto"/>
        </w:rPr>
      </w:pPr>
    </w:p>
    <w:p>
      <w:pPr>
        <w:ind w:left="1260" w:right="619" w:firstLine="360"/>
        <w:spacing w:after="0" w:line="226" w:lineRule="auto"/>
        <w:rPr>
          <w:sz w:val="20"/>
          <w:szCs w:val="20"/>
          <w:color w:val="auto"/>
        </w:rPr>
      </w:pPr>
      <w:r>
        <w:rPr>
          <w:rFonts w:ascii="Times New Roman" w:cs="Times New Roman" w:eastAsia="Times New Roman" w:hAnsi="Times New Roman"/>
          <w:sz w:val="18"/>
          <w:szCs w:val="18"/>
          <w:color w:val="auto"/>
        </w:rPr>
        <w:t>Since our founding in 1999, we have focused on creating mission-critical and vision solutions for the automotive market. We had our first series production win with three OEMs in 2007. Since launching our first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in 2007, we have reached a massive installed base, and we shipped our 100 millionth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in 2021. We have developed five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which represent our prior and current generation of SoCs, and are in the process of developing two future generations of our SoCs.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Industry Firsts for Over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139700</wp:posOffset>
            </wp:positionV>
            <wp:extent cx="4954905" cy="2357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5490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In 2021, we: (1) launched our Mobileye SuperVision™ solution, which is our Premium Driver-Assist offering; (2) announced the industry’s first Level 4 autonomous system program design win with our Mobileye Drive™ solution; and (3) announced the expected initial commercial deployment of our AMaaS offering in Munich and Tel Aviv together with Moovit in addition to our current testing sites in China, Israel, Detroit, Miami, Munich, Paris, Stuttgart and Tokyo.</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62" w:lineRule="exact"/>
        <w:rPr>
          <w:sz w:val="20"/>
          <w:szCs w:val="20"/>
          <w:color w:val="auto"/>
        </w:rPr>
      </w:pPr>
    </w:p>
    <w:p>
      <w:pPr>
        <w:jc w:val="both"/>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 the future, propelled by our next generation AV-on-Chip SoC, which we call EyeQ Ultra™, our surround computer vision Mobileye SuperVision™ solution and our True Redundancy™ architecture, we believe that we will be positioned to deliver an autonomous driving solution that can enable the mass adoption of AV.</w:t>
      </w:r>
    </w:p>
    <w:p>
      <w:pPr>
        <w:spacing w:after="0" w:line="73" w:lineRule="exact"/>
        <w:rPr>
          <w:sz w:val="20"/>
          <w:szCs w:val="20"/>
          <w:color w:val="auto"/>
        </w:rPr>
      </w:pPr>
    </w:p>
    <w:p>
      <w:pPr>
        <w:jc w:val="both"/>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17"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20" w:lineRule="exact"/>
        <w:rPr>
          <w:sz w:val="20"/>
          <w:szCs w:val="20"/>
          <w:color w:val="auto"/>
        </w:rPr>
      </w:pPr>
    </w:p>
    <w:p>
      <w:pPr>
        <w:ind w:left="1260" w:right="659" w:firstLine="360"/>
        <w:spacing w:after="0" w:line="235"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our family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with STMicroelectronics. We have also established a relationship with Quanta Computer to develop and assemble our ECUs, including the design for our Mobileye SuperVision™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manufactured by STMicroelectronics.</w:t>
      </w:r>
    </w:p>
    <w:p>
      <w:pPr>
        <w:spacing w:after="0" w:line="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 leading central compute capability, with plans to</w:t>
      </w:r>
    </w:p>
    <w:p>
      <w:pPr>
        <w:ind w:left="1260" w:right="699"/>
        <w:spacing w:after="0" w:line="242" w:lineRule="auto"/>
        <w:rPr>
          <w:sz w:val="20"/>
          <w:szCs w:val="20"/>
          <w:color w:val="auto"/>
        </w:rPr>
      </w:pPr>
      <w:r>
        <w:rPr>
          <w:rFonts w:ascii="Times New Roman" w:cs="Times New Roman" w:eastAsia="Times New Roman" w:hAnsi="Times New Roman"/>
          <w:sz w:val="18"/>
          <w:szCs w:val="18"/>
          <w:color w:val="auto"/>
        </w:rPr>
        <w:t>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2"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combined financial statements and related notes included elsewhere in this prospectus.</w:t>
      </w:r>
    </w:p>
    <w:p>
      <w:pPr>
        <w:spacing w:after="0" w:line="333"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and share-based compensation expense,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excluding items that neither relate to the ordinary course of business nor reflect our underlying business performance, such as the amortization of intangible assets, enables our management and investors to compare our underlying business performance from period to 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 We believe that the elimination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 from our non-GAAP measures, equity compensation has been, and will continue to be, an important part of our future compensation strategy and a significant component of our future expenses, and may increase in future periods.</w:t>
      </w: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9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Year Ended ($ in millions)</w:t>
      </w:r>
    </w:p>
    <w:p>
      <w:pPr>
        <w:spacing w:after="0" w:line="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Gross profit and margin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 Share-based compensation expense</w:t>
      </w:r>
    </w:p>
    <w:p>
      <w:pPr>
        <w:spacing w:after="0" w:line="9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8"/>
          <w:szCs w:val="18"/>
          <w:color w:val="auto"/>
        </w:rPr>
        <w:t>Adjusted Gross Profit and Margin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25, 2021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26, 2020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8"/>
          <w:szCs w:val="28"/>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36195</wp:posOffset>
            </wp:positionV>
            <wp:extent cx="25971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5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14"/>
        </w:trPr>
        <w:tc>
          <w:tcPr>
            <w:tcW w:w="4340" w:type="dxa"/>
            <w:vAlign w:val="bottom"/>
            <w:gridSpan w:val="21"/>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w:t>
            </w:r>
            <w:r>
              <w:rPr>
                <w:rFonts w:ascii="Times New Roman" w:cs="Times New Roman" w:eastAsia="Times New Roman" w:hAnsi="Times New Roman"/>
                <w:sz w:val="24"/>
                <w:szCs w:val="24"/>
                <w:b w:val="1"/>
                <w:bCs w:val="1"/>
                <w:color w:val="auto"/>
                <w:vertAlign w:val="subscript"/>
              </w:rPr>
              <w:t>​</w:t>
            </w:r>
          </w:p>
        </w:tc>
      </w:tr>
      <w:tr>
        <w:trPr>
          <w:trHeight w:val="20"/>
        </w:trPr>
        <w:tc>
          <w:tcPr>
            <w:tcW w:w="2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42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 ​ ​$376 ​​ ​</w:t>
            </w: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 ​ ​$423 ​​ ​</w:t>
            </w:r>
          </w:p>
        </w:tc>
        <w:tc>
          <w:tcPr>
            <w:tcW w:w="160" w:type="dxa"/>
            <w:vAlign w:val="bottom"/>
          </w:tcPr>
          <w:p>
            <w:pPr>
              <w:spacing w:after="0"/>
              <w:rPr>
                <w:sz w:val="23"/>
                <w:szCs w:val="23"/>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48%</w:t>
            </w:r>
            <w:r>
              <w:rPr>
                <w:rFonts w:ascii="Times New Roman" w:cs="Times New Roman" w:eastAsia="Times New Roman" w:hAnsi="Times New Roman"/>
                <w:sz w:val="18"/>
                <w:szCs w:val="18"/>
                <w:b w:val="1"/>
                <w:bCs w:val="1"/>
                <w:color w:val="auto"/>
              </w:rPr>
              <w:t>​</w:t>
            </w:r>
          </w:p>
        </w:tc>
      </w:tr>
      <w:tr>
        <w:trPr>
          <w:trHeight w:val="257"/>
        </w:trPr>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142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 ​ ​ ​368 ​​ ​</w:t>
            </w: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 ​ ​ ​261 ​​ ​</w:t>
            </w:r>
          </w:p>
        </w:tc>
        <w:tc>
          <w:tcPr>
            <w:tcW w:w="160" w:type="dxa"/>
            <w:vAlign w:val="bottom"/>
          </w:tcPr>
          <w:p>
            <w:pPr>
              <w:spacing w:after="0"/>
              <w:rPr>
                <w:sz w:val="22"/>
                <w:szCs w:val="22"/>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r>
              <w:rPr>
                <w:rFonts w:ascii="Times New Roman" w:cs="Times New Roman" w:eastAsia="Times New Roman" w:hAnsi="Times New Roman"/>
                <w:sz w:val="18"/>
                <w:szCs w:val="18"/>
                <w:b w:val="1"/>
                <w:bCs w:val="1"/>
                <w:color w:val="auto"/>
              </w:rPr>
              <w:t>​</w:t>
            </w:r>
          </w:p>
        </w:tc>
      </w:tr>
      <w:tr>
        <w:trPr>
          <w:trHeight w:val="248"/>
        </w:trPr>
        <w:tc>
          <w:tcPr>
            <w:tcW w:w="920" w:type="dxa"/>
            <w:vAlign w:val="bottom"/>
            <w:gridSpan w:val="4"/>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1</w:t>
            </w:r>
            <w:r>
              <w:rPr>
                <w:rFonts w:ascii="Times New Roman" w:cs="Times New Roman" w:eastAsia="Times New Roman" w:hAnsi="Times New Roman"/>
                <w:sz w:val="15"/>
                <w:szCs w:val="15"/>
                <w:color w:val="auto"/>
              </w:rPr>
              <w:t>​​ ​</w:t>
            </w:r>
          </w:p>
        </w:tc>
        <w:tc>
          <w:tcPr>
            <w:tcW w:w="1420" w:type="dxa"/>
            <w:vAlign w:val="bottom"/>
            <w:gridSpan w:val="7"/>
          </w:tcPr>
          <w:p>
            <w:pPr>
              <w:ind w:left="16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 ​</w:t>
            </w:r>
          </w:p>
        </w:tc>
        <w:tc>
          <w:tcPr>
            <w:tcW w:w="1440" w:type="dxa"/>
            <w:vAlign w:val="bottom"/>
            <w:gridSpan w:val="6"/>
          </w:tcPr>
          <w:p>
            <w:pPr>
              <w:ind w:left="160"/>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 ​</w:t>
            </w:r>
          </w:p>
        </w:tc>
        <w:tc>
          <w:tcPr>
            <w:tcW w:w="160" w:type="dxa"/>
            <w:vAlign w:val="bottom"/>
          </w:tcPr>
          <w:p>
            <w:pPr>
              <w:spacing w:after="0"/>
              <w:rPr>
                <w:sz w:val="21"/>
                <w:szCs w:val="21"/>
                <w:color w:val="auto"/>
              </w:rPr>
            </w:pPr>
          </w:p>
        </w:tc>
        <w:tc>
          <w:tcPr>
            <w:tcW w:w="400" w:type="dxa"/>
            <w:vAlign w:val="bottom"/>
            <w:gridSpan w:val="3"/>
          </w:tcPr>
          <w:p>
            <w:pPr>
              <w:spacing w:after="0" w:line="247"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r>
      <w:tr>
        <w:trPr>
          <w:trHeight w:val="20"/>
        </w:trPr>
        <w:tc>
          <w:tcPr>
            <w:tcW w:w="22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9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1,075</w:t>
            </w:r>
            <w:r>
              <w:rPr>
                <w:rFonts w:ascii="Times New Roman" w:cs="Times New Roman" w:eastAsia="Times New Roman" w:hAnsi="Times New Roman"/>
                <w:sz w:val="28"/>
                <w:szCs w:val="28"/>
                <w:color w:val="auto"/>
                <w:vertAlign w:val="subscript"/>
              </w:rPr>
              <w:t>​​ ​</w:t>
            </w:r>
          </w:p>
        </w:tc>
        <w:tc>
          <w:tcPr>
            <w:tcW w:w="1420" w:type="dxa"/>
            <w:vAlign w:val="bottom"/>
            <w:gridSpan w:val="7"/>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​78%</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744</w:t>
            </w:r>
            <w:r>
              <w:rPr>
                <w:rFonts w:ascii="Times New Roman" w:cs="Times New Roman" w:eastAsia="Times New Roman" w:hAnsi="Times New Roman"/>
                <w:sz w:val="15"/>
                <w:szCs w:val="15"/>
                <w:color w:val="auto"/>
              </w:rPr>
              <w:t xml:space="preserve"> ​​ ​</w:t>
            </w:r>
          </w:p>
        </w:tc>
        <w:tc>
          <w:tcPr>
            <w:tcW w:w="1440" w:type="dxa"/>
            <w:vAlign w:val="bottom"/>
            <w:gridSpan w:val="6"/>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​77%</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684</w:t>
            </w:r>
            <w:r>
              <w:rPr>
                <w:rFonts w:ascii="Times New Roman" w:cs="Times New Roman" w:eastAsia="Times New Roman" w:hAnsi="Times New Roman"/>
                <w:sz w:val="15"/>
                <w:szCs w:val="15"/>
                <w:color w:val="auto"/>
              </w:rPr>
              <w:t xml:space="preserve"> ​​ ​</w:t>
            </w:r>
          </w:p>
        </w:tc>
        <w:tc>
          <w:tcPr>
            <w:tcW w:w="160" w:type="dxa"/>
            <w:vAlign w:val="bottom"/>
          </w:tcPr>
          <w:p>
            <w:pPr>
              <w:spacing w:after="0"/>
              <w:rPr>
                <w:sz w:val="22"/>
                <w:szCs w:val="22"/>
                <w:color w:val="auto"/>
              </w:rPr>
            </w:pPr>
          </w:p>
        </w:tc>
        <w:tc>
          <w:tcPr>
            <w:tcW w:w="40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​78%</w:t>
            </w:r>
            <w:r>
              <w:rPr>
                <w:rFonts w:ascii="Times New Roman" w:cs="Times New Roman" w:eastAsia="Times New Roman" w:hAnsi="Times New Roman"/>
                <w:sz w:val="28"/>
                <w:szCs w:val="28"/>
                <w:b w:val="1"/>
                <w:bCs w:val="1"/>
                <w:color w:val="auto"/>
                <w:vertAlign w:val="subscript"/>
              </w:rPr>
              <w:t>​</w:t>
            </w:r>
          </w:p>
        </w:tc>
      </w:tr>
      <w:tr>
        <w:trPr>
          <w:trHeight w:val="21"/>
        </w:trPr>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-385445</wp:posOffset>
            </wp:positionV>
            <wp:extent cx="5212080" cy="1797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-719455</wp:posOffset>
            </wp:positionV>
            <wp:extent cx="52120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300"/>
            <w:col w:w="4699"/>
          </w:cols>
          <w:pgMar w:left="580" w:top="97" w:right="1440" w:bottom="1440" w:gutter="0" w:footer="0" w:header="0"/>
        </w:sectPr>
      </w:pPr>
    </w:p>
    <w:p>
      <w:pPr>
        <w:spacing w:after="0" w:line="25" w:lineRule="exact"/>
        <w:rPr>
          <w:sz w:val="20"/>
          <w:szCs w:val="20"/>
          <w:color w:val="auto"/>
        </w:rPr>
      </w:pPr>
    </w:p>
    <w:p>
      <w:pPr>
        <w:ind w:left="1260" w:right="479" w:firstLine="360"/>
        <w:spacing w:after="0" w:line="238"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and Margin</w:t>
      </w:r>
    </w:p>
    <w:p>
      <w:pPr>
        <w:spacing w:after="0" w:line="162" w:lineRule="exact"/>
        <w:rPr>
          <w:sz w:val="20"/>
          <w:szCs w:val="20"/>
          <w:color w:val="auto"/>
        </w:rPr>
      </w:pPr>
    </w:p>
    <w:p>
      <w:pPr>
        <w:jc w:val="both"/>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as operating loss presented in accordance with GAAP, adjusted to exclude amortization of acquisition related intangibles and share-based compensation expense. Operating margin is calculated as operating loss divided by total revenue, and Adjusted Operating Margin is calculated as Adjusted Operating Income divided by total revenue.</w:t>
      </w:r>
    </w:p>
    <w:p>
      <w:pPr>
        <w:spacing w:after="0" w:line="99" w:lineRule="exact"/>
        <w:rPr>
          <w:sz w:val="20"/>
          <w:szCs w:val="20"/>
          <w:color w:val="auto"/>
        </w:rPr>
      </w:pPr>
    </w:p>
    <w:p>
      <w:pPr>
        <w:ind w:left="1260" w:right="1319" w:firstLine="360"/>
        <w:spacing w:after="0" w:line="261" w:lineRule="auto"/>
        <w:rPr>
          <w:sz w:val="20"/>
          <w:szCs w:val="20"/>
          <w:color w:val="auto"/>
        </w:rPr>
      </w:pPr>
      <w:r>
        <w:rPr>
          <w:rFonts w:ascii="Times New Roman" w:cs="Times New Roman" w:eastAsia="Times New Roman" w:hAnsi="Times New Roman"/>
          <w:sz w:val="18"/>
          <w:szCs w:val="18"/>
          <w:color w:val="auto"/>
        </w:rPr>
        <w:t>Set forth below is the reconciliation of operating loss to Adjusted Operating Income and the calculations of Operating Margin and Adjusted Operating Margin:</w:t>
      </w:r>
    </w:p>
    <w:tbl>
      <w:tblPr>
        <w:tblLayout w:type="fixed"/>
        <w:tblInd w:w="1260" w:type="dxa"/>
        <w:tblCellMar>
          <w:top w:w="0" w:type="dxa"/>
          <w:left w:w="0" w:type="dxa"/>
          <w:bottom w:w="0" w:type="dxa"/>
          <w:right w:w="0" w:type="dxa"/>
        </w:tblCellMar>
      </w:tblPr>
      <w:tr>
        <w:trPr>
          <w:trHeight w:val="378"/>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6"/>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25, 2021</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December 26, 2020</w:t>
            </w:r>
          </w:p>
        </w:tc>
        <w:tc>
          <w:tcPr>
            <w:tcW w:w="40" w:type="dxa"/>
            <w:vAlign w:val="bottom"/>
          </w:tcPr>
          <w:p>
            <w:pPr>
              <w:spacing w:after="0"/>
              <w:rPr>
                <w:sz w:val="24"/>
                <w:szCs w:val="24"/>
                <w:color w:val="auto"/>
              </w:rPr>
            </w:pPr>
          </w:p>
        </w:tc>
        <w:tc>
          <w:tcPr>
            <w:tcW w:w="1480" w:type="dxa"/>
            <w:vAlign w:val="bottom"/>
            <w:gridSpan w:val="8"/>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 in millions)</w:t>
            </w:r>
          </w:p>
        </w:tc>
        <w:tc>
          <w:tcPr>
            <w:tcW w:w="4340" w:type="dxa"/>
            <w:vAlign w:val="bottom"/>
            <w:gridSpan w:val="21"/>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loss and operating margin</w:t>
            </w:r>
          </w:p>
        </w:tc>
        <w:tc>
          <w:tcPr>
            <w:tcW w:w="260" w:type="dxa"/>
            <w:vAlign w:val="bottom"/>
            <w:tcBorders>
              <w:right w:val="single" w:sz="8" w:color="CCEEFF"/>
            </w:tcBorders>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1"/>
              </w:rPr>
              <w:t>$ (57)</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4"/>
            <w:shd w:val="clear" w:color="auto" w:fill="CCEEFF"/>
          </w:tcPr>
          <w:p>
            <w:pPr>
              <w:jc w:val="right"/>
              <w:ind w:right="117"/>
              <w:spacing w:after="0" w:line="196" w:lineRule="exact"/>
              <w:rPr>
                <w:sz w:val="20"/>
                <w:szCs w:val="20"/>
                <w:color w:val="auto"/>
              </w:rPr>
            </w:pPr>
            <w:r>
              <w:rPr>
                <w:rFonts w:ascii="Times New Roman" w:cs="Times New Roman" w:eastAsia="Times New Roman" w:hAnsi="Times New Roman"/>
                <w:sz w:val="18"/>
                <w:szCs w:val="18"/>
                <w:color w:val="auto"/>
              </w:rPr>
              <w:t>(4)%</w:t>
            </w:r>
          </w:p>
        </w:tc>
        <w:tc>
          <w:tcPr>
            <w:tcW w:w="700" w:type="dxa"/>
            <w:vAlign w:val="bottom"/>
            <w:gridSpan w:val="2"/>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w w:val="99"/>
              </w:rPr>
              <w:t>$(213)</w:t>
            </w:r>
          </w:p>
        </w:tc>
        <w:tc>
          <w:tcPr>
            <w:tcW w:w="1200" w:type="dxa"/>
            <w:vAlign w:val="bottom"/>
            <w:tcBorders>
              <w:right w:val="single" w:sz="8" w:color="CCEEFF"/>
            </w:tcBorders>
            <w:gridSpan w:val="6"/>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  $ (86)</w:t>
            </w:r>
          </w:p>
        </w:tc>
        <w:tc>
          <w:tcPr>
            <w:tcW w:w="220" w:type="dxa"/>
            <w:vAlign w:val="bottom"/>
            <w:shd w:val="clear" w:color="auto" w:fill="CCEEFF"/>
          </w:tcPr>
          <w:p>
            <w:pPr>
              <w:spacing w:after="0"/>
              <w:rPr>
                <w:sz w:val="17"/>
                <w:szCs w:val="17"/>
                <w:color w:val="auto"/>
              </w:rPr>
            </w:pPr>
          </w:p>
        </w:tc>
        <w:tc>
          <w:tcPr>
            <w:tcW w:w="50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940" w:type="dxa"/>
            <w:vAlign w:val="bottom"/>
            <w:shd w:val="clear" w:color="auto" w:fill="CCEEFF"/>
          </w:tcPr>
          <w:p>
            <w:pPr>
              <w:spacing w:after="0"/>
              <w:rPr>
                <w:sz w:val="4"/>
                <w:szCs w:val="4"/>
                <w:color w:val="auto"/>
              </w:rPr>
            </w:pPr>
          </w:p>
        </w:tc>
        <w:tc>
          <w:tcPr>
            <w:tcW w:w="700" w:type="dxa"/>
            <w:vAlign w:val="bottom"/>
            <w:tcBorders>
              <w:right w:val="single" w:sz="8" w:color="CCEEFF"/>
            </w:tcBorders>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 ​</w:t>
            </w:r>
          </w:p>
        </w:tc>
        <w:tc>
          <w:tcPr>
            <w:tcW w:w="200" w:type="dxa"/>
            <w:vAlign w:val="bottom"/>
            <w:vMerge w:val="continue"/>
            <w:shd w:val="clear" w:color="auto" w:fill="CCEEFF"/>
          </w:tcPr>
          <w:p>
            <w:pPr>
              <w:spacing w:after="0"/>
              <w:rPr>
                <w:sz w:val="4"/>
                <w:szCs w:val="4"/>
                <w:color w:val="auto"/>
              </w:rPr>
            </w:pPr>
          </w:p>
        </w:tc>
        <w:tc>
          <w:tcPr>
            <w:tcW w:w="520" w:type="dxa"/>
            <w:vAlign w:val="bottom"/>
            <w:gridSpan w:val="3"/>
            <w:shd w:val="clear" w:color="auto" w:fill="CCEEFF"/>
          </w:tcPr>
          <w:p>
            <w:pPr>
              <w:ind w:left="16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700" w:type="dxa"/>
            <w:vAlign w:val="bottom"/>
            <w:tcBorders>
              <w:right w:val="single" w:sz="8" w:color="CCEEFF"/>
            </w:tcBorders>
            <w:gridSpan w:val="2"/>
            <w:shd w:val="clear" w:color="auto" w:fill="CCEEFF"/>
          </w:tcPr>
          <w:p>
            <w:pPr>
              <w:jc w:val="center"/>
              <w:ind w:right="359"/>
              <w:spacing w:after="0" w:line="54" w:lineRule="exact"/>
              <w:rPr>
                <w:sz w:val="20"/>
                <w:szCs w:val="20"/>
                <w:color w:val="auto"/>
              </w:rPr>
            </w:pPr>
            <w:r>
              <w:rPr>
                <w:rFonts w:ascii="Times New Roman" w:cs="Times New Roman" w:eastAsia="Times New Roman" w:hAnsi="Times New Roman"/>
                <w:sz w:val="6"/>
                <w:szCs w:val="6"/>
                <w:color w:val="auto"/>
              </w:rPr>
              <w:t>​​ ​ ​</w:t>
            </w: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gridSpan w:val="3"/>
            <w:shd w:val="clear" w:color="auto" w:fill="CCEEFF"/>
          </w:tcPr>
          <w:p>
            <w:pPr>
              <w:ind w:left="120"/>
              <w:spacing w:after="0" w:line="54" w:lineRule="exact"/>
              <w:rPr>
                <w:sz w:val="20"/>
                <w:szCs w:val="20"/>
                <w:color w:val="auto"/>
              </w:rPr>
            </w:pPr>
            <w:r>
              <w:rPr>
                <w:rFonts w:ascii="Times New Roman" w:cs="Times New Roman" w:eastAsia="Times New Roman" w:hAnsi="Times New Roman"/>
                <w:sz w:val="6"/>
                <w:szCs w:val="6"/>
                <w:color w:val="auto"/>
              </w:rPr>
              <w:t>​</w:t>
            </w:r>
          </w:p>
        </w:tc>
        <w:tc>
          <w:tcPr>
            <w:tcW w:w="720" w:type="dxa"/>
            <w:vAlign w:val="bottom"/>
            <w:tcBorders>
              <w:right w:val="single" w:sz="8" w:color="CCEEFF"/>
            </w:tcBorders>
            <w:gridSpan w:val="3"/>
            <w:shd w:val="clear" w:color="auto" w:fill="CCEEFF"/>
          </w:tcPr>
          <w:p>
            <w:pPr>
              <w:jc w:val="right"/>
              <w:ind w:right="400"/>
              <w:spacing w:after="0" w:line="54" w:lineRule="exact"/>
              <w:rPr>
                <w:sz w:val="20"/>
                <w:szCs w:val="20"/>
                <w:color w:val="auto"/>
              </w:rPr>
            </w:pPr>
            <w:r>
              <w:rPr>
                <w:rFonts w:ascii="Times New Roman" w:cs="Times New Roman" w:eastAsia="Times New Roman" w:hAnsi="Times New Roman"/>
                <w:sz w:val="6"/>
                <w:szCs w:val="6"/>
                <w:color w:val="auto"/>
              </w:rPr>
              <w:t>​​ ​ ​</w:t>
            </w: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120" w:type="dxa"/>
            <w:vAlign w:val="bottom"/>
            <w:shd w:val="clear" w:color="auto" w:fill="CCEEFF"/>
          </w:tcPr>
          <w:p>
            <w:pPr>
              <w:spacing w:after="0"/>
              <w:rPr>
                <w:sz w:val="4"/>
                <w:szCs w:val="4"/>
                <w:color w:val="auto"/>
              </w:rPr>
            </w:pPr>
          </w:p>
        </w:tc>
        <w:tc>
          <w:tcPr>
            <w:tcW w:w="380" w:type="dxa"/>
            <w:vAlign w:val="bottom"/>
            <w:gridSpan w:val="3"/>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​509 ​​ ​</w:t>
            </w:r>
          </w:p>
        </w:tc>
        <w:tc>
          <w:tcPr>
            <w:tcW w:w="5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​450 ​​ ​</w:t>
            </w:r>
          </w:p>
        </w:tc>
        <w:tc>
          <w:tcPr>
            <w:tcW w:w="14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​47%​​ ​ ​ ​327 ​​ ​</w:t>
            </w:r>
          </w:p>
        </w:tc>
        <w:tc>
          <w:tcPr>
            <w:tcW w:w="120" w:type="dxa"/>
            <w:vAlign w:val="bottom"/>
          </w:tcPr>
          <w:p>
            <w:pPr>
              <w:spacing w:after="0"/>
              <w:rPr>
                <w:sz w:val="22"/>
                <w:szCs w:val="22"/>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700" w:type="dxa"/>
            <w:vAlign w:val="bottom"/>
            <w:tcBorders>
              <w:right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right w:val="single" w:sz="8" w:color="CCEEFF"/>
            </w:tcBorders>
            <w:gridSpan w:val="5"/>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w:t>
            </w: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right w:val="single" w:sz="8" w:color="CCEEFF"/>
            </w:tcBorders>
            <w:gridSpan w:val="6"/>
            <w:shd w:val="clear" w:color="auto" w:fill="CCEEFF"/>
          </w:tcPr>
          <w:p>
            <w:pPr>
              <w:ind w:left="1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9%</w:t>
            </w: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3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9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Adjusted Operating Income and Margin</w:t>
            </w:r>
          </w:p>
        </w:tc>
        <w:tc>
          <w:tcPr>
            <w:tcW w:w="7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549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5"/>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​40%</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color w:val="auto"/>
              </w:rPr>
              <w:t>$ 322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6"/>
          </w:tcPr>
          <w:p>
            <w:pPr>
              <w:ind w:lef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​33%</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2"/>
                <w:szCs w:val="22"/>
                <w:color w:val="auto"/>
              </w:rPr>
            </w:pPr>
          </w:p>
        </w:tc>
        <w:tc>
          <w:tcPr>
            <w:tcW w:w="46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​36%</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-719455</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-719455</wp:posOffset>
            </wp:positionV>
            <wp:extent cx="1200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4648835</wp:posOffset>
            </wp:positionH>
            <wp:positionV relativeFrom="paragraph">
              <wp:posOffset>-719455</wp:posOffset>
            </wp:positionV>
            <wp:extent cx="1371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-719455</wp:posOffset>
            </wp:positionV>
            <wp:extent cx="35229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91"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incurred an operating loss in each of 2021, 2020 and 2019. The decrease in our operating margin from 2019 to 2020 reflected the impact of increased headcount, including as a result of the acquisition of Moovit, and an increase in amortization of acquired intangibles. Our operating loss, and operating margin in each of these years included the effect of amortization of acquired intangible assets, as well as share-based compensation expense, each of which increased in each of 2020 and 2021 as compared to the preceding year.</w:t>
      </w:r>
    </w:p>
    <w:p>
      <w:pPr>
        <w:spacing w:after="0" w:line="336"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Our Adjusted Operating Income and Margin increased in fiscal 2021 primarily due to growth in our overall business driven by an increase in adoption of ADAS compared to 2020 and a slight improvement in global vehicle production. We expect that our Adjusted Operating Margin in future near-term years will decrease compared to 2021,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define Adjusted Net Income as net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The share based compensation adjustment did not have a material tax impact.</w:t>
      </w:r>
    </w:p>
    <w:p>
      <w:pPr>
        <w:sectPr>
          <w:pgSz w:w="11900" w:h="16838" w:orient="portrait"/>
          <w:cols w:equalWidth="0" w:num="1">
            <w:col w:w="9879"/>
          </w:cols>
          <w:pgMar w:left="580" w:top="97" w:right="1440" w:bottom="1440" w:gutter="0" w:footer="0" w:header="0"/>
          <w:type w:val="continuous"/>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Set forth below is the reconciliation of net loss to Adjusted Net Income:</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8"/>
          </w:tcPr>
          <w:p>
            <w:pPr>
              <w:ind w:left="1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25, 2021</w:t>
            </w:r>
          </w:p>
        </w:tc>
        <w:tc>
          <w:tcPr>
            <w:tcW w:w="24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December 26, 2020</w:t>
            </w:r>
          </w:p>
        </w:tc>
        <w:tc>
          <w:tcPr>
            <w:tcW w:w="40" w:type="dxa"/>
            <w:vAlign w:val="bottom"/>
          </w:tcPr>
          <w:p>
            <w:pPr>
              <w:spacing w:after="0"/>
              <w:rPr>
                <w:sz w:val="24"/>
                <w:szCs w:val="24"/>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28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December 28, 2019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4"/>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w:t>
            </w:r>
          </w:p>
        </w:tc>
        <w:tc>
          <w:tcPr>
            <w:tcW w:w="4480" w:type="dxa"/>
            <w:vAlign w:val="bottom"/>
            <w:gridSpan w:val="25"/>
          </w:tcPr>
          <w:p>
            <w:pPr>
              <w:ind w:left="18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right w:val="single" w:sz="8" w:color="CCEEFF"/>
            </w:tcBorders>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1"/>
              </w:rPr>
              <w:t>$ (75)</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4"/>
            <w:shd w:val="clear" w:color="auto" w:fill="CCEEFF"/>
          </w:tcPr>
          <w:p>
            <w:pPr>
              <w:jc w:val="right"/>
              <w:ind w:right="124"/>
              <w:spacing w:after="0" w:line="196" w:lineRule="exact"/>
              <w:rPr>
                <w:sz w:val="20"/>
                <w:szCs w:val="20"/>
                <w:color w:val="auto"/>
              </w:rPr>
            </w:pPr>
            <w:r>
              <w:rPr>
                <w:rFonts w:ascii="Times New Roman" w:cs="Times New Roman" w:eastAsia="Times New Roman" w:hAnsi="Times New Roman"/>
                <w:sz w:val="18"/>
                <w:szCs w:val="18"/>
                <w:color w:val="auto"/>
              </w:rPr>
              <w:t>(5)%</w:t>
            </w:r>
          </w:p>
        </w:tc>
        <w:tc>
          <w:tcPr>
            <w:tcW w:w="680" w:type="dxa"/>
            <w:vAlign w:val="bottom"/>
            <w:gridSpan w:val="3"/>
            <w:shd w:val="clear" w:color="auto" w:fill="CCEEFF"/>
          </w:tcPr>
          <w:p>
            <w:pPr>
              <w:jc w:val="right"/>
              <w:ind w:right="169"/>
              <w:spacing w:after="0" w:line="196" w:lineRule="exact"/>
              <w:rPr>
                <w:sz w:val="20"/>
                <w:szCs w:val="20"/>
                <w:color w:val="auto"/>
              </w:rPr>
            </w:pPr>
            <w:r>
              <w:rPr>
                <w:rFonts w:ascii="Times New Roman" w:cs="Times New Roman" w:eastAsia="Times New Roman" w:hAnsi="Times New Roman"/>
                <w:sz w:val="18"/>
                <w:szCs w:val="18"/>
                <w:color w:val="auto"/>
                <w:w w:val="95"/>
              </w:rPr>
              <w:t>$(196)</w:t>
            </w:r>
          </w:p>
        </w:tc>
        <w:tc>
          <w:tcPr>
            <w:tcW w:w="740" w:type="dxa"/>
            <w:vAlign w:val="bottom"/>
            <w:tcBorders>
              <w:right w:val="single" w:sz="8" w:color="CCEEFF"/>
            </w:tcBorders>
            <w:gridSpan w:val="5"/>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3"/>
            <w:shd w:val="clear" w:color="auto" w:fill="CCEEFF"/>
          </w:tcPr>
          <w:p>
            <w:pPr>
              <w:jc w:val="right"/>
              <w:ind w:right="169"/>
              <w:spacing w:after="0" w:line="196" w:lineRule="exact"/>
              <w:rPr>
                <w:sz w:val="20"/>
                <w:szCs w:val="20"/>
                <w:color w:val="auto"/>
              </w:rPr>
            </w:pPr>
            <w:r>
              <w:rPr>
                <w:rFonts w:ascii="Times New Roman" w:cs="Times New Roman" w:eastAsia="Times New Roman" w:hAnsi="Times New Roman"/>
                <w:sz w:val="18"/>
                <w:szCs w:val="18"/>
                <w:color w:val="auto"/>
                <w:w w:val="99"/>
              </w:rPr>
              <w:t>$(328)</w:t>
            </w:r>
          </w:p>
        </w:tc>
        <w:tc>
          <w:tcPr>
            <w:tcW w:w="500" w:type="dxa"/>
            <w:vAlign w:val="bottom"/>
            <w:gridSpan w:val="4"/>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w w:val="75"/>
              </w:rPr>
              <w:t>(37)%</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800" w:type="dxa"/>
            <w:vAlign w:val="bottom"/>
            <w:shd w:val="clear" w:color="auto" w:fill="CCEEFF"/>
          </w:tcPr>
          <w:p>
            <w:pPr>
              <w:spacing w:after="0"/>
              <w:rPr>
                <w:sz w:val="4"/>
                <w:szCs w:val="4"/>
                <w:color w:val="auto"/>
              </w:rPr>
            </w:pPr>
          </w:p>
        </w:tc>
        <w:tc>
          <w:tcPr>
            <w:tcW w:w="460" w:type="dxa"/>
            <w:vAlign w:val="bottom"/>
            <w:gridSpan w:val="2"/>
            <w:shd w:val="clear" w:color="auto" w:fill="CCEEFF"/>
          </w:tcPr>
          <w:p>
            <w:pPr>
              <w:ind w:left="180"/>
              <w:spacing w:after="0" w:line="54" w:lineRule="exact"/>
              <w:rPr>
                <w:sz w:val="20"/>
                <w:szCs w:val="20"/>
                <w:color w:val="auto"/>
              </w:rPr>
            </w:pPr>
            <w:r>
              <w:rPr>
                <w:rFonts w:ascii="Times New Roman" w:cs="Times New Roman" w:eastAsia="Times New Roman" w:hAnsi="Times New Roman"/>
                <w:sz w:val="6"/>
                <w:szCs w:val="6"/>
                <w:color w:val="auto"/>
              </w:rPr>
              <w:t>​ ​ ​</w:t>
            </w:r>
          </w:p>
        </w:tc>
        <w:tc>
          <w:tcPr>
            <w:tcW w:w="2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vMerge w:val="continue"/>
            <w:shd w:val="clear" w:color="auto" w:fill="CCEEFF"/>
          </w:tcPr>
          <w:p>
            <w:pPr>
              <w:spacing w:after="0"/>
              <w:rPr>
                <w:sz w:val="4"/>
                <w:szCs w:val="4"/>
                <w:color w:val="auto"/>
              </w:rPr>
            </w:pPr>
          </w:p>
        </w:tc>
        <w:tc>
          <w:tcPr>
            <w:tcW w:w="500" w:type="dxa"/>
            <w:vAlign w:val="bottom"/>
            <w:gridSpan w:val="3"/>
            <w:shd w:val="clear" w:color="auto" w:fill="CCEEFF"/>
          </w:tcPr>
          <w:p>
            <w:pPr>
              <w:jc w:val="right"/>
              <w:ind w:right="300"/>
              <w:spacing w:after="0" w:line="54" w:lineRule="exact"/>
              <w:rPr>
                <w:sz w:val="20"/>
                <w:szCs w:val="20"/>
                <w:color w:val="auto"/>
              </w:rPr>
            </w:pPr>
            <w:r>
              <w:rPr>
                <w:rFonts w:ascii="Times New Roman" w:cs="Times New Roman" w:eastAsia="Times New Roman" w:hAnsi="Times New Roman"/>
                <w:sz w:val="6"/>
                <w:szCs w:val="6"/>
                <w:b w:val="1"/>
                <w:bCs w:val="1"/>
                <w:color w:val="auto"/>
              </w:rPr>
              <w:t>​</w:t>
            </w:r>
          </w:p>
        </w:tc>
        <w:tc>
          <w:tcPr>
            <w:tcW w:w="30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 ​</w:t>
            </w:r>
          </w:p>
        </w:tc>
        <w:tc>
          <w:tcPr>
            <w:tcW w:w="40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480" w:type="dxa"/>
            <w:vAlign w:val="bottom"/>
            <w:gridSpan w:val="3"/>
            <w:shd w:val="clear" w:color="auto" w:fill="CCEEFF"/>
          </w:tcPr>
          <w:p>
            <w:pPr>
              <w:ind w:left="140"/>
              <w:spacing w:after="0" w:line="54" w:lineRule="exact"/>
              <w:rPr>
                <w:sz w:val="20"/>
                <w:szCs w:val="20"/>
                <w:color w:val="auto"/>
              </w:rPr>
            </w:pPr>
            <w:r>
              <w:rPr>
                <w:rFonts w:ascii="Times New Roman" w:cs="Times New Roman" w:eastAsia="Times New Roman" w:hAnsi="Times New Roman"/>
                <w:sz w:val="6"/>
                <w:szCs w:val="6"/>
                <w:color w:val="auto"/>
              </w:rPr>
              <w:t>​</w:t>
            </w:r>
          </w:p>
        </w:tc>
        <w:tc>
          <w:tcPr>
            <w:tcW w:w="360" w:type="dxa"/>
            <w:vAlign w:val="bottom"/>
            <w:gridSpan w:val="3"/>
            <w:shd w:val="clear" w:color="auto" w:fill="CCEEFF"/>
          </w:tcPr>
          <w:p>
            <w:pPr>
              <w:jc w:val="center"/>
              <w:spacing w:after="0" w:line="54" w:lineRule="exact"/>
              <w:rPr>
                <w:sz w:val="20"/>
                <w:szCs w:val="20"/>
                <w:color w:val="auto"/>
              </w:rPr>
            </w:pPr>
            <w:r>
              <w:rPr>
                <w:rFonts w:ascii="Times New Roman" w:cs="Times New Roman" w:eastAsia="Times New Roman" w:hAnsi="Times New Roman"/>
                <w:sz w:val="6"/>
                <w:szCs w:val="6"/>
                <w:color w:val="auto"/>
              </w:rPr>
              <w:t>​​ ​ ​</w:t>
            </w:r>
          </w:p>
        </w:tc>
        <w:tc>
          <w:tcPr>
            <w:tcW w:w="380" w:type="dxa"/>
            <w:vAlign w:val="bottom"/>
            <w:tcBorders>
              <w:right w:val="single" w:sz="8" w:color="CCEEFF"/>
            </w:tcBorders>
            <w:shd w:val="clear" w:color="auto" w:fill="CCEEFF"/>
          </w:tcPr>
          <w:p>
            <w:pPr>
              <w:spacing w:after="0"/>
              <w:rPr>
                <w:sz w:val="4"/>
                <w:szCs w:val="4"/>
                <w:color w:val="auto"/>
              </w:rPr>
            </w:pPr>
          </w:p>
        </w:tc>
        <w:tc>
          <w:tcPr>
            <w:tcW w:w="220" w:type="dxa"/>
            <w:vAlign w:val="bottom"/>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 ​</w:t>
            </w:r>
          </w:p>
        </w:tc>
        <w:tc>
          <w:tcPr>
            <w:tcW w:w="220" w:type="dxa"/>
            <w:vAlign w:val="bottom"/>
            <w:gridSpan w:val="2"/>
            <w:shd w:val="clear" w:color="auto" w:fill="CCEEFF"/>
          </w:tcPr>
          <w:p>
            <w:pPr>
              <w:ind w:left="120"/>
              <w:spacing w:after="0" w:line="54" w:lineRule="exact"/>
              <w:rPr>
                <w:sz w:val="20"/>
                <w:szCs w:val="20"/>
                <w:color w:val="auto"/>
              </w:rPr>
            </w:pPr>
            <w:r>
              <w:rPr>
                <w:rFonts w:ascii="Times New Roman" w:cs="Times New Roman" w:eastAsia="Times New Roman" w:hAnsi="Times New Roman"/>
                <w:sz w:val="6"/>
                <w:szCs w:val="6"/>
                <w:color w:val="auto"/>
              </w:rPr>
              <w:t>​</w:t>
            </w: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Add: Amortization of acquired intangible assets</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​509 ​​ ​</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 ​</w:t>
            </w:r>
          </w:p>
        </w:tc>
        <w:tc>
          <w:tcPr>
            <w:tcW w:w="84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​47%​​ ​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 ​​ ​</w:t>
            </w:r>
          </w:p>
        </w:tc>
        <w:tc>
          <w:tcPr>
            <w:tcW w:w="5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w:t>
            </w:r>
          </w:p>
        </w:tc>
        <w:tc>
          <w:tcPr>
            <w:tcW w:w="10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97 ​​ ​</w:t>
            </w: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 ​ ​</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 ​​ ​</w:t>
            </w:r>
          </w:p>
        </w:tc>
        <w:tc>
          <w:tcPr>
            <w:tcW w:w="84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9%​​ ​ ​</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 ​​ ​</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3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Income tax effects</w:t>
            </w:r>
          </w:p>
        </w:tc>
        <w:tc>
          <w:tcPr>
            <w:tcW w:w="4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​(57)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jc w:val="right"/>
              <w:ind w:right="124"/>
              <w:spacing w:after="0" w:line="202" w:lineRule="exact"/>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7"/>
                <w:szCs w:val="17"/>
                <w:color w:val="auto"/>
              </w:rPr>
            </w:pPr>
          </w:p>
        </w:tc>
        <w:tc>
          <w:tcPr>
            <w:tcW w:w="620" w:type="dxa"/>
            <w:vAlign w:val="bottom"/>
            <w:gridSpan w:val="2"/>
          </w:tcPr>
          <w:p>
            <w:pPr>
              <w:jc w:val="right"/>
              <w:ind w:right="169"/>
              <w:spacing w:after="0" w:line="202" w:lineRule="exact"/>
              <w:rPr>
                <w:sz w:val="20"/>
                <w:szCs w:val="20"/>
                <w:color w:val="auto"/>
              </w:rPr>
            </w:pPr>
            <w:r>
              <w:rPr>
                <w:rFonts w:ascii="Times New Roman" w:cs="Times New Roman" w:eastAsia="Times New Roman" w:hAnsi="Times New Roman"/>
                <w:sz w:val="18"/>
                <w:szCs w:val="18"/>
                <w:color w:val="auto"/>
              </w:rPr>
              <w:t>​ (50)</w:t>
            </w:r>
          </w:p>
        </w:tc>
        <w:tc>
          <w:tcPr>
            <w:tcW w:w="140" w:type="dxa"/>
            <w:vAlign w:val="bottom"/>
          </w:tcPr>
          <w:p>
            <w:pPr>
              <w:spacing w:after="0"/>
              <w:rPr>
                <w:sz w:val="17"/>
                <w:szCs w:val="17"/>
                <w:color w:val="auto"/>
              </w:rPr>
            </w:pPr>
          </w:p>
        </w:tc>
        <w:tc>
          <w:tcPr>
            <w:tcW w:w="600" w:type="dxa"/>
            <w:vAlign w:val="bottom"/>
            <w:gridSpan w:val="4"/>
          </w:tcPr>
          <w:p>
            <w:pPr>
              <w:spacing w:after="0" w:line="202" w:lineRule="exact"/>
              <w:rPr>
                <w:sz w:val="20"/>
                <w:szCs w:val="20"/>
                <w:color w:val="auto"/>
              </w:rPr>
            </w:pPr>
            <w:r>
              <w:rPr>
                <w:rFonts w:ascii="Times New Roman" w:cs="Times New Roman" w:eastAsia="Times New Roman" w:hAnsi="Times New Roman"/>
                <w:sz w:val="18"/>
                <w:szCs w:val="18"/>
                <w:color w:val="auto"/>
              </w:rPr>
              <w:t>​ (5)%</w:t>
            </w:r>
          </w:p>
        </w:tc>
        <w:tc>
          <w:tcPr>
            <w:tcW w:w="100" w:type="dxa"/>
            <w:vAlign w:val="bottom"/>
          </w:tcPr>
          <w:p>
            <w:pPr>
              <w:spacing w:after="0"/>
              <w:rPr>
                <w:sz w:val="17"/>
                <w:szCs w:val="17"/>
                <w:color w:val="auto"/>
              </w:rPr>
            </w:pPr>
          </w:p>
        </w:tc>
        <w:tc>
          <w:tcPr>
            <w:tcW w:w="600" w:type="dxa"/>
            <w:vAlign w:val="bottom"/>
            <w:gridSpan w:val="2"/>
          </w:tcPr>
          <w:p>
            <w:pPr>
              <w:jc w:val="right"/>
              <w:ind w:right="169"/>
              <w:spacing w:after="0" w:line="202" w:lineRule="exact"/>
              <w:rPr>
                <w:sz w:val="20"/>
                <w:szCs w:val="20"/>
                <w:color w:val="auto"/>
              </w:rPr>
            </w:pPr>
            <w:r>
              <w:rPr>
                <w:rFonts w:ascii="Times New Roman" w:cs="Times New Roman" w:eastAsia="Times New Roman" w:hAnsi="Times New Roman"/>
                <w:sz w:val="18"/>
                <w:szCs w:val="18"/>
                <w:color w:val="auto"/>
              </w:rPr>
              <w:t>​ (24)</w:t>
            </w:r>
          </w:p>
        </w:tc>
        <w:tc>
          <w:tcPr>
            <w:tcW w:w="120" w:type="dxa"/>
            <w:vAlign w:val="bottom"/>
          </w:tcPr>
          <w:p>
            <w:pPr>
              <w:spacing w:after="0"/>
              <w:rPr>
                <w:sz w:val="17"/>
                <w:szCs w:val="17"/>
                <w:color w:val="auto"/>
              </w:rPr>
            </w:pPr>
          </w:p>
        </w:tc>
        <w:tc>
          <w:tcPr>
            <w:tcW w:w="46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auto"/>
              </w:rPr>
              <w:t>​ (3)%</w:t>
            </w:r>
          </w:p>
        </w:tc>
        <w:tc>
          <w:tcPr>
            <w:tcW w:w="0" w:type="dxa"/>
            <w:vAlign w:val="bottom"/>
          </w:tcPr>
          <w:p>
            <w:pPr>
              <w:spacing w:after="0"/>
              <w:rPr>
                <w:sz w:val="1"/>
                <w:szCs w:val="1"/>
                <w:color w:val="auto"/>
              </w:rPr>
            </w:pPr>
          </w:p>
        </w:tc>
      </w:tr>
      <w:tr>
        <w:trPr>
          <w:trHeight w:val="68"/>
        </w:trPr>
        <w:tc>
          <w:tcPr>
            <w:tcW w:w="38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500" w:type="dxa"/>
            <w:vAlign w:val="bottom"/>
            <w:gridSpan w:val="3"/>
          </w:tcPr>
          <w:p>
            <w:pPr>
              <w:jc w:val="right"/>
              <w:ind w:right="300"/>
              <w:spacing w:after="0" w:line="68" w:lineRule="exact"/>
              <w:rPr>
                <w:sz w:val="20"/>
                <w:szCs w:val="20"/>
                <w:color w:val="auto"/>
              </w:rPr>
            </w:pPr>
            <w:r>
              <w:rPr>
                <w:rFonts w:ascii="Times New Roman" w:cs="Times New Roman" w:eastAsia="Times New Roman" w:hAnsi="Times New Roman"/>
                <w:sz w:val="7"/>
                <w:szCs w:val="7"/>
                <w:color w:val="auto"/>
              </w:rPr>
              <w:t>​</w:t>
            </w:r>
          </w:p>
        </w:tc>
        <w:tc>
          <w:tcPr>
            <w:tcW w:w="30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40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480" w:type="dxa"/>
            <w:vAlign w:val="bottom"/>
            <w:gridSpan w:val="3"/>
          </w:tcPr>
          <w:p>
            <w:pPr>
              <w:ind w:left="140"/>
              <w:spacing w:after="0" w:line="68" w:lineRule="exact"/>
              <w:rPr>
                <w:sz w:val="20"/>
                <w:szCs w:val="20"/>
                <w:color w:val="auto"/>
              </w:rPr>
            </w:pPr>
            <w:r>
              <w:rPr>
                <w:rFonts w:ascii="Times New Roman" w:cs="Times New Roman" w:eastAsia="Times New Roman" w:hAnsi="Times New Roman"/>
                <w:sz w:val="7"/>
                <w:szCs w:val="7"/>
                <w:color w:val="auto"/>
              </w:rPr>
              <w:t>​</w:t>
            </w:r>
          </w:p>
        </w:tc>
        <w:tc>
          <w:tcPr>
            <w:tcW w:w="360" w:type="dxa"/>
            <w:vAlign w:val="bottom"/>
            <w:gridSpan w:val="3"/>
          </w:tcPr>
          <w:p>
            <w:pPr>
              <w:jc w:val="center"/>
              <w:spacing w:after="0" w:line="68" w:lineRule="exact"/>
              <w:rPr>
                <w:sz w:val="20"/>
                <w:szCs w:val="20"/>
                <w:color w:val="auto"/>
              </w:rPr>
            </w:pPr>
            <w:r>
              <w:rPr>
                <w:rFonts w:ascii="Times New Roman" w:cs="Times New Roman" w:eastAsia="Times New Roman" w:hAnsi="Times New Roman"/>
                <w:sz w:val="7"/>
                <w:szCs w:val="7"/>
                <w:color w:val="auto"/>
              </w:rPr>
              <w:t>​​ ​ ​</w:t>
            </w:r>
          </w:p>
        </w:tc>
        <w:tc>
          <w:tcPr>
            <w:tcW w:w="380" w:type="dxa"/>
            <w:vAlign w:val="bottom"/>
          </w:tcPr>
          <w:p>
            <w:pPr>
              <w:spacing w:after="0"/>
              <w:rPr>
                <w:sz w:val="5"/>
                <w:szCs w:val="5"/>
                <w:color w:val="auto"/>
              </w:rPr>
            </w:pPr>
          </w:p>
        </w:tc>
        <w:tc>
          <w:tcPr>
            <w:tcW w:w="2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w:t>
            </w:r>
          </w:p>
        </w:tc>
        <w:tc>
          <w:tcPr>
            <w:tcW w:w="220" w:type="dxa"/>
            <w:vAlign w:val="bottom"/>
            <w:gridSpan w:val="2"/>
          </w:tcPr>
          <w:p>
            <w:pPr>
              <w:ind w:left="120"/>
              <w:spacing w:after="0" w:line="68"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tcPr>
          <w:p>
            <w:pPr>
              <w:spacing w:after="0"/>
              <w:rPr>
                <w:sz w:val="5"/>
                <w:szCs w:val="5"/>
                <w:color w:val="auto"/>
              </w:rPr>
            </w:pPr>
          </w:p>
        </w:tc>
        <w:tc>
          <w:tcPr>
            <w:tcW w:w="200" w:type="dxa"/>
            <w:vAlign w:val="bottom"/>
            <w:gridSpan w:val="2"/>
          </w:tcPr>
          <w:p>
            <w:pPr>
              <w:ind w:left="120"/>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38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040" w:type="dxa"/>
            <w:vAlign w:val="bottom"/>
            <w:gridSpan w:val="5"/>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xml:space="preserve"> ​​ ​</w:t>
            </w:r>
          </w:p>
        </w:tc>
        <w:tc>
          <w:tcPr>
            <w:tcW w:w="1420" w:type="dxa"/>
            <w:vAlign w:val="bottom"/>
            <w:gridSpan w:val="7"/>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​34%</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$ 289</w:t>
            </w:r>
            <w:r>
              <w:rPr>
                <w:rFonts w:ascii="Times New Roman" w:cs="Times New Roman" w:eastAsia="Times New Roman" w:hAnsi="Times New Roman"/>
                <w:sz w:val="15"/>
                <w:szCs w:val="15"/>
                <w:color w:val="auto"/>
              </w:rPr>
              <w:t xml:space="preserve"> ​​ ​</w:t>
            </w:r>
          </w:p>
        </w:tc>
        <w:tc>
          <w:tcPr>
            <w:tcW w:w="840" w:type="dxa"/>
            <w:vAlign w:val="bottom"/>
            <w:gridSpan w:val="6"/>
            <w:shd w:val="clear" w:color="auto" w:fill="CCEEFF"/>
          </w:tcPr>
          <w:p>
            <w:pPr>
              <w:ind w:lef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​30%</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60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perscript"/>
              </w:rPr>
              <w:t>51</w:t>
            </w:r>
            <w:r>
              <w:rPr>
                <w:rFonts w:ascii="Times New Roman" w:cs="Times New Roman" w:eastAsia="Times New Roman" w:hAnsi="Times New Roman"/>
                <w:sz w:val="15"/>
                <w:szCs w:val="15"/>
                <w:color w:val="auto"/>
              </w:rPr>
              <w:t xml:space="preserve"> ​​ ​</w:t>
            </w:r>
          </w:p>
        </w:tc>
        <w:tc>
          <w:tcPr>
            <w:tcW w:w="220" w:type="dxa"/>
            <w:vAlign w:val="bottom"/>
            <w:gridSpan w:val="2"/>
            <w:shd w:val="clear" w:color="auto" w:fill="CCEEFF"/>
          </w:tcPr>
          <w:p>
            <w:pPr>
              <w:ind w:left="1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-213995</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5523230</wp:posOffset>
            </wp:positionH>
            <wp:positionV relativeFrom="paragraph">
              <wp:posOffset>-213995</wp:posOffset>
            </wp:positionV>
            <wp:extent cx="24828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-213995</wp:posOffset>
            </wp:positionV>
            <wp:extent cx="44488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448810" cy="8255"/>
                    </a:xfrm>
                    <a:prstGeom prst="rect">
                      <a:avLst/>
                    </a:prstGeom>
                    <a:noFill/>
                  </pic:spPr>
                </pic:pic>
              </a:graphicData>
            </a:graphic>
          </wp:anchor>
        </w:drawing>
        <w:drawing>
          <wp:anchor simplePos="0" relativeHeight="251657728" behindDoc="1" locked="0" layoutInCell="0" allowOverlap="1">
            <wp:simplePos x="0" y="0"/>
            <wp:positionH relativeFrom="column">
              <wp:posOffset>5549265</wp:posOffset>
            </wp:positionH>
            <wp:positionV relativeFrom="paragraph">
              <wp:posOffset>-882650</wp:posOffset>
            </wp:positionV>
            <wp:extent cx="13716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-882650</wp:posOffset>
            </wp:positionV>
            <wp:extent cx="1200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4640580</wp:posOffset>
            </wp:positionH>
            <wp:positionV relativeFrom="paragraph">
              <wp:posOffset>-882650</wp:posOffset>
            </wp:positionV>
            <wp:extent cx="137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-882650</wp:posOffset>
            </wp:positionV>
            <wp:extent cx="35147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91"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net loss in each of 2021, 2020 and 2019 included the effect of amortization of acquired intangible assets, as well as share-based compensation expense, each of which increased in each of 2020 and 2021 as compared to the preceding year. The decrease in our net loss in 2021 as compared to 2020 reflects growth in our overall business, driven by an increase in adoption of ADAS compared to 2020 and a slight improvement in global vehicle production. The decrease in our net loss in 2020 as compared to 2019 was attributable in part to the impact of net interest expense of $235 million in 2019, primarily related to interest expense in connection with a loan from Intel, which was converted to equity.</w:t>
      </w:r>
    </w:p>
    <w:p>
      <w:pPr>
        <w:spacing w:after="0" w:line="114"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Our Adjusted Net Income increased in fiscal 2021 primarily due to growth in our overall business, driven by an increase in adoption of ADAS compared to 2020 and a slight improvement in global vehicle production. We expect that our Adjusted Net Income margin (which is the Adjusted Net Income divided by total revenue) in future near-term years will decrease compared to 2021, mainly due to additional research and development headcount and higher direct expenses that we expect to incur in connection with the development of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 enhancements, and the productization of our AV solutions and active sensor suite.</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4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9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3% growth in global vehicle production year over year in 2021, production in 2021 was still approximately 13% below the 2019 level. However, ADAS volumes have grown faster in recent years than the overall automotive market as ADAS penetration rates have increased, and we believe that we will continue to benefit from that trend. We expect to continue to capitalize on our strong and collaborative relationships with OEMs and Tier 1s to expand our presence in key markets and capture the long-term growth opportunities in those markets.</w:t>
      </w:r>
    </w:p>
    <w:p>
      <w:pPr>
        <w:spacing w:after="0" w:line="12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 As of the end of 2021, our solutions had been installed in more than 700 vehicle models (including local country variations), and our SoCs had been deployed in over 100 million</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vehicles. We are actively working with more than 50 OEMs worldwide on the implementation of our ADAS solutions, and we announced over 40 new design wins in 2021.</w:t>
      </w:r>
    </w:p>
    <w:p>
      <w:pPr>
        <w:spacing w:after="0" w:line="77" w:lineRule="exact"/>
        <w:rPr>
          <w:sz w:val="20"/>
          <w:szCs w:val="20"/>
          <w:color w:val="auto"/>
        </w:rPr>
      </w:pPr>
    </w:p>
    <w:p>
      <w:pPr>
        <w:ind w:left="1260" w:right="419" w:firstLine="360"/>
        <w:spacing w:after="0" w:line="23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 and design highly 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further enables scalable ECU architectures, supporting a variety of ADAS solution architectures, and our recently announced EyeQ Ultra™ AV-on- Chip is designed to host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 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 consumption, both from an on-board technology and sensor suite perspective, will be critical to enabling the mass adoption of autonomous driving solutions. While our significant investments in these technologies may not result in revenue in the near term, we believe these investments will position us for revenue growth over time.</w:t>
      </w:r>
    </w:p>
    <w:p>
      <w:pPr>
        <w:spacing w:after="0" w:line="1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We are recognized for our top-rated safety with 67% of Euro NCAP 5 star rated vehicle models for 2018-2021 equipped with our solutions.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2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340" w:lineRule="exact"/>
        <w:rPr>
          <w:sz w:val="20"/>
          <w:szCs w:val="20"/>
          <w:color w:val="auto"/>
        </w:rPr>
      </w:pPr>
    </w:p>
    <w:p>
      <w:pPr>
        <w:ind w:left="1260" w:right="51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66" w:lineRule="auto"/>
        <w:rPr>
          <w:sz w:val="20"/>
          <w:szCs w:val="20"/>
          <w:color w:val="auto"/>
        </w:rPr>
      </w:pPr>
      <w:r>
        <w:rPr>
          <w:rFonts w:ascii="Times New Roman" w:cs="Times New Roman" w:eastAsia="Times New Roman" w:hAnsi="Times New Roman"/>
          <w:sz w:val="18"/>
          <w:szCs w:val="18"/>
          <w:color w:val="auto"/>
        </w:rPr>
        <w:t>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0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and gross margin, as our prices vary significantly across our solutions. The price of our solutions depends on the bundle of applications that are included in the specific product. Our solutions have different margin profiles. As we develop and sell full systems that include hardware beyond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we expect that our gross margin will decrease on a percentage basis because of the greater hardware content. However, as a result of a higher expected selling price for such systems, we expect our gross profit per unit will increase on a dollar basis.</w:t>
      </w:r>
    </w:p>
    <w:p>
      <w:pPr>
        <w:spacing w:after="0" w:line="13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ASPs vary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believe our differentiated and scalable solutions consistently enhanced by additional features can enable us to maintain or increase overall ASPs over time.</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and our gross margin has been and may continue to be affected 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333" w:lineRule="exact"/>
        <w:rPr>
          <w:sz w:val="20"/>
          <w:szCs w:val="20"/>
          <w:color w:val="auto"/>
        </w:rPr>
      </w:pPr>
    </w:p>
    <w:p>
      <w:pPr>
        <w:ind w:left="1260" w:right="439" w:firstLine="360"/>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2021, STMicroelectronics, our sole supplier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was not able to meet our demand for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causing a significant reduction in our inventory level, and we expect we will continue to experience a shortfall of chips during 2022 fiscal year, which may cause a delay in our ability to fulfill our customers’ orders. Additionally, we face additional supply chain risks as a result of our reliance on single or limited suppliers and vendors for certain components, equipment and services.</w:t>
      </w:r>
    </w:p>
    <w:p>
      <w:pPr>
        <w:spacing w:after="0" w:line="133"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Public company expenses. </w:t>
      </w:r>
      <w:r>
        <w:rPr>
          <w:rFonts w:ascii="Times New Roman" w:cs="Times New Roman" w:eastAsia="Times New Roman" w:hAnsi="Times New Roman"/>
          <w:sz w:val="18"/>
          <w:szCs w:val="18"/>
          <w:color w:val="auto"/>
        </w:rPr>
        <w:t>As a public company, we will be implementing additional procedures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processes for the purpose of addressing the standards and requirements applicable to public companies. In particular, we expect our accounting, legal and personnel-related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following this offering will reflect the impact of these expenses. We also expect the costs of our insurance, including directors’ and officers’ insurance and insurance coverage for AV activity, to increase as a result of higher premiums.</w:t>
      </w:r>
    </w:p>
    <w:p>
      <w:pPr>
        <w:spacing w:after="0" w:line="32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this offering, we have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spacing w:after="0" w:line="297" w:lineRule="auto"/>
        <w:rPr>
          <w:sz w:val="20"/>
          <w:szCs w:val="20"/>
          <w:color w:val="auto"/>
        </w:rPr>
      </w:pPr>
      <w:r>
        <w:rPr>
          <w:rFonts w:ascii="Times New Roman" w:cs="Times New Roman" w:eastAsia="Times New Roman" w:hAnsi="Times New Roman"/>
          <w:sz w:val="18"/>
          <w:szCs w:val="18"/>
          <w:color w:val="auto"/>
        </w:rPr>
        <w:t>Equity compensation has been, and will continue to be, an important part of our future compensation strategy and a significant component of our future expenses, which we expect to increase over time.</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We generate the vast majority of our revenue from the sale of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88" w:lineRule="exact"/>
        <w:rPr>
          <w:sz w:val="20"/>
          <w:szCs w:val="20"/>
          <w:color w:val="auto"/>
        </w:rPr>
      </w:pPr>
    </w:p>
    <w:p>
      <w:pPr>
        <w:ind w:left="1260" w:right="499" w:firstLine="360"/>
        <w:spacing w:after="0" w:line="236"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sales represented approximately 94%, 93%, and 91% of our revenue for each of the years 2021, 2020 and 2019, respectively. Sales of our aftermarket products represented the majority of the remainder of our revenue for 2021, 2020 and 2019. Revenue from the sale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products and from the sale of our aftermarket products is recognized at the time of product shipment from our facilities, as determined by the agreed-upon shipping terms.</w:t>
      </w:r>
    </w:p>
    <w:p>
      <w:pPr>
        <w:spacing w:after="0" w:line="13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Our sales to any single Tier 1 automotive supplier typically cover more than one OEM and more than one production program from any OEM.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7" w:lineRule="exact"/>
        <w:rPr>
          <w:sz w:val="20"/>
          <w:szCs w:val="20"/>
          <w:color w:val="auto"/>
        </w:rPr>
      </w:pPr>
    </w:p>
    <w:p>
      <w:pPr>
        <w:ind w:left="1260" w:right="519" w:firstLine="360"/>
        <w:spacing w:after="0" w:line="233"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personnel-related expenses, including share-based compensation for employees on our operations teams, logistics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48" w:lineRule="exact"/>
        <w:rPr>
          <w:sz w:val="20"/>
          <w:szCs w:val="20"/>
          <w:color w:val="auto"/>
        </w:rPr>
      </w:pPr>
    </w:p>
    <w:p>
      <w:pPr>
        <w:ind w:left="1260" w:right="839" w:firstLine="360"/>
        <w:spacing w:after="0" w:line="271"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related to personnel,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1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09" w:lineRule="exact"/>
        <w:rPr>
          <w:sz w:val="20"/>
          <w:szCs w:val="20"/>
          <w:color w:val="auto"/>
        </w:rPr>
      </w:pPr>
    </w:p>
    <w:p>
      <w:pPr>
        <w:ind w:left="1260" w:right="559" w:firstLine="360"/>
        <w:spacing w:after="0"/>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2021,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generations,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enhancements, and the productization of our AV solutions and active sensor suite.</w:t>
      </w: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6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10" w:lineRule="exact"/>
        <w:rPr>
          <w:sz w:val="20"/>
          <w:szCs w:val="20"/>
          <w:color w:val="auto"/>
        </w:rPr>
      </w:pPr>
    </w:p>
    <w:p>
      <w:pPr>
        <w:ind w:left="1260" w:right="599" w:firstLine="360"/>
        <w:spacing w:after="0" w:line="253" w:lineRule="auto"/>
        <w:rPr>
          <w:sz w:val="20"/>
          <w:szCs w:val="20"/>
          <w:color w:val="auto"/>
        </w:rPr>
      </w:pPr>
      <w:r>
        <w:rPr>
          <w:rFonts w:ascii="Times New Roman" w:cs="Times New Roman" w:eastAsia="Times New Roman" w:hAnsi="Times New Roman"/>
          <w:sz w:val="18"/>
          <w:szCs w:val="18"/>
          <w:color w:val="auto"/>
        </w:rPr>
        <w:t>We expect to increase our sales and marketing expenses as we continue our efforts to increase market awareness of the benefits of our solutions, but we expect sales and marketing expenses to decrease as</w:t>
      </w:r>
    </w:p>
    <w:p>
      <w:pPr>
        <w:ind w:left="1260"/>
        <w:spacing w:after="0"/>
        <w:rPr>
          <w:sz w:val="20"/>
          <w:szCs w:val="20"/>
          <w:color w:val="auto"/>
        </w:rPr>
      </w:pPr>
      <w:r>
        <w:rPr>
          <w:rFonts w:ascii="Times New Roman" w:cs="Times New Roman" w:eastAsia="Times New Roman" w:hAnsi="Times New Roman"/>
          <w:sz w:val="18"/>
          <w:szCs w:val="18"/>
          <w:color w:val="auto"/>
        </w:rPr>
        <w:t>a percentage of total revenue as our business grows.</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62" w:lineRule="exact"/>
        <w:rPr>
          <w:sz w:val="20"/>
          <w:szCs w:val="20"/>
          <w:color w:val="auto"/>
        </w:rPr>
      </w:pPr>
    </w:p>
    <w:p>
      <w:pPr>
        <w:ind w:left="1260" w:right="879" w:firstLine="36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09"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Sarbanes-Oxley Act and other SEC rules and regulations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and Other Expense</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For purposes of the acquisition of Mobileye in 2017, we entered into a loan agreement with Intel. The loan amount of $15.3 billion bore interest at a rate based on the short term quarterly Applicable Federal Rate published by the Internal Revenue Service. In 2019, the outstanding principal balance of $15.3 billion was converted to equity as a contribution by Intel and the amount of $679 million accumulated interest on the loan was converted to equity in 2020. There was no outstanding principal or interest balance as of December 25, 2021 or December 26, 2020.</w:t>
      </w:r>
    </w:p>
    <w:p>
      <w:pPr>
        <w:spacing w:after="0" w:line="114"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Our interest income consists of interest earned on a loan to Intel in the amount of $1.3 billion as of December 25, 2021 and December 26, 2020.</w:t>
      </w:r>
    </w:p>
    <w:p>
      <w:pPr>
        <w:spacing w:after="0" w:line="81"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Our functional currency is the U.S. dollar. Other expense consists primarily of fluctuations in value due to foreign exchange differences between our monetary assets and liabilities denominated in New Israeli Shekels and to a much lesser extent, the Euro, the Chinese Yuan, the Japanese Yen, and other currencies.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and amortization of deferred tax liability with respect to acquired intangible assets. We are eligible for certain tax benefits in Israel under the Investment Law, at a reduced tax rate, subject to specified terms.</w:t>
      </w:r>
    </w:p>
    <w:p>
      <w:pPr>
        <w:spacing w:after="0" w:line="11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During the years presented in our combined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combined financial statements has been calculated using the separate return method as if we had filed our own tax returns. We will present tax loss carry-forward amounts that have not been utilized by Intel only to the extent such tax attributes can be claimed on a separate income tax return as opposed to a consolidated income tax return filing with Intel. Use of the separate return method may result in differences when amounts allocated to our separate income tax provision are compared to Intel’s income tax provision.</w:t>
      </w:r>
    </w:p>
    <w:p>
      <w:pPr>
        <w:spacing w:after="0" w:line="34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United States as a branch entity. As a result, these operations are taxed both in the United States and Israel. For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U.S. tax purposes, there are favorable future tax deductions that could not be benefited due to a valuation allowance position. If warranted in the future by our actual and projected profitability, valuation allowances may be released, resulting in a benefit at that time. The valuation allowance also resulted in a residual tax expense associated with a deferred tax liability recorded for goodwill in the year ended December 25, 2021.</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combined financial statements primarily related to U.S. branch deferred tax assets not currently expected to be realized given that we have sustained recent losses based on the separate return method.</w:t>
      </w:r>
    </w:p>
    <w:p>
      <w:pPr>
        <w:spacing w:after="0" w:line="11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Net operating losses reported in the Intel consolidated tax return have not been reflected in our combined financial statements based on a return reality methodology since they will not be available to us in future periods.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tbl>
      <w:tblPr>
        <w:tblLayout w:type="fixed"/>
        <w:tblInd w:w="1260" w:type="dxa"/>
        <w:tblCellMar>
          <w:top w:w="0" w:type="dxa"/>
          <w:left w:w="0" w:type="dxa"/>
          <w:bottom w:w="0" w:type="dxa"/>
          <w:right w:w="0" w:type="dxa"/>
        </w:tblCellMar>
      </w:tblPr>
      <w:tr>
        <w:trPr>
          <w:trHeight w:val="378"/>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4"/>
          </w:tcPr>
          <w:p>
            <w:pPr>
              <w:ind w:left="12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25, 2021</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December 26, 2020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5"/>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December 28, 2019 </w:t>
            </w:r>
            <w:r>
              <w:rPr>
                <w:rFonts w:ascii="Times New Roman" w:cs="Times New Roman" w:eastAsia="Times New Roman" w:hAnsi="Times New Roman"/>
                <w:sz w:val="28"/>
                <w:szCs w:val="28"/>
                <w:b w:val="1"/>
                <w:bCs w:val="1"/>
                <w:color w:val="auto"/>
                <w:vertAlign w:val="subscript"/>
              </w:rPr>
              <w:t>​</w:t>
            </w:r>
          </w:p>
        </w:tc>
      </w:tr>
      <w:tr>
        <w:trPr>
          <w:trHeight w:val="171"/>
        </w:trPr>
        <w:tc>
          <w:tcPr>
            <w:tcW w:w="2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4"/>
                <w:szCs w:val="14"/>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 in millions)</w:t>
            </w:r>
          </w:p>
        </w:tc>
        <w:tc>
          <w:tcPr>
            <w:tcW w:w="4120" w:type="dxa"/>
            <w:vAlign w:val="bottom"/>
            <w:gridSpan w:val="9"/>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 </w:t>
            </w:r>
            <w:r>
              <w:rPr>
                <w:rFonts w:ascii="Times New Roman" w:cs="Times New Roman" w:eastAsia="Times New Roman" w:hAnsi="Times New Roman"/>
                <w:sz w:val="24"/>
                <w:szCs w:val="24"/>
                <w:b w:val="1"/>
                <w:bCs w:val="1"/>
                <w:color w:val="auto"/>
                <w:vertAlign w:val="subscript"/>
              </w:rPr>
              <w:t>​</w:t>
            </w:r>
          </w:p>
        </w:tc>
        <w:tc>
          <w:tcPr>
            <w:tcW w:w="132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Amount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revenue</w:t>
            </w:r>
            <w:r>
              <w:rPr>
                <w:rFonts w:ascii="Times New Roman" w:cs="Times New Roman" w:eastAsia="Times New Roman" w:hAnsi="Times New Roman"/>
                <w:sz w:val="24"/>
                <w:szCs w:val="24"/>
                <w:b w:val="1"/>
                <w:bCs w:val="1"/>
                <w:color w:val="auto"/>
                <w:vertAlign w:val="subscript"/>
              </w:rPr>
              <w:t>​</w:t>
            </w:r>
          </w:p>
        </w:tc>
      </w:tr>
      <w:tr>
        <w:trPr>
          <w:trHeight w:val="20"/>
        </w:trPr>
        <w:tc>
          <w:tcPr>
            <w:tcW w:w="2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Revenue</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Cost of revenue</w:t>
      </w:r>
      <w:r>
        <w:rPr>
          <w:rFonts w:ascii="Times New Roman" w:cs="Times New Roman" w:eastAsia="Times New Roman" w:hAnsi="Times New Roman"/>
          <w:sz w:val="23"/>
          <w:szCs w:val="23"/>
          <w:color w:val="auto"/>
          <w:vertAlign w:val="superscript"/>
        </w:rPr>
        <w:t>(1)(2)</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Gross profit</w:t>
      </w:r>
    </w:p>
    <w:p>
      <w:pPr>
        <w:spacing w:after="0" w:line="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w:t>
      </w:r>
    </w:p>
    <w:p>
      <w:pPr>
        <w:spacing w:after="0" w:line="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loss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Interest income (expenses) and Other expenses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 ​​$1,386​​ ​ ​100.0%​​ ​ ​$ 967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100.0%​​ ​ ​$ 879 ​​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rPr>
                <w:sz w:val="20"/>
                <w:szCs w:val="20"/>
                <w:color w:val="auto"/>
              </w:rPr>
            </w:pPr>
            <w:r>
              <w:rPr>
                <w:rFonts w:ascii="Times New Roman" w:cs="Times New Roman" w:eastAsia="Times New Roman" w:hAnsi="Times New Roman"/>
                <w:sz w:val="18"/>
                <w:szCs w:val="18"/>
                <w:color w:val="auto"/>
                <w:w w:val="98"/>
              </w:rPr>
              <w:t>52.7%</w:t>
            </w:r>
          </w:p>
        </w:tc>
        <w:tc>
          <w:tcPr>
            <w:tcW w:w="80" w:type="dxa"/>
            <w:vAlign w:val="bottom"/>
          </w:tcPr>
          <w:p>
            <w:pPr>
              <w:spacing w:after="0"/>
              <w:rPr>
                <w:sz w:val="17"/>
                <w:szCs w:val="17"/>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​591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​456</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jc w:val="right"/>
              <w:ind w:right="18"/>
              <w:spacing w:after="0"/>
              <w:rPr>
                <w:sz w:val="20"/>
                <w:szCs w:val="20"/>
                <w:color w:val="auto"/>
              </w:rPr>
            </w:pPr>
            <w:r>
              <w:rPr>
                <w:rFonts w:ascii="Times New Roman" w:cs="Times New Roman" w:eastAsia="Times New Roman" w:hAnsi="Times New Roman"/>
                <w:sz w:val="18"/>
                <w:szCs w:val="18"/>
                <w:color w:val="auto"/>
                <w:w w:val="98"/>
              </w:rPr>
              <w:t>51.9%</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7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655</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w w:val="98"/>
              </w:rPr>
              <w:t>47.3%</w:t>
            </w:r>
          </w:p>
        </w:tc>
        <w:tc>
          <w:tcPr>
            <w:tcW w:w="8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​376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38.9%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w w:val="98"/>
              </w:rPr>
              <w:t>48.1%</w:t>
            </w:r>
          </w:p>
        </w:tc>
        <w:tc>
          <w:tcPr>
            <w:tcW w:w="0" w:type="dxa"/>
            <w:vAlign w:val="bottom"/>
          </w:tcPr>
          <w:p>
            <w:pPr>
              <w:spacing w:after="0"/>
              <w:rPr>
                <w:sz w:val="1"/>
                <w:szCs w:val="1"/>
                <w:color w:val="auto"/>
              </w:rPr>
            </w:pPr>
          </w:p>
        </w:tc>
      </w:tr>
      <w:tr>
        <w:trPr>
          <w:trHeight w:val="130"/>
        </w:trPr>
        <w:tc>
          <w:tcPr>
            <w:tcW w:w="2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2"/>
          </w:tcPr>
          <w:p>
            <w:pPr>
              <w:jc w:val="right"/>
              <w:ind w:right="40"/>
              <w:spacing w:after="0" w:line="131" w:lineRule="exact"/>
              <w:rPr>
                <w:sz w:val="20"/>
                <w:szCs w:val="20"/>
                <w:color w:val="auto"/>
              </w:rPr>
            </w:pPr>
            <w:r>
              <w:rPr>
                <w:rFonts w:ascii="Times New Roman" w:cs="Times New Roman" w:eastAsia="Times New Roman" w:hAnsi="Times New Roman"/>
                <w:sz w:val="15"/>
                <w:szCs w:val="15"/>
                <w:color w:val="auto"/>
              </w:rPr>
              <w:t>​​ ​ ​</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jc w:val="right"/>
              <w:spacing w:after="0" w:line="131"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jc w:val="right"/>
              <w:ind w:right="78"/>
              <w:spacing w:after="0" w:line="131" w:lineRule="exact"/>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29"/>
        </w:trPr>
        <w:tc>
          <w:tcPr>
            <w:tcW w:w="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2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544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81" w:lineRule="exact"/>
              <w:rPr>
                <w:sz w:val="20"/>
                <w:szCs w:val="20"/>
                <w:color w:val="auto"/>
              </w:rPr>
            </w:pPr>
            <w:r>
              <w:rPr>
                <w:rFonts w:ascii="Times New Roman" w:cs="Times New Roman" w:eastAsia="Times New Roman" w:hAnsi="Times New Roman"/>
                <w:sz w:val="18"/>
                <w:szCs w:val="18"/>
                <w:color w:val="auto"/>
                <w:w w:val="98"/>
              </w:rPr>
              <w:t>39.2%</w:t>
            </w:r>
          </w:p>
        </w:tc>
        <w:tc>
          <w:tcPr>
            <w:tcW w:w="80" w:type="dxa"/>
            <w:vAlign w:val="bottom"/>
          </w:tcPr>
          <w:p>
            <w:pPr>
              <w:spacing w:after="0"/>
              <w:rPr>
                <w:sz w:val="15"/>
                <w:szCs w:val="15"/>
                <w:color w:val="auto"/>
              </w:rPr>
            </w:pPr>
          </w:p>
        </w:tc>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​440</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45.5%</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​384</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ind w:right="18"/>
              <w:spacing w:after="0" w:line="181" w:lineRule="exact"/>
              <w:rPr>
                <w:sz w:val="20"/>
                <w:szCs w:val="20"/>
                <w:color w:val="auto"/>
              </w:rPr>
            </w:pPr>
            <w:r>
              <w:rPr>
                <w:rFonts w:ascii="Times New Roman" w:cs="Times New Roman" w:eastAsia="Times New Roman" w:hAnsi="Times New Roman"/>
                <w:sz w:val="18"/>
                <w:szCs w:val="18"/>
                <w:color w:val="auto"/>
                <w:w w:val="98"/>
              </w:rPr>
              <w:t>43.7%</w:t>
            </w:r>
          </w:p>
        </w:tc>
        <w:tc>
          <w:tcPr>
            <w:tcW w:w="0" w:type="dxa"/>
            <w:vAlign w:val="bottom"/>
          </w:tcPr>
          <w:p>
            <w:pPr>
              <w:spacing w:after="0"/>
              <w:rPr>
                <w:sz w:val="1"/>
                <w:szCs w:val="1"/>
                <w:color w:val="auto"/>
              </w:rPr>
            </w:pPr>
          </w:p>
        </w:tc>
      </w:tr>
      <w:tr>
        <w:trPr>
          <w:trHeight w:val="76"/>
        </w:trPr>
        <w:tc>
          <w:tcPr>
            <w:tcW w:w="2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 ​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jc w:val="right"/>
              <w:ind w:right="78"/>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 134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81" w:lineRule="exact"/>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5"/>
                <w:szCs w:val="15"/>
                <w:color w:val="auto"/>
              </w:rPr>
            </w:pPr>
          </w:p>
        </w:tc>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 116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12.0%</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40" w:type="dxa"/>
            <w:vAlign w:val="bottom"/>
            <w:gridSpan w:val="3"/>
          </w:tcPr>
          <w:p>
            <w:pPr>
              <w:jc w:val="right"/>
              <w:ind w:right="18"/>
              <w:spacing w:after="0" w:line="181" w:lineRule="exact"/>
              <w:rPr>
                <w:sz w:val="20"/>
                <w:szCs w:val="20"/>
                <w:color w:val="auto"/>
              </w:rPr>
            </w:pPr>
            <w:r>
              <w:rPr>
                <w:rFonts w:ascii="Times New Roman" w:cs="Times New Roman" w:eastAsia="Times New Roman" w:hAnsi="Times New Roman"/>
                <w:sz w:val="18"/>
                <w:szCs w:val="18"/>
                <w:color w:val="auto"/>
                <w:w w:val="98"/>
              </w:rPr>
              <w:t>11.4%</w:t>
            </w:r>
          </w:p>
        </w:tc>
        <w:tc>
          <w:tcPr>
            <w:tcW w:w="0" w:type="dxa"/>
            <w:vAlign w:val="bottom"/>
          </w:tcPr>
          <w:p>
            <w:pPr>
              <w:spacing w:after="0"/>
              <w:rPr>
                <w:sz w:val="1"/>
                <w:szCs w:val="1"/>
                <w:color w:val="auto"/>
              </w:rPr>
            </w:pPr>
          </w:p>
        </w:tc>
      </w:tr>
      <w:tr>
        <w:trPr>
          <w:trHeight w:val="76"/>
        </w:trPr>
        <w:tc>
          <w:tcPr>
            <w:tcW w:w="2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 ​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jc w:val="right"/>
              <w:ind w:right="78"/>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81"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5"/>
                <w:szCs w:val="15"/>
                <w:color w:val="auto"/>
              </w:rPr>
            </w:pP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3.4%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25</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jc w:val="right"/>
              <w:ind w:right="18"/>
              <w:spacing w:after="0" w:line="181"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7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jc w:val="right"/>
              <w:ind w:right="74"/>
              <w:spacing w:after="0" w:line="196" w:lineRule="exact"/>
              <w:rPr>
                <w:sz w:val="20"/>
                <w:szCs w:val="20"/>
                <w:color w:val="auto"/>
              </w:rPr>
            </w:pPr>
            <w:r>
              <w:rPr>
                <w:rFonts w:ascii="Times New Roman" w:cs="Times New Roman" w:eastAsia="Times New Roman" w:hAnsi="Times New Roman"/>
                <w:sz w:val="18"/>
                <w:szCs w:val="18"/>
                <w:color w:val="auto"/>
                <w:w w:val="98"/>
              </w:rPr>
              <w:t>51.4%</w:t>
            </w:r>
          </w:p>
        </w:tc>
        <w:tc>
          <w:tcPr>
            <w:tcW w:w="80" w:type="dxa"/>
            <w:vAlign w:val="bottom"/>
          </w:tcPr>
          <w:p>
            <w:pPr>
              <w:spacing w:after="0"/>
              <w:rPr>
                <w:sz w:val="17"/>
                <w:szCs w:val="17"/>
                <w:color w:val="auto"/>
              </w:rPr>
            </w:pP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​589</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60.9%</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​509</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40" w:type="dxa"/>
            <w:vAlign w:val="bottom"/>
            <w:gridSpan w:val="3"/>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w w:val="98"/>
              </w:rPr>
              <w:t>57.9%</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7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auto"/>
            </w:tcBorders>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600" w:type="dxa"/>
            <w:vAlign w:val="bottom"/>
            <w:gridSpan w:val="2"/>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7"/>
                <w:szCs w:val="17"/>
                <w:color w:val="auto"/>
              </w:rPr>
            </w:pPr>
          </w:p>
        </w:tc>
        <w:tc>
          <w:tcPr>
            <w:tcW w:w="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860" w:type="dxa"/>
            <w:vAlign w:val="bottom"/>
            <w:gridSpan w:val="4"/>
          </w:tcPr>
          <w:p>
            <w:pPr>
              <w:jc w:val="right"/>
              <w:ind w:right="65"/>
              <w:spacing w:after="0" w:line="196" w:lineRule="exact"/>
              <w:rPr>
                <w:sz w:val="20"/>
                <w:szCs w:val="20"/>
                <w:color w:val="auto"/>
              </w:rPr>
            </w:pPr>
            <w:r>
              <w:rPr>
                <w:rFonts w:ascii="Times New Roman" w:cs="Times New Roman" w:eastAsia="Times New Roman" w:hAnsi="Times New Roman"/>
                <w:sz w:val="18"/>
                <w:szCs w:val="18"/>
                <w:color w:val="auto"/>
              </w:rPr>
              <w:t>(22.0)%</w:t>
            </w:r>
          </w:p>
        </w:tc>
        <w:tc>
          <w:tcPr>
            <w:tcW w:w="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 (86)</w:t>
            </w:r>
          </w:p>
        </w:tc>
        <w:tc>
          <w:tcPr>
            <w:tcW w:w="180" w:type="dxa"/>
            <w:vAlign w:val="bottom"/>
          </w:tcPr>
          <w:p>
            <w:pPr>
              <w:spacing w:after="0"/>
              <w:rPr>
                <w:sz w:val="17"/>
                <w:szCs w:val="17"/>
                <w:color w:val="auto"/>
              </w:rPr>
            </w:pPr>
          </w:p>
        </w:tc>
        <w:tc>
          <w:tcPr>
            <w:tcW w:w="5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76"/>
        </w:trPr>
        <w:tc>
          <w:tcPr>
            <w:tcW w:w="2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 ​</w:t>
            </w:r>
          </w:p>
        </w:tc>
        <w:tc>
          <w:tcPr>
            <w:tcW w:w="340" w:type="dxa"/>
            <w:vAlign w:val="bottom"/>
          </w:tcPr>
          <w:p>
            <w:pPr>
              <w:spacing w:after="0"/>
              <w:rPr>
                <w:sz w:val="6"/>
                <w:szCs w:val="6"/>
                <w:color w:val="auto"/>
              </w:rPr>
            </w:pPr>
          </w:p>
        </w:tc>
        <w:tc>
          <w:tcPr>
            <w:tcW w:w="3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 ​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340" w:type="dxa"/>
            <w:vAlign w:val="bottom"/>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jc w:val="right"/>
              <w:ind w:right="78"/>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3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​(239)</w:t>
            </w:r>
          </w:p>
        </w:tc>
        <w:tc>
          <w:tcPr>
            <w:tcW w:w="720" w:type="dxa"/>
            <w:vAlign w:val="bottom"/>
            <w:gridSpan w:val="4"/>
          </w:tcPr>
          <w:p>
            <w:pPr>
              <w:jc w:val="right"/>
              <w:spacing w:after="0" w:line="181" w:lineRule="exact"/>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jc w:val="right"/>
              <w:ind w:right="78"/>
              <w:spacing w:after="0" w:line="68" w:lineRule="exact"/>
              <w:rPr>
                <w:sz w:val="20"/>
                <w:szCs w:val="20"/>
                <w:color w:val="auto"/>
              </w:rPr>
            </w:pPr>
            <w:r>
              <w:rPr>
                <w:rFonts w:ascii="Times New Roman" w:cs="Times New Roman" w:eastAsia="Times New Roman" w:hAnsi="Times New Roman"/>
                <w:sz w:val="7"/>
                <w:szCs w:val="7"/>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auto"/>
            </w:tcBorders>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600" w:type="dxa"/>
            <w:vAlign w:val="bottom"/>
            <w:gridSpan w:val="2"/>
          </w:tcPr>
          <w:p>
            <w:pPr>
              <w:jc w:val="right"/>
              <w:ind w:right="14"/>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7"/>
                <w:szCs w:val="17"/>
                <w:color w:val="auto"/>
              </w:rPr>
            </w:pPr>
          </w:p>
        </w:tc>
        <w:tc>
          <w:tcPr>
            <w:tcW w:w="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860" w:type="dxa"/>
            <w:vAlign w:val="bottom"/>
            <w:gridSpan w:val="4"/>
          </w:tcPr>
          <w:p>
            <w:pPr>
              <w:jc w:val="right"/>
              <w:ind w:right="65"/>
              <w:spacing w:after="0" w:line="196" w:lineRule="exact"/>
              <w:rPr>
                <w:sz w:val="20"/>
                <w:szCs w:val="20"/>
                <w:color w:val="auto"/>
              </w:rPr>
            </w:pPr>
            <w:r>
              <w:rPr>
                <w:rFonts w:ascii="Times New Roman" w:cs="Times New Roman" w:eastAsia="Times New Roman" w:hAnsi="Times New Roman"/>
                <w:sz w:val="18"/>
                <w:szCs w:val="18"/>
                <w:color w:val="auto"/>
              </w:rPr>
              <w:t>(21.9)%</w:t>
            </w:r>
          </w:p>
        </w:tc>
        <w:tc>
          <w:tcPr>
            <w:tcW w:w="5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​(325)</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76"/>
        </w:trPr>
        <w:tc>
          <w:tcPr>
            <w:tcW w:w="2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 ​</w:t>
            </w:r>
          </w:p>
        </w:tc>
        <w:tc>
          <w:tcPr>
            <w:tcW w:w="340" w:type="dxa"/>
            <w:vAlign w:val="bottom"/>
          </w:tcPr>
          <w:p>
            <w:pPr>
              <w:spacing w:after="0"/>
              <w:rPr>
                <w:sz w:val="6"/>
                <w:szCs w:val="6"/>
                <w:color w:val="auto"/>
              </w:rPr>
            </w:pPr>
          </w:p>
        </w:tc>
        <w:tc>
          <w:tcPr>
            <w:tcW w:w="34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color w:val="auto"/>
              </w:rPr>
              <w:t>​​ ​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340" w:type="dxa"/>
            <w:vAlign w:val="bottom"/>
          </w:tcPr>
          <w:p>
            <w:pPr>
              <w:spacing w:after="0"/>
              <w:rPr>
                <w:sz w:val="6"/>
                <w:szCs w:val="6"/>
                <w:color w:val="auto"/>
              </w:rPr>
            </w:pP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w:t>
            </w:r>
          </w:p>
        </w:tc>
        <w:tc>
          <w:tcPr>
            <w:tcW w:w="180" w:type="dxa"/>
            <w:vAlign w:val="bottom"/>
          </w:tcPr>
          <w:p>
            <w:pPr>
              <w:jc w:val="right"/>
              <w:spacing w:after="0" w:line="76" w:lineRule="exact"/>
              <w:rPr>
                <w:sz w:val="20"/>
                <w:szCs w:val="20"/>
                <w:color w:val="auto"/>
              </w:rPr>
            </w:pPr>
            <w:r>
              <w:rPr>
                <w:rFonts w:ascii="Times New Roman" w:cs="Times New Roman" w:eastAsia="Times New Roman" w:hAnsi="Times New Roman"/>
                <w:sz w:val="8"/>
                <w:szCs w:val="8"/>
                <w:color w:val="auto"/>
              </w:rPr>
              <w:t>​ ​</w:t>
            </w: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gridSpan w:val="2"/>
          </w:tcPr>
          <w:p>
            <w:pPr>
              <w:jc w:val="right"/>
              <w:spacing w:after="0" w:line="76" w:lineRule="exact"/>
              <w:rPr>
                <w:sz w:val="20"/>
                <w:szCs w:val="20"/>
                <w:color w:val="auto"/>
              </w:rPr>
            </w:pPr>
            <w:r>
              <w:rPr>
                <w:rFonts w:ascii="Times New Roman" w:cs="Times New Roman" w:eastAsia="Times New Roman" w:hAnsi="Times New Roman"/>
                <w:sz w:val="8"/>
                <w:szCs w:val="8"/>
                <w:color w:val="auto"/>
              </w:rPr>
              <w:t xml:space="preserve">​​ ​ </w:t>
            </w:r>
            <w:r>
              <w:rPr>
                <w:rFonts w:ascii="Times New Roman" w:cs="Times New Roman" w:eastAsia="Times New Roman" w:hAnsi="Times New Roman"/>
                <w:sz w:val="8"/>
                <w:szCs w:val="8"/>
                <w:b w:val="1"/>
                <w:bCs w:val="1"/>
                <w:color w:val="auto"/>
              </w:rPr>
              <w:t>​</w:t>
            </w: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jc w:val="right"/>
              <w:ind w:right="78"/>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80"/>
        </w:trPr>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line="181" w:lineRule="exact"/>
              <w:rPr>
                <w:sz w:val="20"/>
                <w:szCs w:val="20"/>
                <w:color w:val="auto"/>
              </w:rPr>
            </w:pPr>
            <w:r>
              <w:rPr>
                <w:rFonts w:ascii="Times New Roman" w:cs="Times New Roman" w:eastAsia="Times New Roman" w:hAnsi="Times New Roman"/>
                <w:sz w:val="18"/>
                <w:szCs w:val="18"/>
                <w:color w:val="auto"/>
              </w:rPr>
              <w:t>(18)</w:t>
            </w:r>
          </w:p>
        </w:tc>
        <w:tc>
          <w:tcPr>
            <w:tcW w:w="600" w:type="dxa"/>
            <w:vAlign w:val="bottom"/>
            <w:gridSpan w:val="2"/>
          </w:tcPr>
          <w:p>
            <w:pPr>
              <w:jc w:val="right"/>
              <w:ind w:right="14"/>
              <w:spacing w:after="0" w:line="181" w:lineRule="exact"/>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5"/>
                <w:szCs w:val="15"/>
                <w:color w:val="auto"/>
              </w:rPr>
            </w:pP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1.6%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55"/>
              <w:spacing w:after="0" w:line="181" w:lineRule="exact"/>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5"/>
                <w:szCs w:val="15"/>
                <w:color w:val="auto"/>
              </w:rPr>
            </w:pPr>
          </w:p>
        </w:tc>
        <w:tc>
          <w:tcPr>
            <w:tcW w:w="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5"/>
                <w:szCs w:val="15"/>
                <w:color w:val="auto"/>
              </w:rPr>
            </w:pPr>
          </w:p>
        </w:tc>
        <w:tc>
          <w:tcPr>
            <w:tcW w:w="180" w:type="dxa"/>
            <w:vAlign w:val="bottom"/>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2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340" w:type="dxa"/>
            <w:vAlign w:val="bottom"/>
          </w:tcPr>
          <w:p>
            <w:pPr>
              <w:spacing w:after="0"/>
              <w:rPr>
                <w:sz w:val="5"/>
                <w:szCs w:val="5"/>
                <w:color w:val="auto"/>
              </w:rPr>
            </w:pPr>
          </w:p>
        </w:tc>
        <w:tc>
          <w:tcPr>
            <w:tcW w:w="340" w:type="dxa"/>
            <w:vAlign w:val="bottom"/>
            <w:gridSpan w:val="2"/>
          </w:tcPr>
          <w:p>
            <w:pPr>
              <w:jc w:val="right"/>
              <w:ind w:right="40"/>
              <w:spacing w:after="0" w:line="68" w:lineRule="exact"/>
              <w:rPr>
                <w:sz w:val="20"/>
                <w:szCs w:val="20"/>
                <w:color w:val="auto"/>
              </w:rPr>
            </w:pPr>
            <w:r>
              <w:rPr>
                <w:rFonts w:ascii="Times New Roman" w:cs="Times New Roman" w:eastAsia="Times New Roman" w:hAnsi="Times New Roman"/>
                <w:sz w:val="7"/>
                <w:szCs w:val="7"/>
                <w:color w:val="auto"/>
              </w:rPr>
              <w:t>​​ ​ ​</w:t>
            </w: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Times New Roman" w:cs="Times New Roman" w:eastAsia="Times New Roman" w:hAnsi="Times New Roman"/>
                <w:sz w:val="7"/>
                <w:szCs w:val="7"/>
                <w:color w:val="auto"/>
              </w:rPr>
              <w:t>​​</w:t>
            </w:r>
          </w:p>
        </w:tc>
        <w:tc>
          <w:tcPr>
            <w:tcW w:w="1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gridSpan w:val="2"/>
          </w:tcPr>
          <w:p>
            <w:pPr>
              <w:jc w:val="right"/>
              <w:spacing w:after="0" w:line="68" w:lineRule="exact"/>
              <w:rPr>
                <w:sz w:val="20"/>
                <w:szCs w:val="20"/>
                <w:color w:val="auto"/>
              </w:rPr>
            </w:pPr>
            <w:r>
              <w:rPr>
                <w:rFonts w:ascii="Times New Roman" w:cs="Times New Roman" w:eastAsia="Times New Roman" w:hAnsi="Times New Roman"/>
                <w:sz w:val="7"/>
                <w:szCs w:val="7"/>
                <w:color w:val="auto"/>
              </w:rPr>
              <w:t>​​ ​ ​</w:t>
            </w: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auto"/>
            </w:tcBorders>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0" w:type="dxa"/>
            <w:vAlign w:val="bottom"/>
          </w:tcPr>
          <w:p>
            <w:pPr>
              <w:spacing w:after="0"/>
              <w:rPr>
                <w:sz w:val="20"/>
                <w:szCs w:val="20"/>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6"/>
          </w:tcPr>
          <w:p>
            <w:pPr>
              <w:jc w:val="right"/>
              <w:ind w:right="45"/>
              <w:spacing w:after="0" w:line="236" w:lineRule="exact"/>
              <w:rPr>
                <w:sz w:val="20"/>
                <w:szCs w:val="20"/>
                <w:color w:val="auto"/>
              </w:rPr>
            </w:pPr>
            <w:r>
              <w:rPr>
                <w:rFonts w:ascii="Times New Roman" w:cs="Times New Roman" w:eastAsia="Times New Roman" w:hAnsi="Times New Roman"/>
                <w:sz w:val="15"/>
                <w:szCs w:val="15"/>
                <w:color w:val="auto"/>
              </w:rPr>
              <w:t xml:space="preserve">(5.4)% </w:t>
            </w:r>
            <w:r>
              <w:rPr>
                <w:rFonts w:ascii="Times New Roman" w:cs="Times New Roman" w:eastAsia="Times New Roman" w:hAnsi="Times New Roman"/>
                <w:sz w:val="27"/>
                <w:szCs w:val="27"/>
                <w:color w:val="auto"/>
                <w:vertAlign w:val="superscript"/>
              </w:rPr>
              <w:t>$(196)</w:t>
            </w:r>
          </w:p>
        </w:tc>
        <w:tc>
          <w:tcPr>
            <w:tcW w:w="1400" w:type="dxa"/>
            <w:vAlign w:val="bottom"/>
            <w:gridSpan w:val="7"/>
          </w:tcPr>
          <w:p>
            <w:pPr>
              <w:jc w:val="right"/>
              <w:ind w:right="55"/>
              <w:spacing w:after="0" w:line="236" w:lineRule="exact"/>
              <w:rPr>
                <w:sz w:val="20"/>
                <w:szCs w:val="20"/>
                <w:color w:val="auto"/>
              </w:rPr>
            </w:pPr>
            <w:r>
              <w:rPr>
                <w:rFonts w:ascii="Times New Roman" w:cs="Times New Roman" w:eastAsia="Times New Roman" w:hAnsi="Times New Roman"/>
                <w:sz w:val="15"/>
                <w:szCs w:val="15"/>
                <w:color w:val="auto"/>
              </w:rPr>
              <w:t xml:space="preserve">(20.3)% </w:t>
            </w:r>
            <w:r>
              <w:rPr>
                <w:rFonts w:ascii="Times New Roman" w:cs="Times New Roman" w:eastAsia="Times New Roman" w:hAnsi="Times New Roman"/>
                <w:sz w:val="27"/>
                <w:szCs w:val="27"/>
                <w:color w:val="auto"/>
                <w:vertAlign w:val="superscript"/>
              </w:rPr>
              <w:t>$(328)</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280" w:type="dxa"/>
            <w:vAlign w:val="bottom"/>
            <w:gridSpan w:val="2"/>
          </w:tcPr>
          <w:p>
            <w:pPr>
              <w:ind w:left="60"/>
              <w:spacing w:after="0" w:line="7" w:lineRule="exact"/>
              <w:rPr>
                <w:sz w:val="20"/>
                <w:szCs w:val="20"/>
                <w:color w:val="auto"/>
              </w:rPr>
            </w:pPr>
            <w:r>
              <w:rPr>
                <w:rFonts w:ascii="Times New Roman" w:cs="Times New Roman" w:eastAsia="Times New Roman" w:hAnsi="Times New Roman"/>
                <w:sz w:val="1"/>
                <w:szCs w:val="1"/>
                <w:color w:val="auto"/>
              </w:rPr>
              <w:t>​ ​​</w:t>
            </w: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jc w:val="right"/>
              <w:spacing w:after="0" w:line="7" w:lineRule="exact"/>
              <w:rPr>
                <w:sz w:val="20"/>
                <w:szCs w:val="20"/>
                <w:color w:val="auto"/>
              </w:rPr>
            </w:pPr>
            <w:r>
              <w:rPr>
                <w:rFonts w:ascii="Times New Roman" w:cs="Times New Roman" w:eastAsia="Times New Roman" w:hAnsi="Times New Roman"/>
                <w:sz w:val="1"/>
                <w:szCs w:val="1"/>
                <w:color w:val="auto"/>
              </w:rPr>
              <w:t>​​ ​ ​</w:t>
            </w:r>
          </w:p>
        </w:tc>
        <w:tc>
          <w:tcPr>
            <w:tcW w:w="340" w:type="dxa"/>
            <w:vAlign w:val="bottom"/>
          </w:tcPr>
          <w:p>
            <w:pPr>
              <w:spacing w:after="0"/>
              <w:rPr>
                <w:sz w:val="2"/>
                <w:szCs w:val="2"/>
                <w:color w:val="auto"/>
              </w:rPr>
            </w:pPr>
          </w:p>
        </w:tc>
        <w:tc>
          <w:tcPr>
            <w:tcW w:w="340" w:type="dxa"/>
            <w:vAlign w:val="bottom"/>
            <w:gridSpan w:val="2"/>
          </w:tcPr>
          <w:p>
            <w:pPr>
              <w:jc w:val="right"/>
              <w:ind w:right="40"/>
              <w:spacing w:after="0" w:line="7" w:lineRule="exact"/>
              <w:rPr>
                <w:sz w:val="20"/>
                <w:szCs w:val="20"/>
                <w:color w:val="auto"/>
              </w:rPr>
            </w:pPr>
            <w:r>
              <w:rPr>
                <w:rFonts w:ascii="Times New Roman" w:cs="Times New Roman" w:eastAsia="Times New Roman" w:hAnsi="Times New Roman"/>
                <w:sz w:val="1"/>
                <w:szCs w:val="1"/>
                <w:color w:val="auto"/>
              </w:rPr>
              <w:t>​​ ​ ​</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gridSpan w:val="2"/>
          </w:tcPr>
          <w:p>
            <w:pPr>
              <w:jc w:val="right"/>
              <w:spacing w:after="0" w:line="7"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1"/>
                <w:szCs w:val="1"/>
                <w:b w:val="1"/>
                <w:bCs w:val="1"/>
                <w:color w:val="auto"/>
              </w:rPr>
              <w:t>​</w:t>
            </w:r>
          </w:p>
        </w:tc>
        <w:tc>
          <w:tcPr>
            <w:tcW w:w="340" w:type="dxa"/>
            <w:vAlign w:val="bottom"/>
          </w:tcPr>
          <w:p>
            <w:pPr>
              <w:spacing w:after="0"/>
              <w:rPr>
                <w:sz w:val="2"/>
                <w:szCs w:val="2"/>
                <w:color w:val="auto"/>
              </w:rPr>
            </w:pPr>
          </w:p>
        </w:tc>
        <w:tc>
          <w:tcPr>
            <w:tcW w:w="180" w:type="dxa"/>
            <w:vAlign w:val="bottom"/>
          </w:tcPr>
          <w:p>
            <w:pPr>
              <w:jc w:val="right"/>
              <w:spacing w:after="0" w:line="7" w:lineRule="exact"/>
              <w:rPr>
                <w:sz w:val="20"/>
                <w:szCs w:val="20"/>
                <w:color w:val="auto"/>
              </w:rPr>
            </w:pPr>
            <w:r>
              <w:rPr>
                <w:rFonts w:ascii="Times New Roman" w:cs="Times New Roman" w:eastAsia="Times New Roman" w:hAnsi="Times New Roman"/>
                <w:sz w:val="1"/>
                <w:szCs w:val="1"/>
                <w:color w:val="auto"/>
              </w:rPr>
              <w:t>​​</w:t>
            </w:r>
          </w:p>
        </w:tc>
        <w:tc>
          <w:tcPr>
            <w:tcW w:w="180" w:type="dxa"/>
            <w:vAlign w:val="bottom"/>
          </w:tcPr>
          <w:p>
            <w:pPr>
              <w:jc w:val="right"/>
              <w:spacing w:after="0" w:line="7" w:lineRule="exact"/>
              <w:rPr>
                <w:sz w:val="20"/>
                <w:szCs w:val="20"/>
                <w:color w:val="auto"/>
              </w:rPr>
            </w:pPr>
            <w:r>
              <w:rPr>
                <w:rFonts w:ascii="Times New Roman" w:cs="Times New Roman" w:eastAsia="Times New Roman" w:hAnsi="Times New Roman"/>
                <w:sz w:val="1"/>
                <w:szCs w:val="1"/>
                <w:color w:val="auto"/>
              </w:rPr>
              <w:t>​ ​</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gridSpan w:val="2"/>
          </w:tcPr>
          <w:p>
            <w:pPr>
              <w:jc w:val="right"/>
              <w:spacing w:after="0" w:line="7" w:lineRule="exact"/>
              <w:rPr>
                <w:sz w:val="20"/>
                <w:szCs w:val="20"/>
                <w:color w:val="auto"/>
              </w:rPr>
            </w:pPr>
            <w:r>
              <w:rPr>
                <w:rFonts w:ascii="Times New Roman" w:cs="Times New Roman" w:eastAsia="Times New Roman" w:hAnsi="Times New Roman"/>
                <w:sz w:val="1"/>
                <w:szCs w:val="1"/>
                <w:color w:val="auto"/>
              </w:rPr>
              <w:t xml:space="preserve">​​ ​ </w:t>
            </w:r>
            <w:r>
              <w:rPr>
                <w:rFonts w:ascii="Times New Roman" w:cs="Times New Roman" w:eastAsia="Times New Roman" w:hAnsi="Times New Roman"/>
                <w:sz w:val="1"/>
                <w:szCs w:val="1"/>
                <w:b w:val="1"/>
                <w:bCs w:val="1"/>
                <w:color w:val="auto"/>
              </w:rPr>
              <w:t>​</w:t>
            </w: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jc w:val="right"/>
              <w:ind w:right="78"/>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-1576705</wp:posOffset>
            </wp:positionV>
            <wp:extent cx="5212080"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-213360</wp:posOffset>
            </wp:positionV>
            <wp:extent cx="5212080" cy="196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-556260</wp:posOffset>
            </wp:positionV>
            <wp:extent cx="52120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-899160</wp:posOffset>
            </wp:positionV>
            <wp:extent cx="52120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-1250950</wp:posOffset>
            </wp:positionV>
            <wp:extent cx="5212080" cy="1803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212080" cy="18034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-1927860</wp:posOffset>
            </wp:positionV>
            <wp:extent cx="52120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480"/>
            <w:col w:w="4599"/>
          </w:cols>
          <w:pgMar w:left="580" w:top="97" w:right="1440" w:bottom="1440" w:gutter="0" w:footer="0" w:header="0"/>
          <w:type w:val="continuous"/>
        </w:sectPr>
      </w:pPr>
    </w:p>
    <w:p>
      <w:pPr>
        <w:spacing w:after="0" w:line="3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Includes amortization of acquired intangible assets as follows: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0" w:type="dxa"/>
            <w:vAlign w:val="bottom"/>
          </w:tcPr>
          <w:p>
            <w:pPr>
              <w:spacing w:after="0"/>
              <w:rPr>
                <w:sz w:val="14"/>
                <w:szCs w:val="14"/>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w:t>
            </w: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2"/>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9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​$419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​$368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of acquired intangible assets</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$450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-213995</wp:posOffset>
            </wp:positionV>
            <wp:extent cx="15430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3630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-556895</wp:posOffset>
            </wp:positionV>
            <wp:extent cx="13716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-556895</wp:posOffset>
            </wp:positionV>
            <wp:extent cx="35318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2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(2)</w:t>
        <w:tab/>
        <w:t>Includes share-based compensation expense, as follows:</w:t>
      </w:r>
    </w:p>
    <w:p>
      <w:pPr>
        <w:spacing w:after="0" w:line="19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28,</w:t>
            </w:r>
          </w:p>
        </w:tc>
        <w:tc>
          <w:tcPr>
            <w:tcW w:w="40" w:type="dxa"/>
            <w:vAlign w:val="bottom"/>
          </w:tcPr>
          <w:p>
            <w:pPr>
              <w:spacing w:after="0"/>
              <w:rPr>
                <w:sz w:val="14"/>
                <w:szCs w:val="14"/>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w:t>
            </w:r>
          </w:p>
        </w:tc>
        <w:tc>
          <w:tcPr>
            <w:tcW w:w="11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3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​$ 1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 ​77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 ​67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 ​60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 ​ 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 ​ 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 ​ 2</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-479425</wp:posOffset>
            </wp:positionV>
            <wp:extent cx="1371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-479425</wp:posOffset>
            </wp:positionV>
            <wp:extent cx="3531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right"/>
              <w:ind w:right="3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3"/>
            <w:shd w:val="clear" w:color="auto" w:fill="CCEEFF"/>
          </w:tcPr>
          <w:p>
            <w:pPr>
              <w:jc w:val="right"/>
              <w:ind w:right="30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right w:val="single" w:sz="8" w:color="CCEEFF"/>
            </w:tcBorders>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ind w:right="2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3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right"/>
              <w:ind w:right="3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2"/>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-393700</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-393700</wp:posOffset>
            </wp:positionV>
            <wp:extent cx="3531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25, 2021, December 26, 2020, and December 28, 2019</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46"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In 2021, revenue was $1.4 billion, up $419 million, or 43.3%, from 2020. This increase was primarily attributable to a 43.2% increase in the volume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sold in 2021 as compared to 2020, driven by increasing adoption of ADAS compared to 2020 and a slight improvement in global vehicle production. In particular, the increase in 2021 reflected the increase in sales from (1) new launches (meaning the beginning of series deliveries to OEMs through Tier 1 automotive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35"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In 2020, revenue was $967 million, up $88 million, or 10.0% from 2019 given higher demand from improved global vehicle production in the second half of 2020, offsetting the decline in production experienced in the first half of the year due to the effects of the COVID-19 pandemic.</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Cost of revenue and gross profit</w:t>
      </w:r>
    </w:p>
    <w:p>
      <w:pPr>
        <w:spacing w:after="0" w:line="160" w:lineRule="exact"/>
        <w:rPr>
          <w:sz w:val="20"/>
          <w:szCs w:val="20"/>
          <w:color w:val="auto"/>
        </w:rPr>
      </w:pPr>
    </w:p>
    <w:p>
      <w:pPr>
        <w:ind w:left="1260" w:right="439" w:firstLine="360"/>
        <w:spacing w:after="0" w:line="234" w:lineRule="auto"/>
        <w:rPr>
          <w:sz w:val="20"/>
          <w:szCs w:val="20"/>
          <w:color w:val="auto"/>
        </w:rPr>
      </w:pPr>
      <w:r>
        <w:rPr>
          <w:rFonts w:ascii="Times New Roman" w:cs="Times New Roman" w:eastAsia="Times New Roman" w:hAnsi="Times New Roman"/>
          <w:sz w:val="18"/>
          <w:szCs w:val="18"/>
          <w:color w:val="auto"/>
        </w:rPr>
        <w:t>In 2021, our cost of revenue increased by $140 million, or 23.7%, from 2020. This increase was mainly due to an increase of $86 million in manufacturing costs relating primarily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 In 2020, our cost of revenue increased by $135 million, or 29.6%, from 2019, mainly due to an increase of $107 million in amortization of intangible assets, and increased manufacturing costs relating to increased sales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The increase in amortization of intangible assets resulted from $66 million in amortization of intangible assets acquired in the acquisition of Moovit and an increase of $41 million in the amortization of intangible assets transferred from in-process research and development to acquisition-related developed technology.</w:t>
      </w:r>
    </w:p>
    <w:p>
      <w:pPr>
        <w:spacing w:after="0" w:line="12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2021, our gross profit increased by $279 million, or 74.2%, from 2020. The increase in 2021 was driven by the growth in volume of products sold, partially offset by the increase in amortization of intangible assets primarily due to the recognition of a full year of amortization of intangible assets acquired in the acquisition of Moovit. In 2020, our gross profit decreased by $47 million, or 11.1%, from 2019. The decrease in 2020 resulted from the increase in amortization of intangible assets primarily due to a partial year of amortization of intangible assets acquired in the acquisition of Moovit, partially offset by the growth in volume of products sold.</w:t>
      </w:r>
    </w:p>
    <w:p>
      <w:pPr>
        <w:spacing w:after="0" w:line="336"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Our gross margin decreased from 48.1% during 2019, to 38.9% during 2020 and increased to 47.3% during 2021. The increase in 2021 compared to 2020 and the decrease in 2020 compared to 2019 was due primarily to the higher impact of the cost attributable to amortization of intangible assets, as a percentage of revenue in 2020.</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 Net</w:t>
      </w:r>
    </w:p>
    <w:p>
      <w:pPr>
        <w:spacing w:after="0" w:line="144"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Research and development expenses, net in 2021 increased by $104 million, or 23.6%, compared to 2020, and in 2020 increased by $56 million, or 14.6%, compared to 2019. The increase in 2021 was mainly due to an increase of $75 million in payroll and related expenses, derived from an average increase in research and development headcount of 274 employees and payroll costs. Additionally, there was an increase of $21 million in cloud computing services, development tools, and investments attributable to new product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59"/>
        <w:spacing w:after="0" w:line="266" w:lineRule="auto"/>
        <w:rPr>
          <w:sz w:val="20"/>
          <w:szCs w:val="20"/>
          <w:color w:val="auto"/>
        </w:rPr>
      </w:pPr>
      <w:r>
        <w:rPr>
          <w:rFonts w:ascii="Times New Roman" w:cs="Times New Roman" w:eastAsia="Times New Roman" w:hAnsi="Times New Roman"/>
          <w:sz w:val="18"/>
          <w:szCs w:val="18"/>
          <w:color w:val="auto"/>
        </w:rPr>
        <w:t>development. The increase in 2020 was mainly attributable to employee-related costs derived from an average increase in headcount of 356 employees, including the additional headcount resulting from the acquisition of Moovit.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158" w:lineRule="exact"/>
        <w:rPr>
          <w:sz w:val="20"/>
          <w:szCs w:val="20"/>
          <w:color w:val="auto"/>
        </w:rPr>
      </w:pPr>
    </w:p>
    <w:p>
      <w:pPr>
        <w:ind w:left="1260" w:right="659" w:firstLine="360"/>
        <w:spacing w:after="0" w:line="256" w:lineRule="auto"/>
        <w:rPr>
          <w:sz w:val="20"/>
          <w:szCs w:val="20"/>
          <w:color w:val="auto"/>
        </w:rPr>
      </w:pPr>
      <w:r>
        <w:rPr>
          <w:rFonts w:ascii="Times New Roman" w:cs="Times New Roman" w:eastAsia="Times New Roman" w:hAnsi="Times New Roman"/>
          <w:sz w:val="18"/>
          <w:szCs w:val="18"/>
          <w:color w:val="auto"/>
        </w:rPr>
        <w:t>Sales and marketing expenses in 2021 increased by $18 million, or 15.5%, compared to 2020, and in 2020 increased by $16 million, or 16.0%, compared to 2019. The increase in 2021 was mainly due to an increase of $8 million in amortization of customer relationship and brand-related intangible assets and an increase of $6 million in employee-related costs mainly as a result of the full year impact of Moovit. The increase in 2020 was mainly due to the amortization of intangible assets resulting from the partial year impact of the acquisition of Moovit.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58"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General and administrative expenses in 2021 increased by $1 million, or 3.0%, compared to 2020, and in 2020 increased by $8 million, or 32.0%, compared to 2019. The increase in 2020 was mainly due to an average increase in headcount of 29 employees and additional employee-related costs attributable to the acquisition of Moovit. The increase in 2021 was insignificant.</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Income (Expenses) and Other Expenses</w:t>
      </w:r>
    </w:p>
    <w:p>
      <w:pPr>
        <w:spacing w:after="0" w:line="158" w:lineRule="exact"/>
        <w:rPr>
          <w:sz w:val="20"/>
          <w:szCs w:val="20"/>
          <w:color w:val="auto"/>
        </w:rPr>
      </w:pPr>
    </w:p>
    <w:p>
      <w:pPr>
        <w:ind w:left="1260" w:right="639" w:firstLine="360"/>
        <w:spacing w:after="0" w:line="297" w:lineRule="auto"/>
        <w:rPr>
          <w:sz w:val="20"/>
          <w:szCs w:val="20"/>
          <w:color w:val="auto"/>
        </w:rPr>
      </w:pPr>
      <w:r>
        <w:rPr>
          <w:rFonts w:ascii="Times New Roman" w:cs="Times New Roman" w:eastAsia="Times New Roman" w:hAnsi="Times New Roman"/>
          <w:sz w:val="18"/>
          <w:szCs w:val="18"/>
          <w:color w:val="auto"/>
        </w:rPr>
        <w:t>In 2019, interest expense of $257 million was recorded in connection with the loan from Intel, which was converted to equity during 2019.</w:t>
      </w:r>
    </w:p>
    <w:p>
      <w:pPr>
        <w:spacing w:after="0" w:line="82" w:lineRule="exact"/>
        <w:rPr>
          <w:sz w:val="20"/>
          <w:szCs w:val="20"/>
          <w:color w:val="auto"/>
        </w:rPr>
      </w:pPr>
    </w:p>
    <w:p>
      <w:pPr>
        <w:jc w:val="both"/>
        <w:ind w:left="1260" w:right="719" w:firstLine="360"/>
        <w:spacing w:after="0" w:line="274" w:lineRule="auto"/>
        <w:rPr>
          <w:sz w:val="20"/>
          <w:szCs w:val="20"/>
          <w:color w:val="auto"/>
        </w:rPr>
      </w:pPr>
      <w:r>
        <w:rPr>
          <w:rFonts w:ascii="Times New Roman" w:cs="Times New Roman" w:eastAsia="Times New Roman" w:hAnsi="Times New Roman"/>
          <w:sz w:val="18"/>
          <w:szCs w:val="18"/>
          <w:color w:val="auto"/>
        </w:rPr>
        <w:t>Interest income attributable to the loan with Intel was $3 million in 2021, compared to $6 million in 2020, and $22 million in 2019. The decrease resulted from a reduction in the London Interbank Offered Rate (“LIBOR”).</w:t>
      </w:r>
    </w:p>
    <w:p>
      <w:pPr>
        <w:spacing w:after="0" w:line="11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Other expenses decreased by $2 million in 2021, compared to 2020, and increased by $1 million in 2020 compared to 2019, in each case mainly due to the effect of foreign exchange fluctuations.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Benefit (provision) for income tax</w:t>
      </w:r>
    </w:p>
    <w:p>
      <w:pPr>
        <w:spacing w:after="0" w:line="146" w:lineRule="exact"/>
        <w:rPr>
          <w:sz w:val="20"/>
          <w:szCs w:val="20"/>
          <w:color w:val="auto"/>
        </w:rPr>
      </w:pPr>
    </w:p>
    <w:p>
      <w:pPr>
        <w:ind w:left="1260" w:right="479" w:firstLine="360"/>
        <w:spacing w:after="0" w:line="269" w:lineRule="auto"/>
        <w:rPr>
          <w:sz w:val="20"/>
          <w:szCs w:val="20"/>
          <w:color w:val="auto"/>
        </w:rPr>
      </w:pPr>
      <w:r>
        <w:rPr>
          <w:rFonts w:ascii="Times New Roman" w:cs="Times New Roman" w:eastAsia="Times New Roman" w:hAnsi="Times New Roman"/>
          <w:sz w:val="18"/>
          <w:szCs w:val="18"/>
          <w:color w:val="auto"/>
        </w:rPr>
        <w:t>In 2021, provision for income tax was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 In 2020, benefit for income taxes was $16 million compared to provision for income of $3 million in 2019 mainly due to the amortization of deferred tax liability with respect to intangible assets attributable to the acquisition of Moovit.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jc w:val="both"/>
        <w:ind w:left="1260" w:right="599" w:firstLine="360"/>
        <w:spacing w:after="0" w:line="274"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15" w:lineRule="exact"/>
        <w:rPr>
          <w:sz w:val="20"/>
          <w:szCs w:val="20"/>
          <w:color w:val="auto"/>
        </w:rPr>
      </w:pPr>
    </w:p>
    <w:p>
      <w:pPr>
        <w:ind w:left="1260" w:right="559" w:firstLine="360"/>
        <w:spacing w:after="0" w:line="271"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organization and for capital expenditures. Our capital expenditures have related mainly to the construction of our campus, data storage and other computer related equipment and were $143 million, $91 million, and $44 million during 2021, 2020 and 2019, respectively.</w:t>
      </w:r>
    </w:p>
    <w:p>
      <w:pPr>
        <w:spacing w:after="0" w:line="105"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together with the remaining $          (or $          if the underwriters exercise their option to purchase additional shares of our Class A common stock in full) of the net proceeds that we receive from this offering after repaying</w:t>
      </w:r>
    </w:p>
    <w:p>
      <w:pPr>
        <w:spacing w:after="0" w:line="2" w:lineRule="exact"/>
        <w:rPr>
          <w:sz w:val="20"/>
          <w:szCs w:val="20"/>
          <w:color w:val="auto"/>
        </w:rPr>
      </w:pPr>
    </w:p>
    <w:p>
      <w:pPr>
        <w:ind w:left="1260" w:right="679"/>
        <w:spacing w:after="0" w:line="262" w:lineRule="auto"/>
        <w:rPr>
          <w:sz w:val="20"/>
          <w:szCs w:val="20"/>
          <w:color w:val="auto"/>
        </w:rPr>
      </w:pPr>
      <w:r>
        <w:rPr>
          <w:rFonts w:ascii="Times New Roman" w:cs="Times New Roman" w:eastAsia="Times New Roman" w:hAnsi="Times New Roman"/>
          <w:sz w:val="18"/>
          <w:szCs w:val="18"/>
          <w:color w:val="auto"/>
        </w:rPr>
        <w:t>$          of indebtedness under the Dividend Note. We expect our total capital expenditures for 2022 to be slightly above our total capital expenditures in 2021, mainly given the expansion to additional facilities required to accommodate the transition of certain employees from Intel to Mobileye. The construction of our campus is planned to be completed in 2022, with a remaining cost we estimate to be between</w:t>
      </w:r>
    </w:p>
    <w:p>
      <w:pPr>
        <w:spacing w:after="0" w:line="1" w:lineRule="exact"/>
        <w:rPr>
          <w:sz w:val="20"/>
          <w:szCs w:val="20"/>
          <w:color w:val="auto"/>
        </w:rPr>
      </w:pPr>
    </w:p>
    <w:p>
      <w:pPr>
        <w:ind w:left="1260" w:right="559"/>
        <w:spacing w:after="0" w:line="276" w:lineRule="auto"/>
        <w:rPr>
          <w:sz w:val="20"/>
          <w:szCs w:val="20"/>
          <w:color w:val="auto"/>
        </w:rPr>
      </w:pPr>
      <w:r>
        <w:rPr>
          <w:rFonts w:ascii="Times New Roman" w:cs="Times New Roman" w:eastAsia="Times New Roman" w:hAnsi="Times New Roman"/>
          <w:sz w:val="18"/>
          <w:szCs w:val="18"/>
          <w:color w:val="auto"/>
        </w:rPr>
        <w:t>$100 million and $110 million. Our future capital requirements will depend on many factors, including our growth rate and the timing and extent of operating expenses.</w:t>
      </w:r>
    </w:p>
    <w:p>
      <w:pPr>
        <w:spacing w:after="0" w:line="10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See “Note 5: Leases” to our combined financial statements for information about our lease obligations.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sets forth certain combined statements of cash flow data:</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16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16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(in millions)</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tcBorders>
              <w:righ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​$ 599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​$ 271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​$ 300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 ​(157)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​(965)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​(225)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4"/>
            <w:shd w:val="clear" w:color="auto" w:fill="CCEEFF"/>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(59)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8"/>
        </w:trPr>
        <w:tc>
          <w:tcPr>
            <w:tcW w:w="4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 and restricted</w:t>
            </w: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$ 532</w:t>
            </w:r>
          </w:p>
        </w:tc>
        <w:tc>
          <w:tcPr>
            <w:tcW w:w="160" w:type="dxa"/>
            <w:vAlign w:val="bottom"/>
            <w:shd w:val="clear" w:color="auto" w:fill="CCEEFF"/>
          </w:tcPr>
          <w:p>
            <w:pPr>
              <w:spacing w:after="0"/>
              <w:rPr>
                <w:sz w:val="18"/>
                <w:szCs w:val="18"/>
                <w:color w:val="auto"/>
              </w:rPr>
            </w:pPr>
          </w:p>
        </w:tc>
        <w:tc>
          <w:tcPr>
            <w:tcW w:w="4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38</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w:t>
            </w:r>
          </w:p>
        </w:tc>
        <w:tc>
          <w:tcPr>
            <w:tcW w:w="2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16</w:t>
            </w:r>
          </w:p>
        </w:tc>
        <w:tc>
          <w:tcPr>
            <w:tcW w:w="2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4"/>
            <w:vMerge w:val="continue"/>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vMerge w:val="continue"/>
            <w:shd w:val="clear" w:color="auto" w:fill="CCEEFF"/>
          </w:tcPr>
          <w:p>
            <w:pPr>
              <w:spacing w:after="0"/>
              <w:rPr>
                <w:sz w:val="23"/>
                <w:szCs w:val="23"/>
                <w:color w:val="auto"/>
              </w:rPr>
            </w:pPr>
          </w:p>
        </w:tc>
        <w:tc>
          <w:tcPr>
            <w:tcW w:w="240" w:type="dxa"/>
            <w:vAlign w:val="bottom"/>
            <w:vMerge w:val="continue"/>
            <w:shd w:val="clear" w:color="auto" w:fill="CCEEFF"/>
          </w:tcPr>
          <w:p>
            <w:pPr>
              <w:spacing w:after="0"/>
              <w:rPr>
                <w:sz w:val="23"/>
                <w:szCs w:val="23"/>
                <w:color w:val="auto"/>
              </w:rPr>
            </w:pPr>
          </w:p>
        </w:tc>
        <w:tc>
          <w:tcPr>
            <w:tcW w:w="220" w:type="dxa"/>
            <w:vAlign w:val="bottom"/>
            <w:tcBorders>
              <w:right w:val="single" w:sz="8" w:color="CCEEFF"/>
            </w:tcBorders>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5643245</wp:posOffset>
            </wp:positionH>
            <wp:positionV relativeFrom="paragraph">
              <wp:posOffset>-342265</wp:posOffset>
            </wp:positionV>
            <wp:extent cx="137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-342265</wp:posOffset>
            </wp:positionV>
            <wp:extent cx="433768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37685" cy="8890"/>
                    </a:xfrm>
                    <a:prstGeom prst="rect">
                      <a:avLst/>
                    </a:prstGeom>
                    <a:noFill/>
                  </pic:spPr>
                </pic:pic>
              </a:graphicData>
            </a:graphic>
          </wp:anchor>
        </w:drawing>
        <w:drawing>
          <wp:anchor simplePos="0" relativeHeight="251657728" behindDoc="1" locked="0" layoutInCell="0" allowOverlap="1">
            <wp:simplePos x="0" y="0"/>
            <wp:positionH relativeFrom="column">
              <wp:posOffset>5137785</wp:posOffset>
            </wp:positionH>
            <wp:positionV relativeFrom="paragraph">
              <wp:posOffset>-1165225</wp:posOffset>
            </wp:positionV>
            <wp:extent cx="1028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-1165225</wp:posOffset>
            </wp:positionV>
            <wp:extent cx="3566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4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For 2021 compared to 2020, the $328 million increase in cash provided by operating activities was primarily driven by a decrease of $ 121 million in net loss, an increase in net cash inflow from working capital and an increase in non-cash adjustments, mainly attributable to the amortization of intangible assets.</w:t>
      </w:r>
    </w:p>
    <w:p>
      <w:pPr>
        <w:spacing w:after="0" w:line="102" w:lineRule="exact"/>
        <w:rPr>
          <w:sz w:val="20"/>
          <w:szCs w:val="20"/>
          <w:color w:val="auto"/>
        </w:rPr>
      </w:pPr>
    </w:p>
    <w:p>
      <w:pPr>
        <w:ind w:left="1260" w:right="859" w:firstLine="360"/>
        <w:spacing w:after="0" w:line="250" w:lineRule="auto"/>
        <w:rPr>
          <w:sz w:val="20"/>
          <w:szCs w:val="20"/>
          <w:color w:val="auto"/>
        </w:rPr>
      </w:pPr>
      <w:r>
        <w:rPr>
          <w:rFonts w:ascii="Times New Roman" w:cs="Times New Roman" w:eastAsia="Times New Roman" w:hAnsi="Times New Roman"/>
          <w:sz w:val="18"/>
          <w:szCs w:val="18"/>
          <w:color w:val="auto"/>
        </w:rPr>
        <w:t>For 2020 compared to 2019, the $29 million decrease in cash provided by operating activities was primarily due to a decrease in non-cash adjustments in 2020 (primarily due to the adjustment in 2019 relating to interest expenses with respect to a loan with Intel), which more than offset the $132 million decrease in net loss in 2020.</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60" w:lineRule="exact"/>
        <w:rPr>
          <w:sz w:val="20"/>
          <w:szCs w:val="20"/>
          <w:color w:val="auto"/>
        </w:rPr>
      </w:pPr>
    </w:p>
    <w:p>
      <w:pPr>
        <w:ind w:left="1260" w:right="13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2021 was $157 million, primarily relating to capital expenditures in connection with the construction of our campus.</w:t>
      </w:r>
    </w:p>
    <w:p>
      <w:pPr>
        <w:spacing w:after="0" w:line="95"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0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2019 was $225 million, consisting primarily of a $185 million loan to Intel and capital expenditures.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2021 was $91 million, as a result of a net contribution from Intel.</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cash provided by financing activities in 2020 was $732 million, consisting primarily of</w:t>
      </w:r>
    </w:p>
    <w:p>
      <w:pPr>
        <w:spacing w:after="0" w:line="16"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$825 million for the acquisition of Moovit, partially offset by share-based compensation recharge payments made to Intel.</w:t>
      </w:r>
    </w:p>
    <w:p>
      <w:pPr>
        <w:spacing w:after="0" w:line="114"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2019 was $59 million, primarily related to share-based compensation recharge payments made to Intel.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10"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combined balance sheets.</w:t>
      </w:r>
    </w:p>
    <w:p>
      <w:pPr>
        <w:spacing w:after="0" w:line="11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Severance pay liability increased from $59 million as of December 26, 2020, to $68 million as of December 25, 2021, reflecting mainly an increase in salary and related costs.</w:t>
      </w:r>
    </w:p>
    <w:p>
      <w:pPr>
        <w:spacing w:after="0" w:line="95"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Intel has a defined benefit plan for an adaptation grant for certain groups of Intel’s employees. The adaptation grant includes a salary for three months and may be paid to those employees upon retirement. The benefits under the adaptation grant are calculated based on years of service and pensionable earnings. The vested benefit obligation for a defined-benefit plan is the actuarial present value of the vested benefits to which the employee is currently entitled based on the employee’s expected date of separation or retirement.</w:t>
      </w:r>
    </w:p>
    <w:p>
      <w:pPr>
        <w:spacing w:after="0" w:line="325"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Projected benefit obligations increased from $18 million as of December 26, 2020, to $23 million as of December 25, 2021, reflecting the increased number of employees together with an increase in the period of service.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6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have several bank guarantees aggregating approximately $9 million (denominated in New Israeli Shekels) mainly in connection with lease agreements and import of vehicles.</w:t>
      </w:r>
    </w:p>
    <w:p>
      <w:pPr>
        <w:spacing w:after="0" w:line="95"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addition, in connection with the Reorganization, we will issue to Intel the Dividend Note, in the aggregate principal amount of $            . The Dividend Note is scheduled to mature on         and will accrue interest at a rate equal to         % per annum.</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48" w:lineRule="exact"/>
        <w:rPr>
          <w:sz w:val="20"/>
          <w:szCs w:val="20"/>
          <w:color w:val="auto"/>
        </w:rPr>
      </w:pPr>
    </w:p>
    <w:p>
      <w:pPr>
        <w:jc w:val="both"/>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0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2021, 2020 and 2019, however certain expenses comprising our cost of revenue and operating expenses were denominated in New Israeli Shekels, mainly payroll. As a result, our combined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336"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Since our hedging arrangement with Intel is not expected to continue in the long-term, we plan to reassess what, if any, hedging arrangements we will have in subsequent fiscal years.</w:t>
      </w:r>
    </w:p>
    <w:p>
      <w:pPr>
        <w:spacing w:after="0" w:line="10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$37 million and $28 million during 2020 and 2019, respectively. The effect of a 10% change in the U.S. dollar / New Israeli Shekel exchange rate would not have had a material impact on our cash flows in 2021 due to our hedging services agreement with Intel.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left="1260" w:right="739" w:firstLine="360"/>
        <w:spacing w:after="0" w:line="275" w:lineRule="auto"/>
        <w:rPr>
          <w:sz w:val="20"/>
          <w:szCs w:val="20"/>
          <w:color w:val="auto"/>
        </w:rPr>
      </w:pPr>
      <w:r>
        <w:rPr>
          <w:rFonts w:ascii="Times New Roman" w:cs="Times New Roman" w:eastAsia="Times New Roman" w:hAnsi="Times New Roman"/>
          <w:sz w:val="18"/>
          <w:szCs w:val="18"/>
          <w:color w:val="auto"/>
        </w:rPr>
        <w:t>The application of our accounting policies may require us to make assumptions and estimates about future events and apply judgments that affect the reported amounts of assets, liabilities, revenue and expense,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4" w:lineRule="auto"/>
        <w:rPr>
          <w:sz w:val="20"/>
          <w:szCs w:val="20"/>
          <w:color w:val="auto"/>
        </w:rPr>
      </w:pPr>
      <w:r>
        <w:rPr>
          <w:rFonts w:ascii="Times New Roman" w:cs="Times New Roman" w:eastAsia="Times New Roman" w:hAnsi="Times New Roman"/>
          <w:sz w:val="18"/>
          <w:szCs w:val="18"/>
          <w:color w:val="auto"/>
        </w:rPr>
        <w:t>and the accompanying disclosures. We base our assumptions, estimates and judgments on historical experience, current trends and other factors that management believes to be relevant at the time the estimate was made.</w:t>
      </w:r>
    </w:p>
    <w:p>
      <w:pPr>
        <w:spacing w:after="0" w:line="31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combined financial statements.</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10"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Our combined financial statements include acquisition-related intangible assets, consisting primarily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 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projects are completed, the asset balances are transferred from in-process research and development to acquisition-related developed technology and are subject to amortization from that point forward based on their estimated useful lives at that time.</w:t>
      </w:r>
    </w:p>
    <w:p>
      <w:pPr>
        <w:spacing w:after="0" w:line="327"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asset balances relating to projects that are abandoned after acquisition are impaired and expensed to research and development. We perform a quarterly review of significant finite-lived identified intangible assets to make a judgment on whether facts and circumstances indicate that the carrying amount may not be recoverable and an impairment may be required.</w:t>
      </w:r>
    </w:p>
    <w:p>
      <w:pPr>
        <w:spacing w:after="0" w:line="110"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we are permitted to first assess qualitative factors to determine whether a quantitative goodwill impairment test is necessary. Further testing is only required if we determine, based on the qualitative assessment, that it is more likely than not that a reporting unit’s fair value is less than its carrying amount.</w:t>
      </w:r>
    </w:p>
    <w:p>
      <w:pPr>
        <w:spacing w:after="0" w:line="11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we may perform a quantitative analysis to support the qualitative factors above by applying sensitivities to assumptions and inputs used in measuring a reporting unit’s fair value.</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939" w:firstLine="360"/>
        <w:spacing w:after="0" w:line="266" w:lineRule="auto"/>
        <w:rPr>
          <w:sz w:val="20"/>
          <w:szCs w:val="20"/>
          <w:color w:val="auto"/>
        </w:rPr>
      </w:pPr>
      <w:r>
        <w:rPr>
          <w:rFonts w:ascii="Times New Roman" w:cs="Times New Roman" w:eastAsia="Times New Roman" w:hAnsi="Times New Roman"/>
          <w:sz w:val="18"/>
          <w:szCs w:val="18"/>
          <w:color w:val="auto"/>
        </w:rPr>
        <w:t>Our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2021, we performed a quantitative impairment test at the reporting unit level, which had</w:t>
      </w:r>
    </w:p>
    <w:p>
      <w:pPr>
        <w:spacing w:after="0" w:line="27" w:lineRule="exact"/>
        <w:rPr>
          <w:sz w:val="20"/>
          <w:szCs w:val="20"/>
          <w:color w:val="auto"/>
        </w:rPr>
      </w:pPr>
    </w:p>
    <w:p>
      <w:pPr>
        <w:ind w:left="1260" w:right="639"/>
        <w:spacing w:after="0" w:line="255" w:lineRule="auto"/>
        <w:rPr>
          <w:sz w:val="20"/>
          <w:szCs w:val="20"/>
          <w:color w:val="auto"/>
        </w:rPr>
      </w:pPr>
      <w:r>
        <w:rPr>
          <w:rFonts w:ascii="Times New Roman" w:cs="Times New Roman" w:eastAsia="Times New Roman" w:hAnsi="Times New Roman"/>
          <w:sz w:val="18"/>
          <w:szCs w:val="18"/>
          <w:color w:val="auto"/>
        </w:rPr>
        <w:t>$111 million of allocated goodwill as of December 25, 2021. As of December 25, 2021, the reporting unit was not at risk of failing the quantitative impairment test and the fair value of the reporting unit substantially exceeded its carrying amount.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based on the future tax consequences attributable to temporary differences between the combined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0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See “Note 2: Significant Accounting Policies” to our combined financial statements included elsewhere in this prospectus for information on new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4"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2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TAM to be approximately $ 16 billion, composed entirely of selected ADAS market opportunities. We expect the near-term TAM to be approximately $40 billion, and the long-term TAM to be approximately $480 billion, as the value of ADAS functionality increases and as AV deployment, both in consumer-owned vehicles and fleet-owned vehicle networks, accelerates. We define the near-term TAM as the market size in or about 2026 and the long -term TAM as the market size in or about 2030. The TAM combines market opportunities in ADAS and AV, including AMaaS.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experienced significant growth since our founding. For 2021, 2020, and 2019, our revenue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was $1.4 billion, $967 million, and $879 million, respectively, representing year-over-year growth of 43%</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 2021. We currently derive substantially all of our revenue from our commercially deployed ADAS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solutions. We recorded net losses of $75 million, $196 million, and $328 million in 2021, 2020, and 2019,</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respectively. Our Adjusted Net Income for 2021, 2020 and 2019 was $474 million, $289 million,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$51 million, respectively. As of the end of 2021, our solutions had been installed in more than 700 vehicle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models (including local country variations), and our SoCs had been deployed in over 100 million vehicles.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are actively working with more than 50 OEMs worldwide on the implementation of our ADAS</w:t>
      </w:r>
    </w:p>
    <w:p>
      <w:pPr>
        <w:ind w:left="1260"/>
        <w:spacing w:after="0" w:line="234" w:lineRule="auto"/>
        <w:rPr>
          <w:sz w:val="20"/>
          <w:szCs w:val="20"/>
          <w:color w:val="auto"/>
        </w:rPr>
      </w:pPr>
      <w:r>
        <w:rPr>
          <w:rFonts w:ascii="Times New Roman" w:cs="Times New Roman" w:eastAsia="Times New Roman" w:hAnsi="Times New Roman"/>
          <w:sz w:val="18"/>
          <w:szCs w:val="18"/>
          <w:color w:val="auto"/>
        </w:rPr>
        <w:t>solutions, and we announced over 40 new design wins in 2021 alone. We estimate, based on our existing</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design wins through March 31, 2022, that our ADAS solutions will be deployed in more than an additional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250 million vehicles by 2030, including approximately 50 million vehicles based on our 2021 design wins.</w:t>
      </w:r>
    </w:p>
    <w:p>
      <w:pPr>
        <w:ind w:left="1260"/>
        <w:spacing w:after="0" w:line="234" w:lineRule="auto"/>
        <w:rPr>
          <w:sz w:val="20"/>
          <w:szCs w:val="20"/>
          <w:color w:val="auto"/>
        </w:rPr>
      </w:pPr>
      <w:r>
        <w:rPr>
          <w:rFonts w:ascii="Times New Roman" w:cs="Times New Roman" w:eastAsia="Times New Roman" w:hAnsi="Times New Roman"/>
          <w:sz w:val="18"/>
          <w:szCs w:val="18"/>
          <w:color w:val="auto"/>
        </w:rPr>
        <w:t>These estimates are based on projections of future production volumes that were provided by the OEMs at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time of sourcing our design wins with them for the models related to those design wins. These estimates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deviate from actual production volume (which may be higher or lower than the estimates) and do not</w:t>
      </w:r>
    </w:p>
    <w:p>
      <w:pPr>
        <w:ind w:left="1260"/>
        <w:spacing w:after="0"/>
        <w:rPr>
          <w:sz w:val="20"/>
          <w:szCs w:val="20"/>
          <w:color w:val="auto"/>
        </w:rPr>
      </w:pPr>
      <w:r>
        <w:rPr>
          <w:rFonts w:ascii="Times New Roman" w:cs="Times New Roman" w:eastAsia="Times New Roman" w:hAnsi="Times New Roman"/>
          <w:sz w:val="18"/>
          <w:szCs w:val="18"/>
          <w:color w:val="auto"/>
        </w:rPr>
        <w:t>include design wins after 2021.</w:t>
      </w:r>
    </w:p>
    <w:p>
      <w:pPr>
        <w:spacing w:after="0" w:line="124"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 founder, Professor Amnon Shashua, is our President and Chief Executive Officer. Prior to being acquired by Intel for $15.3 billion in 2017, we completed an initial public offering in 2014 and traded under the symbol MBLY on the New York Stock Exchange.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Platform is Built to Enable the Full-Stack of Autonomous Solutions</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3" w:lineRule="exact"/>
        <w:rPr>
          <w:sz w:val="20"/>
          <w:szCs w:val="20"/>
          <w:color w:val="auto"/>
        </w:rPr>
      </w:pPr>
    </w:p>
    <w:p>
      <w:pPr>
        <w:ind w:left="1800" w:right="439" w:hanging="180"/>
        <w:spacing w:after="0" w:line="228"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advanced, road-tested, sensing and perception technologies built upon years of technology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w:t>
      </w:r>
    </w:p>
    <w:p>
      <w:pPr>
        <w:spacing w:after="0" w:line="30" w:lineRule="exact"/>
        <w:rPr>
          <w:rFonts w:ascii="Times New Roman" w:cs="Times New Roman" w:eastAsia="Times New Roman" w:hAnsi="Times New Roman"/>
          <w:sz w:val="18"/>
          <w:szCs w:val="18"/>
          <w:color w:val="auto"/>
        </w:rPr>
      </w:pPr>
    </w:p>
    <w:p>
      <w:pPr>
        <w:ind w:left="1800" w:right="439" w:hanging="180"/>
        <w:spacing w:after="0" w:line="217"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high-precision mapping system, our 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that generates AV maps from crowd-sourced data that is uploaded and analyzed in the cloud from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production ADAS solutions that are deployed on vehicles on the road;</w:t>
      </w:r>
    </w:p>
    <w:p>
      <w:pPr>
        <w:spacing w:after="0" w:line="28" w:lineRule="exact"/>
        <w:rPr>
          <w:rFonts w:ascii="Times New Roman" w:cs="Times New Roman" w:eastAsia="Times New Roman" w:hAnsi="Times New Roman"/>
          <w:sz w:val="18"/>
          <w:szCs w:val="18"/>
          <w:color w:val="auto"/>
        </w:rPr>
      </w:pPr>
    </w:p>
    <w:p>
      <w:pPr>
        <w:ind w:left="1800" w:right="559" w:hanging="180"/>
        <w:spacing w:after="0" w:line="243"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redundant sensor fusion architecture, which we call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62"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264"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82550</wp:posOffset>
            </wp:positionV>
            <wp:extent cx="4954905" cy="23660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5490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Efficiency and Scale are the Foundation of our Rich Portfolio of Solutions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are focused on offering full-stack solutions across the ADAS and autonomous driving markets.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These include or are expected to include:</w:t>
      </w:r>
    </w:p>
    <w:p>
      <w:pPr>
        <w:spacing w:after="0" w:line="72" w:lineRule="exact"/>
        <w:rPr>
          <w:sz w:val="20"/>
          <w:szCs w:val="20"/>
          <w:color w:val="auto"/>
        </w:rPr>
      </w:pPr>
    </w:p>
    <w:p>
      <w:pPr>
        <w:ind w:left="1800" w:right="899" w:hanging="180"/>
        <w:spacing w:after="0" w:line="266"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7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67" w:lineRule="exact"/>
        <w:rPr>
          <w:rFonts w:ascii="Times New Roman" w:cs="Times New Roman" w:eastAsia="Times New Roman" w:hAnsi="Times New Roman"/>
          <w:sz w:val="18"/>
          <w:szCs w:val="18"/>
          <w:color w:val="auto"/>
        </w:rPr>
      </w:pPr>
    </w:p>
    <w:p>
      <w:pPr>
        <w:jc w:val="both"/>
        <w:ind w:left="1800" w:right="59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 of solutions for AMaaS, including a self-driving system, the self-driving vehicles delivered in partnership with OEMs, and a customer-facing application for the movement of people and goods.</w:t>
      </w:r>
    </w:p>
    <w:p>
      <w:pPr>
        <w:spacing w:after="0" w:line="94"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Efficiency</w:t>
      </w:r>
    </w:p>
    <w:p>
      <w:pPr>
        <w:spacing w:after="0" w:line="125" w:lineRule="exact"/>
        <w:rPr>
          <w:sz w:val="20"/>
          <w:szCs w:val="20"/>
          <w:color w:val="auto"/>
        </w:rPr>
      </w:pPr>
    </w:p>
    <w:p>
      <w:pPr>
        <w:ind w:left="1260" w:right="599" w:firstLine="360"/>
        <w:spacing w:after="0" w:line="209" w:lineRule="auto"/>
        <w:rPr>
          <w:sz w:val="20"/>
          <w:szCs w:val="20"/>
          <w:color w:val="auto"/>
        </w:rPr>
      </w:pPr>
      <w:r>
        <w:rPr>
          <w:rFonts w:ascii="Times New Roman" w:cs="Times New Roman" w:eastAsia="Times New Roman" w:hAnsi="Times New Roman"/>
          <w:sz w:val="18"/>
          <w:szCs w:val="18"/>
          <w:color w:val="auto"/>
        </w:rPr>
        <w:t>Our purpose-built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approach, with separate subsystems to increase</w:t>
      </w:r>
    </w:p>
    <w:p>
      <w:pPr>
        <w:spacing w:after="0" w:line="2" w:lineRule="exact"/>
        <w:rPr>
          <w:sz w:val="20"/>
          <w:szCs w:val="20"/>
          <w:color w:val="auto"/>
        </w:rPr>
      </w:pPr>
    </w:p>
    <w:p>
      <w:pPr>
        <w:ind w:left="1260" w:right="439"/>
        <w:spacing w:after="0" w:line="239" w:lineRule="auto"/>
        <w:rPr>
          <w:sz w:val="20"/>
          <w:szCs w:val="20"/>
          <w:color w:val="auto"/>
        </w:rPr>
      </w:pPr>
      <w:r>
        <w:rPr>
          <w:rFonts w:ascii="Times New Roman" w:cs="Times New Roman" w:eastAsia="Times New Roman" w:hAnsi="Times New Roman"/>
          <w:sz w:val="18"/>
          <w:szCs w:val="18"/>
          <w:color w:val="auto"/>
        </w:rPr>
        <w:t>robustness and reduce the compute resources required to validate the solution, and RSS, which separates the perception system’s validation from the driving policy system. Both of these are critical contributors to achieving efficient solutions.</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Scale</w:t>
      </w:r>
    </w:p>
    <w:p>
      <w:pPr>
        <w:spacing w:after="0" w:line="146" w:lineRule="exact"/>
        <w:rPr>
          <w:sz w:val="20"/>
          <w:szCs w:val="20"/>
          <w:color w:val="auto"/>
        </w:rPr>
      </w:pPr>
    </w:p>
    <w:p>
      <w:pPr>
        <w:jc w:val="both"/>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We achieve scale by designing our solutions to operate at a cost and performance level that allows our solutions to become ubiquitous. We have designed our solutions to operate with four scale-driven elements:</w:t>
      </w:r>
    </w:p>
    <w:p>
      <w:pPr>
        <w:spacing w:after="0" w:line="5" w:lineRule="exact"/>
        <w:rPr>
          <w:sz w:val="20"/>
          <w:szCs w:val="20"/>
          <w:color w:val="auto"/>
        </w:rPr>
      </w:pPr>
    </w:p>
    <w:p>
      <w:pPr>
        <w:ind w:left="1800" w:right="559" w:hanging="180"/>
        <w:spacing w:after="0" w:line="245"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47" w:lineRule="exact"/>
        <w:rPr>
          <w:rFonts w:ascii="Times New Roman" w:cs="Times New Roman" w:eastAsia="Times New Roman" w:hAnsi="Times New Roman"/>
          <w:sz w:val="18"/>
          <w:szCs w:val="18"/>
          <w:color w:val="auto"/>
        </w:rPr>
      </w:pPr>
    </w:p>
    <w:p>
      <w:pPr>
        <w:ind w:left="1800" w:right="579" w:hanging="180"/>
        <w:spacing w:after="0" w:line="213"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cost-optimized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family is highly scalable and built to be at the core of our full spectrum of current and future ADAS and AV solutions, from base ADAS to autonomous driving. Our current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4High, 5Mid, 5High, and our recently announced 6Lite, and 6High, cover the entire spectrum of our ADAS solutions portfolio, and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monolithic “AV-on-Chip”, covers our autonomous driving solutions portfolio;</w:t>
      </w:r>
    </w:p>
    <w:p>
      <w:pPr>
        <w:spacing w:after="0" w:line="90" w:lineRule="exact"/>
        <w:rPr>
          <w:rFonts w:ascii="Times New Roman" w:cs="Times New Roman" w:eastAsia="Times New Roman" w:hAnsi="Times New Roman"/>
          <w:sz w:val="18"/>
          <w:szCs w:val="18"/>
          <w:color w:val="auto"/>
        </w:rPr>
      </w:pPr>
    </w:p>
    <w:p>
      <w:pPr>
        <w:jc w:val="both"/>
        <w:ind w:left="1800" w:right="559" w:hanging="180"/>
        <w:spacing w:after="0" w:line="263"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291"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Innovation and Market Leadership</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As of the end of 2021, our solutions had been installed in more than 700 vehicle models (including local country variations), and our SoCs had been deployed in over 100 million vehicles. We are actively working with more than 50 OEMs worldwide on the implementation of our ADAS solutions, and we announced over 40 new design wins in 2021 alone. We estimate, based on our existing design wins through March 31, 2022, that our ADAS solutions will be deployed in more than an additional 250 million vehicles by 2030, including approximately 50 million vehicles based on our 2021 design wins. We currently ship a variety of ADAS solutions to 13 of the 15 largest automakers in the world in addition to many smaller OEMs, and we are recognized for our top- rated safety solutions globally. For example, 67% of Euro NCAP 5-star rated vehicle models for 2018-2021 are equipped with our solutions, with the Euro NCAP widely recognized as the most stringent in regulating automotive safety, and many other regional NCAPs following its leadership.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right="679" w:firstLine="360"/>
        <w:spacing w:after="0" w:line="232" w:lineRule="auto"/>
        <w:rPr>
          <w:sz w:val="20"/>
          <w:szCs w:val="20"/>
          <w:color w:val="auto"/>
        </w:rPr>
      </w:pPr>
      <w:r>
        <w:rPr>
          <w:rFonts w:ascii="Times New Roman" w:cs="Times New Roman" w:eastAsia="Times New Roman" w:hAnsi="Times New Roman"/>
          <w:sz w:val="18"/>
          <w:szCs w:val="18"/>
          <w:color w:val="auto"/>
        </w:rPr>
        <w:t>Since 2007, when we first launched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we have introduced numerous industry-first ADAS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120015</wp:posOffset>
            </wp:positionV>
            <wp:extent cx="5109210" cy="16205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0921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Our Family of Purpose-Built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i w:val="1"/>
          <w:iCs w:val="1"/>
          <w:color w:val="auto"/>
        </w:rPr>
        <w:t xml:space="preserve"> SoCs</w:t>
      </w:r>
    </w:p>
    <w:p>
      <w:pPr>
        <w:spacing w:after="0" w:line="79" w:lineRule="exact"/>
        <w:rPr>
          <w:sz w:val="20"/>
          <w:szCs w:val="20"/>
          <w:color w:val="auto"/>
        </w:rPr>
      </w:pPr>
    </w:p>
    <w:p>
      <w:pPr>
        <w:ind w:left="1260" w:right="439" w:firstLine="360"/>
        <w:spacing w:after="0" w:line="220" w:lineRule="auto"/>
        <w:rPr>
          <w:sz w:val="20"/>
          <w:szCs w:val="20"/>
          <w:color w:val="auto"/>
        </w:rPr>
      </w:pPr>
      <w:r>
        <w:rPr>
          <w:rFonts w:ascii="Times New Roman" w:cs="Times New Roman" w:eastAsia="Times New Roman" w:hAnsi="Times New Roman"/>
          <w:sz w:val="18"/>
          <w:szCs w:val="18"/>
          <w:color w:val="auto"/>
        </w:rPr>
        <w:t>Our family of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is fundamental to our leadership position in ADAS.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design enables a scalable ECU architecture, thereby supporting a variety of ADAS solution architectures. These solutions range from base, windshield mounted ECUs to multi-SoC central compute ECUs as well as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is expected to be capable of hosting the full workload of autonomous driving under stringent cost and power efficiency metrics.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and subsequent generations feature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 end-to-end SDK intended to enable the co-hosting of our partners’ and customers’ workloads alongside our cutting-edge AI technologies. Our SDK provides access to all EyeQ accelerators for programming and is enabled by a broad ecosystem of standard and proprietary software.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 evolution of our core competencies and differentiated central compute knowhow.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brings together a team of compilers, simulators, profilers, and debuggers, who have been working together for many years, to develop a single software platform optimized for common workloads and industry standards.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used by several OEMs and Tier 1s, and hosts third-party content such as driver monitoring systems, parking functions, and visualization features. Our end-to-end software model encourages our customers to innovate on top of our platform, augmenting and differentiating their offerings, while benefiting from our cutting-edge, verified, and validated core ADAS capabilities. Importantly, we believe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Road Experience Management</w:t>
      </w:r>
      <w:r>
        <w:rPr>
          <w:rFonts w:ascii="Times New Roman" w:cs="Times New Roman" w:eastAsia="Times New Roman" w:hAnsi="Times New Roman"/>
          <w:sz w:val="26"/>
          <w:szCs w:val="26"/>
          <w:i w:val="1"/>
          <w:iCs w:val="1"/>
          <w:color w:val="auto"/>
          <w:vertAlign w:val="superscript"/>
        </w:rPr>
        <w:t>™</w:t>
      </w:r>
    </w:p>
    <w:p>
      <w:pPr>
        <w:spacing w:after="0" w:line="68" w:lineRule="exact"/>
        <w:rPr>
          <w:sz w:val="20"/>
          <w:szCs w:val="20"/>
          <w:color w:val="auto"/>
        </w:rPr>
      </w:pPr>
    </w:p>
    <w:p>
      <w:pPr>
        <w:ind w:left="1260" w:right="419" w:firstLine="360"/>
        <w:spacing w:after="0" w:line="226" w:lineRule="auto"/>
        <w:rPr>
          <w:sz w:val="20"/>
          <w:szCs w:val="20"/>
          <w:color w:val="auto"/>
        </w:rPr>
      </w:pPr>
      <w:r>
        <w:rPr>
          <w:rFonts w:ascii="Times New Roman" w:cs="Times New Roman" w:eastAsia="Times New Roman" w:hAnsi="Times New Roman"/>
          <w:sz w:val="18"/>
          <w:szCs w:val="18"/>
          <w:color w:val="auto"/>
        </w:rPr>
        <w:t>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a cloud-based system that leverages the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-equipped vehicles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crowd-sourced, high-definition maps of roads from around the world.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harvests Road Segment Data from millions of vehicles in small packets that have been launched by our partner OEMs since 2018 that are equipped with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seamlessly creates high-precision AV maps in the cloud at centimeter detail, which are then delivered to the edge to provide vehicles with real-time intelligence, including situational awareness, context, and foresight.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 In 2021, we collected over 2.5 billion miles of road data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and as of the end of 2021 we were analyzing approximately 15 million miles of road data per day, with the size of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fleet increasing daily.</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For comparison, the total length of paved roads in the United States, European Union, and China combined is less than 15 million miles.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128905</wp:posOffset>
            </wp:positionV>
            <wp:extent cx="4954905" cy="6111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54905" cy="6111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60" w:right="559" w:firstLine="360"/>
        <w:spacing w:after="0" w:line="236" w:lineRule="auto"/>
        <w:rPr>
          <w:sz w:val="20"/>
          <w:szCs w:val="20"/>
          <w:color w:val="auto"/>
        </w:rPr>
      </w:pPr>
      <w:r>
        <w:rPr>
          <w:rFonts w:ascii="Times New Roman" w:cs="Times New Roman" w:eastAsia="Times New Roman" w:hAnsi="Times New Roman"/>
          <w:sz w:val="18"/>
          <w:szCs w:val="18"/>
          <w:color w:val="auto"/>
        </w:rPr>
        <w:t>By augmenting our base ADAS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have pioneered the new ADAS category of cloud-enhanced ADAS, which we call Cloud-Enhanced Driver Assist. Cloud-Enhanced Driver Assist includes an in-path driver assist function capable of:</w:t>
      </w:r>
    </w:p>
    <w:p>
      <w:pPr>
        <w:spacing w:after="0" w:line="36" w:lineRule="exact"/>
        <w:rPr>
          <w:sz w:val="20"/>
          <w:szCs w:val="20"/>
          <w:color w:val="auto"/>
        </w:rPr>
      </w:pPr>
    </w:p>
    <w:p>
      <w:pPr>
        <w:ind w:left="1800" w:right="439" w:hanging="180"/>
        <w:spacing w:after="0" w:line="266"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Laterally controlling the vehicle to accurately track the driving path even in cases where lane markings are poorly marked, partly visible, or completely absent (for example, while driving through intersections);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5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Cloud-Enhanced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Our Cloud-Enhanced Driver Assist offering was incorporated in Ford’s BlueCruise, beginning in 2021, across multiple makes and models, and Volkswagen announced in early 2022 that our Cloud-Enhanced Driver Assist offering is being incorporated in Volkswagen’s Travel Assist 2.5.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Roadmap to Enable Mass AV Deployment</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RSS: Our Technology Safety Concept for Deploying AV at Scale</w:t>
      </w:r>
    </w:p>
    <w:p>
      <w:pPr>
        <w:spacing w:after="0" w:line="14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“eyes-off/hands-free” autonomous solutions at scale.</w:t>
      </w:r>
    </w:p>
    <w:p>
      <w:pPr>
        <w:spacing w:after="0" w:line="1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True Redundancy</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Our Unique Sensor Fusion Architecture</w:t>
      </w:r>
    </w:p>
    <w:p>
      <w:pPr>
        <w:spacing w:after="0" w:line="68"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Our unique architecture design, called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further enhances the robustness and safety of our self-driving system. Rather than fusing all different sensor modalities prior to creating an “environment model” of the world, we are developing two independent perception subsystems. One subsystem is powered solely by cameras and the other is powered by active sensors (radars and LiDARs). The fusion of the two separate “sensing states” is performed at a high-level with a simple decision mechanism for safety maneuvers and more complex “comfort” maneuvers for human-like driving. We have announced a robotaxi with a unified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including radar and LiDAR subsystems, and we expect this vehicle to be on the road in 2022. In 2021, we announced the expected initial commercial deployment of our AMaaS offering in Munich and Tel Aviv together with Moovit in addition to our current testing sites in China, Israel, Detroit, Miami, Munich, Paris, Stuttgart and Tokyo.</w:t>
      </w:r>
    </w:p>
    <w:p>
      <w:pPr>
        <w:spacing w:after="0" w:line="100" w:lineRule="exact"/>
        <w:rPr>
          <w:sz w:val="20"/>
          <w:szCs w:val="20"/>
          <w:color w:val="auto"/>
        </w:rPr>
      </w:pPr>
    </w:p>
    <w:p>
      <w:pPr>
        <w:ind w:left="1260" w:right="419" w:firstLine="360"/>
        <w:spacing w:after="0" w:line="228" w:lineRule="auto"/>
        <w:rPr>
          <w:sz w:val="20"/>
          <w:szCs w:val="20"/>
          <w:color w:val="auto"/>
        </w:rPr>
      </w:pPr>
      <w:r>
        <w:rPr>
          <w:rFonts w:ascii="Times New Roman" w:cs="Times New Roman" w:eastAsia="Times New Roman" w:hAnsi="Times New Roman"/>
          <w:sz w:val="18"/>
          <w:szCs w:val="18"/>
          <w:color w:val="auto"/>
        </w:rPr>
        <w:t>A byproduct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enabling subsystems of our AV development to “scale down” to ADAS, thus creating a seamless and scalable solution portfolio from ADAS to autonomous driving. For example, our Premium Driver Assist offering,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recently launched by Geely Group for its Zeekr premium electric vehicle brand, is a productization of the camera-only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enables us to considerably enhance the evolution of ADAS from front-facing camera solutions to a full surround multi-camera solution supporting fully operational “eyes-on” functions.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The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 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Our AV maps provide areas of potential dangers (such as lane merges, traffic lights and occluded pedestrians) and adjust the driving accordingly, while RSS provides human-like decisions enabled by surround (360) sensing and the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 We believe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 We believe that our cost-efficient design of active sensing technology will help support consumer AV production at scale in the future.</w:t>
      </w:r>
    </w:p>
    <w:p>
      <w:pPr>
        <w:spacing w:after="0" w:line="260"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In addition, the autonomous driving-ADAS interplay rooted in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35"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We are designing a first-of-its-kind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305"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with two separate subsystems combines both cameras and software-defined imaging radar around the vehicle, with a single front-facing LiDAR for three-way redundancy, which will be powered by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AV-on-Chip. This unique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designed to bring the cost structure of a full self-driving system to a consumer level by having the imaging radars replace the multiple, expensive LiDARs around the vehicle and require only a single front-facing LiDAR, enabling “eyes-off/hands-free” Level 4 autonomous solutions to be launched at scale. Until completion of development of our software-defined imaging radar, we expect the implementation 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to employ third-party LiDARs and commercially available radars.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51523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54905" cy="5152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20" w:right="639"/>
        <w:spacing w:after="0"/>
        <w:rPr>
          <w:sz w:val="20"/>
          <w:szCs w:val="20"/>
          <w:color w:val="auto"/>
        </w:rPr>
      </w:pPr>
      <w:r>
        <w:rPr>
          <w:rFonts w:ascii="Times New Roman" w:cs="Times New Roman" w:eastAsia="Times New Roman" w:hAnsi="Times New Roman"/>
          <w:sz w:val="14"/>
          <w:szCs w:val="14"/>
          <w:color w:val="auto"/>
        </w:rPr>
        <w:t>Represents commercially deployed solutions (Driver Assist, Cloud-Enhanced Driver Assist and Mobileye SuperVision</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and solutions that we expect to be commercially deployed in the future (Mobileye Chauffeur</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Mobileye Drive</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AMaaS).</w:t>
      </w:r>
    </w:p>
    <w:p>
      <w:pPr>
        <w:spacing w:after="0" w:line="193" w:lineRule="exact"/>
        <w:rPr>
          <w:sz w:val="20"/>
          <w:szCs w:val="20"/>
          <w:color w:val="auto"/>
        </w:rPr>
      </w:pPr>
    </w:p>
    <w:p>
      <w:pPr>
        <w:ind w:left="1260" w:right="539" w:firstLine="360"/>
        <w:spacing w:after="0" w:line="207"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system,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Consumer AV ranges from very limited operational design domain (e.g., low-speed, highway-only “traffic jam pilot” systems) to the much more expansive operational design domain that we are pursuing through 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w:t>
      </w:r>
    </w:p>
    <w:p>
      <w:pPr>
        <w:spacing w:after="0" w:line="4" w:lineRule="exact"/>
        <w:rPr>
          <w:sz w:val="20"/>
          <w:szCs w:val="20"/>
          <w:color w:val="auto"/>
        </w:rPr>
      </w:pPr>
    </w:p>
    <w:p>
      <w:pPr>
        <w:ind w:left="1260" w:right="599"/>
        <w:spacing w:after="0" w:line="199" w:lineRule="auto"/>
        <w:rPr>
          <w:sz w:val="20"/>
          <w:szCs w:val="20"/>
          <w:color w:val="auto"/>
        </w:rPr>
      </w:pPr>
      <w:r>
        <w:rPr>
          <w:rFonts w:ascii="Times New Roman" w:cs="Times New Roman" w:eastAsia="Times New Roman" w:hAnsi="Times New Roman"/>
          <w:sz w:val="18"/>
          <w:szCs w:val="18"/>
          <w:color w:val="auto"/>
        </w:rPr>
        <w:t>driver’s seat, in a gradually expanding operational driving domain, and is expected to use surrounding imaging radars and front -facing LiDAR, but may require driver intervention in certain situations. The first generation will be based on six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5High SoCs, and future generations will be powered by one EyeQ</w:t>
      </w:r>
    </w:p>
    <w:p>
      <w:pPr>
        <w:spacing w:after="0" w:line="2" w:lineRule="exact"/>
        <w:rPr>
          <w:sz w:val="20"/>
          <w:szCs w:val="20"/>
          <w:color w:val="auto"/>
        </w:rPr>
      </w:pPr>
    </w:p>
    <w:p>
      <w:pPr>
        <w:ind w:left="1260" w:right="459"/>
        <w:spacing w:after="0" w:line="223" w:lineRule="auto"/>
        <w:rPr>
          <w:sz w:val="20"/>
          <w:szCs w:val="20"/>
          <w:color w:val="auto"/>
        </w:rPr>
      </w:pPr>
      <w:r>
        <w:rPr>
          <w:rFonts w:ascii="Times New Roman" w:cs="Times New Roman" w:eastAsia="Times New Roman" w:hAnsi="Times New Roman"/>
          <w:sz w:val="18"/>
          <w:szCs w:val="18"/>
          <w:color w:val="auto"/>
        </w:rPr>
        <w:t>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We believe that this design win is an early sign of broad interest in consumer-level “eyes-off/​hands-free” driving.</w:t>
      </w:r>
    </w:p>
    <w:p>
      <w:pPr>
        <w:spacing w:after="0" w:line="83" w:lineRule="exact"/>
        <w:rPr>
          <w:sz w:val="20"/>
          <w:szCs w:val="20"/>
          <w:color w:val="auto"/>
        </w:rPr>
      </w:pPr>
    </w:p>
    <w:p>
      <w:pPr>
        <w:ind w:left="1260" w:right="639" w:firstLine="360"/>
        <w:spacing w:after="0" w:line="200" w:lineRule="auto"/>
        <w:rPr>
          <w:sz w:val="20"/>
          <w:szCs w:val="20"/>
          <w:color w:val="auto"/>
        </w:rPr>
      </w:pPr>
      <w:r>
        <w:rPr>
          <w:rFonts w:ascii="Times New Roman" w:cs="Times New Roman" w:eastAsia="Times New Roman" w:hAnsi="Times New Roman"/>
          <w:sz w:val="18"/>
          <w:szCs w:val="18"/>
          <w:color w:val="auto"/>
        </w:rPr>
        <w:t>Building upon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targets the consumer-owned AV market, we are developing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self-driving system targeted for fleet-owned AMaaS and goods</w:t>
      </w:r>
    </w:p>
    <w:p>
      <w:pPr>
        <w:spacing w:after="0" w:line="2" w:lineRule="exact"/>
        <w:rPr>
          <w:sz w:val="20"/>
          <w:szCs w:val="20"/>
          <w:color w:val="auto"/>
        </w:rPr>
      </w:pPr>
    </w:p>
    <w:p>
      <w:pPr>
        <w:ind w:left="1260" w:right="619"/>
        <w:spacing w:after="0" w:line="239" w:lineRule="auto"/>
        <w:rPr>
          <w:sz w:val="20"/>
          <w:szCs w:val="20"/>
          <w:color w:val="auto"/>
        </w:rPr>
      </w:pPr>
      <w:r>
        <w:rPr>
          <w:rFonts w:ascii="Times New Roman" w:cs="Times New Roman" w:eastAsia="Times New Roman" w:hAnsi="Times New Roman"/>
          <w:sz w:val="18"/>
          <w:szCs w:val="18"/>
          <w:color w:val="auto"/>
        </w:rPr>
        <w:t>delivery networks. While these markets are still nascent, we view the potential use of autonomous driving technology by the operators of passenger and goods transportation networks as unlocking significant efficiencies and</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1" w:lineRule="auto"/>
        <w:rPr>
          <w:sz w:val="20"/>
          <w:szCs w:val="20"/>
          <w:color w:val="auto"/>
        </w:rPr>
      </w:pPr>
      <w:r>
        <w:rPr>
          <w:rFonts w:ascii="Times New Roman" w:cs="Times New Roman" w:eastAsia="Times New Roman" w:hAnsi="Times New Roman"/>
          <w:sz w:val="18"/>
          <w:szCs w:val="18"/>
          <w:color w:val="auto"/>
        </w:rPr>
        <w:t>safety improvements. While these networks will require multiple layers of technology, we believe the majority of the value will accrue to the companies that provide (1) the self-driving system itself, (2) the mobility intelligence platform and services, and (3) demand and user experience.</w:t>
      </w:r>
    </w:p>
    <w:p>
      <w:pPr>
        <w:spacing w:after="0" w:line="62"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Self-Driving System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encompasses our core autonomous driving technologies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105" w:lineRule="exact"/>
        <w:rPr>
          <w:sz w:val="20"/>
          <w:szCs w:val="20"/>
          <w:color w:val="auto"/>
        </w:rPr>
      </w:pPr>
    </w:p>
    <w:p>
      <w:pPr>
        <w:ind w:left="1800" w:right="699" w:hanging="180"/>
        <w:spacing w:after="0" w:line="268"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 cost-efficient, low-energy, purpose-built central compute processors; imaging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radars targeted to reduce the need for multiple LiDAR units and require only a single front-facing LiDAR;</w:t>
      </w:r>
    </w:p>
    <w:p>
      <w:pPr>
        <w:spacing w:after="0" w:line="58" w:lineRule="exact"/>
        <w:rPr>
          <w:rFonts w:ascii="Times New Roman" w:cs="Times New Roman" w:eastAsia="Times New Roman" w:hAnsi="Times New Roman"/>
          <w:sz w:val="18"/>
          <w:szCs w:val="18"/>
          <w:color w:val="auto"/>
        </w:rPr>
      </w:pPr>
    </w:p>
    <w:p>
      <w:pPr>
        <w:ind w:left="1800" w:right="459" w:hanging="180"/>
        <w:spacing w:after="0" w:line="243"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Scalability</w:t>
      </w:r>
      <w:r>
        <w:rPr>
          <w:rFonts w:ascii="Times New Roman" w:cs="Times New Roman" w:eastAsia="Times New Roman" w:hAnsi="Times New Roman"/>
          <w:sz w:val="18"/>
          <w:szCs w:val="18"/>
          <w:color w:val="auto"/>
        </w:rPr>
        <w:t> —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-based AV maps that eliminate the need for dedicated high-definition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mapping efforts; RSS-based driving policy designed for global deployment by not relying on driving culture or local rules; sensing technologies built on a foundation of a massive data training set from over 40 countries; and</w:t>
      </w:r>
    </w:p>
    <w:p>
      <w:pPr>
        <w:spacing w:after="0" w:line="81" w:lineRule="exact"/>
        <w:rPr>
          <w:rFonts w:ascii="Times New Roman" w:cs="Times New Roman" w:eastAsia="Times New Roman" w:hAnsi="Times New Roman"/>
          <w:sz w:val="18"/>
          <w:szCs w:val="18"/>
          <w:color w:val="auto"/>
        </w:rPr>
      </w:pPr>
    </w:p>
    <w:p>
      <w:pPr>
        <w:ind w:left="1800" w:right="599" w:hanging="180"/>
        <w:spacing w:after="0" w:line="236"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Validation</w:t>
      </w:r>
      <w:r>
        <w:rPr>
          <w:rFonts w:ascii="Times New Roman" w:cs="Times New Roman" w:eastAsia="Times New Roman" w:hAnsi="Times New Roman"/>
          <w:sz w:val="18"/>
          <w:szCs w:val="18"/>
          <w:color w:val="auto"/>
        </w:rPr>
        <w:t> —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independent, separate perception subsystems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robustness and ease of validation, RSS used by international bodies that are currently developing standards with respect to the safety of AV.</w:t>
      </w:r>
    </w:p>
    <w:p>
      <w:pPr>
        <w:spacing w:after="0" w:line="126" w:lineRule="exact"/>
        <w:rPr>
          <w:sz w:val="20"/>
          <w:szCs w:val="20"/>
          <w:color w:val="auto"/>
        </w:rPr>
      </w:pPr>
    </w:p>
    <w:p>
      <w:pPr>
        <w:ind w:left="1260" w:right="519" w:firstLine="36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Mobility Intelligence Platform, Demand and Services</w:t>
      </w:r>
      <w:r>
        <w:rPr>
          <w:rFonts w:ascii="Times New Roman" w:cs="Times New Roman" w:eastAsia="Times New Roman" w:hAnsi="Times New Roman"/>
          <w:sz w:val="18"/>
          <w:szCs w:val="18"/>
          <w:color w:val="auto"/>
        </w:rPr>
        <w:t> — We provide this layer through Moovit, a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urban mobility app and MaaS solutions provider, which was acquired by Intel in 2020 to support the Mobileye business and which will become wholly owned by us as part of the Reorganization. As of the end of 2021, Moovit had more than 1.3 billion users globally and service in over 3,500 cities across</w:t>
      </w:r>
    </w:p>
    <w:p>
      <w:pPr>
        <w:spacing w:after="0" w:line="3" w:lineRule="exact"/>
        <w:rPr>
          <w:sz w:val="20"/>
          <w:szCs w:val="20"/>
          <w:color w:val="auto"/>
        </w:rPr>
      </w:pPr>
    </w:p>
    <w:p>
      <w:pPr>
        <w:jc w:val="both"/>
        <w:ind w:left="1260" w:right="499"/>
        <w:spacing w:after="0" w:line="271" w:lineRule="auto"/>
        <w:rPr>
          <w:sz w:val="20"/>
          <w:szCs w:val="20"/>
          <w:color w:val="auto"/>
        </w:rPr>
      </w:pPr>
      <w:r>
        <w:rPr>
          <w:rFonts w:ascii="Times New Roman" w:cs="Times New Roman" w:eastAsia="Times New Roman" w:hAnsi="Times New Roman"/>
          <w:sz w:val="18"/>
          <w:szCs w:val="18"/>
          <w:color w:val="auto"/>
        </w:rPr>
        <w:t>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100" w:lineRule="exact"/>
        <w:rPr>
          <w:sz w:val="20"/>
          <w:szCs w:val="20"/>
          <w:color w:val="auto"/>
        </w:rPr>
      </w:pPr>
    </w:p>
    <w:p>
      <w:pPr>
        <w:ind w:left="1260" w:right="479" w:firstLine="36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Demand and Rider Experience</w:t>
      </w:r>
      <w:r>
        <w:rPr>
          <w:rFonts w:ascii="Times New Roman" w:cs="Times New Roman" w:eastAsia="Times New Roman" w:hAnsi="Times New Roman"/>
          <w:sz w:val="18"/>
          <w:szCs w:val="18"/>
          <w:color w:val="auto"/>
        </w:rPr>
        <w:t> — Moovit’s global user base also provides a ready consumer base for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business-to-business customers. It also provides the necessary service and user-base layer within our own AMaaS solution.</w:t>
      </w:r>
    </w:p>
    <w:p>
      <w:pPr>
        <w:spacing w:after="0" w:line="93"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This strategy has gained traction over the last several years, as we are forming business-to-business collaborations with several public transportation operators and transportation network companies in the U.S. and Europe relating to our Self Driving System. We are also pursuing the business-to-customer channel with full vertically integrated MaaS activities in partnership with SIXT in Europe and in a Mobileye owned-and-operated network in Israel.</w:t>
      </w:r>
    </w:p>
    <w:p>
      <w:pPr>
        <w:spacing w:after="0" w:line="129" w:lineRule="exact"/>
        <w:rPr>
          <w:sz w:val="20"/>
          <w:szCs w:val="20"/>
          <w:color w:val="auto"/>
        </w:rPr>
      </w:pPr>
    </w:p>
    <w:p>
      <w:pPr>
        <w:ind w:left="1260" w:right="639" w:firstLine="360"/>
        <w:spacing w:after="0" w:line="274" w:lineRule="auto"/>
        <w:rPr>
          <w:sz w:val="20"/>
          <w:szCs w:val="20"/>
          <w:color w:val="auto"/>
        </w:rPr>
      </w:pPr>
      <w:r>
        <w:rPr>
          <w:rFonts w:ascii="Times New Roman" w:cs="Times New Roman" w:eastAsia="Times New Roman" w:hAnsi="Times New Roman"/>
          <w:sz w:val="18"/>
          <w:szCs w:val="18"/>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569595</wp:posOffset>
            </wp:positionV>
            <wp:extent cx="2545715" cy="30518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45715" cy="305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industry -leading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Autonomous Vehicle Revolution</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Autonomous driving is one of the most difficult technological challenges facing the world today. Autonomous driving as a technological concept has been at the forefront of human imagination for decades. Since the early 2000s, a number of automotive and technology companies have invested heavily to try to make this a reality.</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Vehicle autonomy can be viewed as a spectrum, which uses the same technology building blocks to power the full span of driver assist functions, ranging from those available in hundreds of car models today, through full autonomy powering robotaxis and, eventually, personal autonomous vehicles. Basic driver assist features, such as automatic emergency braking or lane keeping assist, together with longitudinal control such as adaptive cruise control, fall into what is known as SAE Levels 1-2. The next level up refers to premium driver assist functions adding additional safety and comfort functionality, allowing the driver to experience hands free driving while the driver must still monitor the driving. Level 3 enables the driver to relinquish control under certain conditions such as highway driving. Vehicles equipped with Level 4 autonomy, which powers robotaxis and autonomous delivery vehicles, for example, operate within a certain operational design domain without driver input at all, but may rely on a teleoperator in rare circumstances. Level 5 autonomy requires no human driver intervention at all in any situation.</w:t>
      </w:r>
    </w:p>
    <w:p>
      <w:pPr>
        <w:spacing w:after="0" w:line="12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We believe that the path to full autonomy at scale will begin with increased proliferation of the middle category — premium driver assist — enabling hands- 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100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2108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5490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Models for AV Adoption</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we believe consumer-owned and operated AVs will fundamentally change how individuals utilize their vehicles. Today, cars are in operation for an average of only approximately one hour per day, implying owned vehicle utilization of only 4% per day according to the Department of Transportation. Automation would allow the vehicle to operate more hours per day, and more predictably, reliably, and safely. Providing consumers with access to affordable autonomous vehicles can add a number of entirely new uses for vehicles that have never been possible before. For example, if one wanted to ride in their car to work, instead of leaving the car in the parking lot all day, the car could drive around autonomously and pick up groceries or a package at a store.</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Challenges to Making Autonomous Vehicles Ubiquitous</w:t>
      </w:r>
    </w:p>
    <w:p>
      <w:pPr>
        <w:spacing w:after="0" w:line="162"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To make autonomous vehicles at scale a reality, we believe that there are three core challenges that must be addressed:</w:t>
      </w:r>
    </w:p>
    <w:p>
      <w:pPr>
        <w:spacing w:after="0" w:line="50" w:lineRule="exact"/>
        <w:rPr>
          <w:sz w:val="20"/>
          <w:szCs w:val="20"/>
          <w:color w:val="auto"/>
        </w:rPr>
      </w:pPr>
    </w:p>
    <w:p>
      <w:pPr>
        <w:ind w:left="1800" w:right="539" w:hanging="180"/>
        <w:spacing w:after="0" w:line="265"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Regulatory Endorsement</w:t>
      </w:r>
      <w:r>
        <w:rPr>
          <w:rFonts w:ascii="Times New Roman" w:cs="Times New Roman" w:eastAsia="Times New Roman" w:hAnsi="Times New Roman"/>
          <w:sz w:val="18"/>
          <w:szCs w:val="18"/>
          <w:color w:val="auto"/>
        </w:rPr>
        <w:t> — Autonomous driving solutions must be architected, by design,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verifiably safe, in a manner that fosters broad societal and regulatory endorsement. Regulation is an often-overlooked factor. While laws and regulations are specific to human drivers, there are challenges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52" w:lineRule="auto"/>
        <w:rPr>
          <w:sz w:val="20"/>
          <w:szCs w:val="20"/>
          <w:color w:val="auto"/>
        </w:rPr>
      </w:pPr>
      <w:r>
        <w:rPr>
          <w:rFonts w:ascii="Times New Roman" w:cs="Times New Roman" w:eastAsia="Times New Roman" w:hAnsi="Times New Roman"/>
          <w:sz w:val="18"/>
          <w:szCs w:val="18"/>
          <w:color w:val="auto"/>
        </w:rPr>
        <w:t>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However, for driving policy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96" w:lineRule="exact"/>
        <w:rPr>
          <w:sz w:val="20"/>
          <w:szCs w:val="20"/>
          <w:color w:val="auto"/>
        </w:rPr>
      </w:pPr>
    </w:p>
    <w:p>
      <w:pPr>
        <w:ind w:left="1800" w:right="439" w:hanging="180"/>
        <w:spacing w:after="0" w:line="25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Geographic Scale</w:t>
      </w:r>
      <w:r>
        <w:rPr>
          <w:rFonts w:ascii="Times New Roman" w:cs="Times New Roman" w:eastAsia="Times New Roman" w:hAnsi="Times New Roman"/>
          <w:sz w:val="18"/>
          <w:szCs w:val="18"/>
          <w:color w:val="auto"/>
        </w:rPr>
        <w:t> — Geographic scale refers to the challenge of creating high-definition maps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great detail and accuracy, and 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74"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w:t>
      </w:r>
      <w:r>
        <w:rPr>
          <w:rFonts w:ascii="Times New Roman" w:cs="Times New Roman" w:eastAsia="Times New Roman" w:hAnsi="Times New Roman"/>
          <w:sz w:val="18"/>
          <w:szCs w:val="18"/>
          <w:color w:val="auto"/>
        </w:rPr>
        <w:t> — The cost of a self-driving system commonly employed by robotaxis, with its cameras, radars,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62" w:lineRule="exact"/>
        <w:rPr>
          <w:sz w:val="20"/>
          <w:szCs w:val="20"/>
          <w:color w:val="auto"/>
        </w:rPr>
      </w:pPr>
    </w:p>
    <w:p>
      <w:pPr>
        <w:ind w:left="1260" w:right="459" w:firstLine="360"/>
        <w:spacing w:after="0" w:line="226" w:lineRule="auto"/>
        <w:rPr>
          <w:sz w:val="20"/>
          <w:szCs w:val="20"/>
          <w:color w:val="auto"/>
        </w:rPr>
      </w:pPr>
      <w:r>
        <w:rPr>
          <w:rFonts w:ascii="Times New Roman" w:cs="Times New Roman" w:eastAsia="Times New Roman" w:hAnsi="Times New Roman"/>
          <w:sz w:val="18"/>
          <w:szCs w:val="18"/>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full-surround computer vision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are developing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consumer AV solution with a human driver still in the driver’s seat that may require driver intervention in certain situations,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autonomous driving solution. Together with Moovit’s urban mobility and transit application and its global user base, we are developing our own AMaaS offering for consumers built upon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End-to-End ADAS and AV Solutions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Driver Assist</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Cloud-Enhanced Driver Assist</w:t>
      </w:r>
    </w:p>
    <w:p>
      <w:pPr>
        <w:spacing w:after="0" w:line="162" w:lineRule="exact"/>
        <w:rPr>
          <w:sz w:val="20"/>
          <w:szCs w:val="20"/>
          <w:color w:val="auto"/>
        </w:rPr>
      </w:pPr>
    </w:p>
    <w:p>
      <w:pPr>
        <w:ind w:left="1260" w:right="419" w:firstLine="360"/>
        <w:spacing w:after="0" w:line="236" w:lineRule="auto"/>
        <w:rPr>
          <w:sz w:val="20"/>
          <w:szCs w:val="20"/>
          <w:color w:val="auto"/>
        </w:rPr>
      </w:pPr>
      <w:r>
        <w:rPr>
          <w:rFonts w:ascii="Times New Roman" w:cs="Times New Roman" w:eastAsia="Times New Roman" w:hAnsi="Times New Roman"/>
          <w:sz w:val="18"/>
          <w:szCs w:val="18"/>
          <w:color w:val="auto"/>
        </w:rPr>
        <w:t>Cloud-Enhanced Driver Assist provides drivers with high-accuracy interpretations of a scene in real-time utilizing centimeter-level drivable path accuracy, foresight of the path ahead, and other semantic information provided by our crowdsourced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This additional input to the environmental model enhances speed and quality of the system’s decision-making. Our Cloud-Enhanced Driver Assist solution is category-defining and, with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pacing w:after="0" w:line="13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Our Cloud-Enhanced Driver Assist offering was incorporated in Ford’s BlueCruise, beginning in 2021, across multiple makes and models, and Volkswagen announced in early 2022 that our Cloud-Enhanced Driver Assist offering is being incorporated in Volkswagen’s Travel Assist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97790</wp:posOffset>
            </wp:positionV>
            <wp:extent cx="5109210" cy="19970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0921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SuperVision</w:t>
      </w:r>
      <w:r>
        <w:rPr>
          <w:rFonts w:ascii="Times New Roman" w:cs="Times New Roman" w:eastAsia="Times New Roman" w:hAnsi="Times New Roman"/>
          <w:sz w:val="26"/>
          <w:szCs w:val="26"/>
          <w:b w:val="1"/>
          <w:bCs w:val="1"/>
          <w:i w:val="1"/>
          <w:iCs w:val="1"/>
          <w:color w:val="auto"/>
          <w:vertAlign w:val="superscript"/>
        </w:rPr>
        <w:t>TM</w:t>
      </w:r>
    </w:p>
    <w:p>
      <w:pPr>
        <w:spacing w:after="0" w:line="83" w:lineRule="exact"/>
        <w:rPr>
          <w:sz w:val="20"/>
          <w:szCs w:val="20"/>
          <w:color w:val="auto"/>
        </w:rPr>
      </w:pPr>
    </w:p>
    <w:p>
      <w:pPr>
        <w:ind w:left="1260" w:right="419" w:firstLine="360"/>
        <w:spacing w:after="0" w:line="196" w:lineRule="auto"/>
        <w:rPr>
          <w:sz w:val="20"/>
          <w:szCs w:val="20"/>
          <w:color w:val="auto"/>
        </w:rPr>
      </w:pPr>
      <w:r>
        <w:rPr>
          <w:rFonts w:ascii="Times New Roman" w:cs="Times New Roman" w:eastAsia="Times New Roman" w:hAnsi="Times New Roman"/>
          <w:sz w:val="18"/>
          <w:szCs w:val="18"/>
          <w:color w:val="auto"/>
        </w:rPr>
        <w:t>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Premium Driver Assist offering, is a fully operational point-to-point assisted driving navigation solution and includes cloud-based enhancements such as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supports OTA updates.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includes our RSS policy model and 360-degree surround sensing with 11 cameras powered by a turnkey ECU with two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5 SoCs. Furthermore, in addition to supervised point-to-point assisted driving,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capable of changing lanes, managing priorities, and turning in intersections as well as engaging in automated parking, preventative steering, and braking, and other Driver Assist features.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upon our camera-only subsystem. The</w:t>
      </w:r>
    </w:p>
    <w:p>
      <w:pPr>
        <w:ind w:left="1260" w:right="419"/>
        <w:spacing w:after="0" w:line="235" w:lineRule="auto"/>
        <w:rPr>
          <w:sz w:val="20"/>
          <w:szCs w:val="20"/>
          <w:color w:val="auto"/>
        </w:rPr>
      </w:pPr>
      <w:r>
        <w:rPr>
          <w:rFonts w:ascii="Times New Roman" w:cs="Times New Roman" w:eastAsia="Times New Roman" w:hAnsi="Times New Roman"/>
          <w:sz w:val="18"/>
          <w:szCs w:val="18"/>
          <w:color w:val="auto"/>
        </w:rPr>
        <w:t>11 cameras (seven long range cameras and four parking cameras) provide full surround coverage and consist of 8-megapixel 120-degree and 28-degree cameras in the front, four 100-degree corner 8-megapixel cameras (two in the front and two in the rear), a 60-degree rear 8-megapixel camera and four wide-view 192-degree parking cameras mounted on the side mirrors and front and rear bumpers. The mapping is powered by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create a 360-degree environmental model, and RSS constrains the driving decisions to be compliant with an underlying formally proven model for safe driving decisions.</w:t>
      </w:r>
    </w:p>
    <w:p>
      <w:pPr>
        <w:spacing w:after="0" w:line="97" w:lineRule="exact"/>
        <w:rPr>
          <w:sz w:val="20"/>
          <w:szCs w:val="20"/>
          <w:color w:val="auto"/>
        </w:rPr>
      </w:pPr>
    </w:p>
    <w:p>
      <w:pPr>
        <w:ind w:left="1260" w:right="519" w:firstLine="360"/>
        <w:spacing w:after="0" w:line="234" w:lineRule="auto"/>
        <w:rPr>
          <w:sz w:val="20"/>
          <w:szCs w:val="20"/>
          <w:color w:val="auto"/>
        </w:rPr>
      </w:pPr>
      <w:r>
        <w:rPr>
          <w:rFonts w:ascii="Times New Roman" w:cs="Times New Roman" w:eastAsia="Times New Roman" w:hAnsi="Times New Roman"/>
          <w:sz w:val="18"/>
          <w:szCs w:val="18"/>
          <w:color w:val="auto"/>
        </w:rPr>
        <w:t>Geely Group recently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 its Zeekr premium electric vehicle brand in 2021. The integration of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in 2022 through an Over-the-Air update.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Our Revolutionary Mobileye SuperVision</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93980</wp:posOffset>
            </wp:positionV>
            <wp:extent cx="4954905" cy="27343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5490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Mobileye Chauffeur</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and Mobileye Drive</w:t>
      </w:r>
      <w:r>
        <w:rPr>
          <w:rFonts w:ascii="Times New Roman" w:cs="Times New Roman" w:eastAsia="Times New Roman" w:hAnsi="Times New Roman"/>
          <w:sz w:val="26"/>
          <w:szCs w:val="26"/>
          <w:b w:val="1"/>
          <w:bCs w:val="1"/>
          <w:i w:val="1"/>
          <w:iCs w:val="1"/>
          <w:color w:val="auto"/>
          <w:vertAlign w:val="superscript"/>
        </w:rPr>
        <w:t>™</w:t>
      </w:r>
    </w:p>
    <w:p>
      <w:pPr>
        <w:spacing w:after="0" w:line="83" w:lineRule="exact"/>
        <w:rPr>
          <w:sz w:val="20"/>
          <w:szCs w:val="20"/>
          <w:color w:val="auto"/>
        </w:rPr>
      </w:pPr>
    </w:p>
    <w:p>
      <w:pPr>
        <w:ind w:left="1260" w:right="439" w:firstLine="360"/>
        <w:spacing w:after="0" w:line="191" w:lineRule="auto"/>
        <w:rPr>
          <w:sz w:val="20"/>
          <w:szCs w:val="20"/>
          <w:color w:val="auto"/>
        </w:rPr>
      </w:pPr>
      <w:r>
        <w:rPr>
          <w:rFonts w:ascii="Times New Roman" w:cs="Times New Roman" w:eastAsia="Times New Roman" w:hAnsi="Times New Roman"/>
          <w:sz w:val="18"/>
          <w:szCs w:val="18"/>
          <w:color w:val="auto"/>
        </w:rPr>
        <w:t>Our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first generation solution will be based on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 High SoCs, and the next generation will be powered by one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AV-on-Chip. It will combine our leading computer vision, camera-based perception subsystem with a radar-LiDAR subsystem. Mobileye Chauffeur</w:t>
      </w:r>
      <w:r>
        <w:rPr>
          <w:rFonts w:ascii="Times New Roman" w:cs="Times New Roman" w:eastAsia="Times New Roman" w:hAnsi="Times New Roman"/>
          <w:sz w:val="26"/>
          <w:szCs w:val="26"/>
          <w:color w:val="auto"/>
          <w:vertAlign w:val="superscript"/>
        </w:rPr>
        <w:t>™</w:t>
      </w:r>
    </w:p>
    <w:p>
      <w:pPr>
        <w:spacing w:after="0" w:line="3" w:lineRule="exact"/>
        <w:rPr>
          <w:sz w:val="20"/>
          <w:szCs w:val="20"/>
          <w:color w:val="auto"/>
        </w:rPr>
      </w:pPr>
    </w:p>
    <w:p>
      <w:pPr>
        <w:jc w:val="both"/>
        <w:ind w:left="1260" w:right="579"/>
        <w:spacing w:after="0" w:line="213" w:lineRule="auto"/>
        <w:rPr>
          <w:sz w:val="20"/>
          <w:szCs w:val="20"/>
          <w:color w:val="auto"/>
        </w:rPr>
      </w:pPr>
      <w:r>
        <w:rPr>
          <w:rFonts w:ascii="Times New Roman" w:cs="Times New Roman" w:eastAsia="Times New Roman" w:hAnsi="Times New Roman"/>
          <w:sz w:val="18"/>
          <w:szCs w:val="18"/>
          <w:color w:val="auto"/>
        </w:rPr>
        <w:t>will provide 360-degrees of coverage through two independent and redundant sensing subsystems offering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reduce the validation burden and, along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AV maps and RSS, to increase scalability and safety.</w:t>
      </w:r>
    </w:p>
    <w:p>
      <w:pPr>
        <w:spacing w:after="0" w:line="95" w:lineRule="exact"/>
        <w:rPr>
          <w:sz w:val="20"/>
          <w:szCs w:val="20"/>
          <w:color w:val="auto"/>
        </w:rPr>
      </w:pPr>
    </w:p>
    <w:p>
      <w:pPr>
        <w:ind w:left="1260" w:right="459" w:firstLine="360"/>
        <w:spacing w:after="0" w:line="222" w:lineRule="auto"/>
        <w:rPr>
          <w:sz w:val="20"/>
          <w:szCs w:val="20"/>
          <w:color w:val="auto"/>
        </w:rPr>
      </w:pPr>
      <w:r>
        <w:rPr>
          <w:rFonts w:ascii="Times New Roman" w:cs="Times New Roman" w:eastAsia="Times New Roman" w:hAnsi="Times New Roman"/>
          <w:sz w:val="18"/>
          <w:szCs w:val="18"/>
          <w:color w:val="auto"/>
        </w:rPr>
        <w:t>In January 2022, we announced a design win of our consumer AV solution,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Zeekr, Geely Group’s premium electric vehicle brand.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indication of the interest in consumer-level “eyes-off/hands-free” driving.</w:t>
      </w:r>
    </w:p>
    <w:p>
      <w:pPr>
        <w:spacing w:after="0" w:line="85" w:lineRule="exact"/>
        <w:rPr>
          <w:sz w:val="20"/>
          <w:szCs w:val="20"/>
          <w:color w:val="auto"/>
        </w:rPr>
      </w:pPr>
    </w:p>
    <w:p>
      <w:pPr>
        <w:ind w:left="1260" w:right="639" w:firstLine="360"/>
        <w:spacing w:after="0" w:line="200"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Level 4 solution, will encompass our core autonomous driving technologies found in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(360-degrees of coverage,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RSS) and will</w:t>
      </w:r>
    </w:p>
    <w:p>
      <w:pPr>
        <w:spacing w:after="0" w:line="2" w:lineRule="exact"/>
        <w:rPr>
          <w:sz w:val="20"/>
          <w:szCs w:val="20"/>
          <w:color w:val="auto"/>
        </w:rPr>
      </w:pPr>
    </w:p>
    <w:p>
      <w:pPr>
        <w:ind w:left="1260" w:right="439"/>
        <w:spacing w:after="0" w:line="211" w:lineRule="auto"/>
        <w:rPr>
          <w:sz w:val="20"/>
          <w:szCs w:val="20"/>
          <w:color w:val="auto"/>
        </w:rPr>
      </w:pPr>
      <w:r>
        <w:rPr>
          <w:rFonts w:ascii="Times New Roman" w:cs="Times New Roman" w:eastAsia="Times New Roman" w:hAnsi="Times New Roman"/>
          <w:sz w:val="18"/>
          <w:szCs w:val="18"/>
          <w:color w:val="auto"/>
        </w:rPr>
        <w:t>deliver the driving functions without the need for any in-vehicle human intervention by adding teleoperability and by minimizing cases where human input would be required.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to be powered by eight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(versus six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5High SoCs on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by 2025, it will be powered by an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offering more compute with less power consumption.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83" w:lineRule="exact"/>
        <w:rPr>
          <w:sz w:val="20"/>
          <w:szCs w:val="20"/>
          <w:color w:val="auto"/>
        </w:rPr>
      </w:pPr>
    </w:p>
    <w:p>
      <w:pPr>
        <w:ind w:left="1260" w:right="1019" w:firstLine="360"/>
        <w:spacing w:after="0" w:line="230" w:lineRule="auto"/>
        <w:rPr>
          <w:sz w:val="20"/>
          <w:szCs w:val="20"/>
          <w:color w:val="auto"/>
        </w:rPr>
      </w:pP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be offered across two increasingly vertically integrated product sets each underpinned by our full set of autonomous driving technology solutions:</w:t>
      </w:r>
    </w:p>
    <w:p>
      <w:pPr>
        <w:spacing w:after="0" w:line="55" w:lineRule="exact"/>
        <w:rPr>
          <w:sz w:val="20"/>
          <w:szCs w:val="20"/>
          <w:color w:val="auto"/>
        </w:rPr>
      </w:pPr>
    </w:p>
    <w:p>
      <w:pPr>
        <w:ind w:left="1800" w:right="439" w:hanging="180"/>
        <w:spacing w:after="0" w:line="241"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Self-Driving System &amp; Vehicles. </w:t>
      </w:r>
      <w:r>
        <w:rPr>
          <w:rFonts w:ascii="Times New Roman" w:cs="Times New Roman" w:eastAsia="Times New Roman" w:hAnsi="Times New Roman"/>
          <w:sz w:val="18"/>
          <w:szCs w:val="18"/>
          <w:color w:val="auto"/>
        </w:rPr>
        <w:t>We expect to sell our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4 self-driving system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business-to-business channels into a range of transportation network operators and vehicle OEMs which would operate a variety of services (e.g., consumer-facing AMaaS, transportation on demand, and the delivery of goods). Example partners are Beep, Benteler, Lohr, Marubeni, RATP Group, Schaeffler, Transdev, Udelv, and Willer. We recently announced a strategic collaboration with</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39"/>
        <w:spacing w:after="0" w:line="282" w:lineRule="auto"/>
        <w:rPr>
          <w:sz w:val="20"/>
          <w:szCs w:val="20"/>
          <w:color w:val="auto"/>
        </w:rPr>
      </w:pPr>
      <w:r>
        <w:rPr>
          <w:rFonts w:ascii="Times New Roman" w:cs="Times New Roman" w:eastAsia="Times New Roman" w:hAnsi="Times New Roman"/>
          <w:sz w:val="18"/>
          <w:szCs w:val="18"/>
          <w:color w:val="auto"/>
        </w:rPr>
        <w:t>Benteler and Beep to develop and deploy fully electric, autonomous movers in public and private communities across North America aimed at first- and last-mile use cases in urban areas.</w:t>
      </w:r>
    </w:p>
    <w:p>
      <w:pPr>
        <w:spacing w:after="0" w:line="5" w:lineRule="exact"/>
        <w:rPr>
          <w:sz w:val="20"/>
          <w:szCs w:val="20"/>
          <w:color w:val="auto"/>
        </w:rPr>
      </w:pPr>
    </w:p>
    <w:p>
      <w:pPr>
        <w:ind w:left="1800" w:right="459" w:hanging="180"/>
        <w:spacing w:after="0" w:line="23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AMaaS. </w:t>
      </w:r>
      <w:r>
        <w:rPr>
          <w:rFonts w:ascii="Times New Roman" w:cs="Times New Roman" w:eastAsia="Times New Roman" w:hAnsi="Times New Roman"/>
          <w:sz w:val="18"/>
          <w:szCs w:val="18"/>
          <w:color w:val="auto"/>
        </w:rPr>
        <w:t>Additionally,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designed to interface with Moovit’s MaaS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adds a service layer and a ready-made user base. As of the end of 2021, Moovit had over</w:t>
      </w:r>
    </w:p>
    <w:p>
      <w:pPr>
        <w:spacing w:after="0" w:line="1" w:lineRule="exact"/>
        <w:rPr>
          <w:rFonts w:ascii="Times New Roman" w:cs="Times New Roman" w:eastAsia="Times New Roman" w:hAnsi="Times New Roman"/>
          <w:sz w:val="18"/>
          <w:szCs w:val="18"/>
          <w:color w:val="auto"/>
        </w:rPr>
      </w:pPr>
    </w:p>
    <w:p>
      <w:pPr>
        <w:ind w:left="1800" w:right="5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self-driving vehicles in an AMaaS network in partnership with fleet operators. Initial commercial deployments of this full-stack service are expected to take place in Munich and 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113030</wp:posOffset>
            </wp:positionV>
            <wp:extent cx="4954905" cy="2674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5490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Data Driven Network Effect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assembled a substantial dataset of real-world driving experience, encompassing over 200</w:t>
      </w:r>
    </w:p>
    <w:p>
      <w:pPr>
        <w:spacing w:after="0" w:line="16"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petabytes of data, which includes 18 million clips collected over decades of driving on urban, highway, and arterial roads in over 80 countries that enable us to develop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2.5 billion miles of roads driven as of the end of 2021 from, based on our estimates, approximately 1.5 million REM™-enabled vehicles worldwide. Our dataset creates a powerful network effect as we seek to continually improve our solutions as more vehicles are deployed with our technology.</w:t>
      </w:r>
    </w:p>
    <w:p>
      <w:pPr>
        <w:spacing w:after="0" w:line="89" w:lineRule="exact"/>
        <w:rPr>
          <w:sz w:val="20"/>
          <w:szCs w:val="20"/>
          <w:color w:val="auto"/>
        </w:rPr>
      </w:pPr>
    </w:p>
    <w:p>
      <w:pPr>
        <w:jc w:val="both"/>
        <w:ind w:left="1260" w:right="679" w:firstLine="360"/>
        <w:spacing w:after="0" w:line="231" w:lineRule="auto"/>
        <w:rPr>
          <w:sz w:val="20"/>
          <w:szCs w:val="20"/>
          <w:color w:val="auto"/>
        </w:rPr>
      </w:pP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solutions continuously harvest high-precision data that is analyzed in the cloud, creating a large repository of real-world dataset from 15 million daily mapped miles of roads, varying by types and geography.</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569595</wp:posOffset>
            </wp:positionV>
            <wp:extent cx="4774565" cy="5006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74565" cy="500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As we continue to rapidly scale our offerings, the benefits of greater data and higher intelligence incorporated into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not only accrue to our own platform, but also deliver benefits 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 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connected vehicles that are collecting data and continually enhancing our solutions, we believe we are well positioned to build on our leadership position.</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Large and Growing Market Opportunity</w:t>
      </w:r>
    </w:p>
    <w:p>
      <w:pPr>
        <w:spacing w:after="0" w:line="162"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We define our market opportunity in terms of the TAM , which encompasses all hardware, software, and services required to address the current and future ADAS and AV markets, and our SAM, which is the estimated portion of the TAM that we believe we can address through our technology solutions and services. We define the near-term TAM and SAM in respect of the estimated market size in or about 2026 and the long-term TAM and SAM in respect of the estimated market size in or about 2030.</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TAM combines our market opportunities in ADAS and AV, including AMaaS. We estimate the current TAM to be approximately $16 billion, composed entirely of selected ADAS market opportunities. We expect the near- term TAM to be approximately $40 billion, and the long-term TAM to be approximately $480 billion, as the value of ADAS functionality increases and as AV deployment, both in consumer-owned vehicles and fleet-owned vehicle networks, accelerates. While the AV market is in its infancy today, we expect the deployment of solutions for this market to significantly increase, resulting in a substantial market opportunity for us. We believe we are currently at an inflection point to enable autonomous driving on a global scale. Combining market opportunities in ADAS and AV, including AMaaS, we estimate our current SAM to be approximately $5 billion and our near-term SAM to be approximately $21 billion, in each case, composed entirely of selected ADAS market opportunities, and we estimate our long-term SAM to be approximately $455 billion, which includes AV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102235</wp:posOffset>
            </wp:positionV>
            <wp:extent cx="4954905" cy="22459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5490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ADAS</w:t>
      </w:r>
    </w:p>
    <w:p>
      <w:pPr>
        <w:spacing w:after="0" w:line="162" w:lineRule="exact"/>
        <w:rPr>
          <w:sz w:val="20"/>
          <w:szCs w:val="20"/>
          <w:color w:val="auto"/>
        </w:rPr>
      </w:pPr>
    </w:p>
    <w:p>
      <w:pPr>
        <w:jc w:val="both"/>
        <w:ind w:left="1260" w:right="459" w:firstLine="360"/>
        <w:spacing w:after="0" w:line="222" w:lineRule="auto"/>
        <w:rPr>
          <w:sz w:val="20"/>
          <w:szCs w:val="20"/>
          <w:color w:val="auto"/>
        </w:rPr>
      </w:pPr>
      <w:r>
        <w:rPr>
          <w:rFonts w:ascii="Times New Roman" w:cs="Times New Roman" w:eastAsia="Times New Roman" w:hAnsi="Times New Roman"/>
          <w:sz w:val="18"/>
          <w:szCs w:val="18"/>
          <w:color w:val="auto"/>
        </w:rPr>
        <w:t>We believe that ongoing and major regulatory changes, coupled with increased customer awareness of the benefits of active safety technology, will drive ADAS adoption to the point where the vast majority of new cars produced will be equipped with one or more ADAS features. Additionally, we believe that cloud-based enhancements such as Mobileye’s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will provide additional value and functionality that will be increasingly available and cost-effective. In parallel, we see the emergence of the premium ADAS segment. The prominence of this segment is driven by products such as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relies on the combination of cloud enhancements and cost-effective, high- resolution surround sensing that enables highly automated driving features across a wide range of road types and driving conditions</w:t>
      </w:r>
    </w:p>
    <w:p>
      <w:pPr>
        <w:spacing w:after="0" w:line="119" w:lineRule="exact"/>
        <w:rPr>
          <w:sz w:val="20"/>
          <w:szCs w:val="20"/>
          <w:color w:val="auto"/>
        </w:rPr>
      </w:pPr>
    </w:p>
    <w:p>
      <w:pPr>
        <w:ind w:left="1260" w:right="4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ADAS TAM</w:t>
      </w:r>
      <w:r>
        <w:rPr>
          <w:rFonts w:ascii="Times New Roman" w:cs="Times New Roman" w:eastAsia="Times New Roman" w:hAnsi="Times New Roman"/>
          <w:sz w:val="18"/>
          <w:szCs w:val="18"/>
          <w:color w:val="auto"/>
        </w:rPr>
        <w:t>: We define the ADAS market as that for assisted driving solutions that support the driver,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ADAS TAM as the market for select hardware and software components that enable this technology. We estimate the current ADAS TAM to be approximately $16 billion, near-term TAM to be approximately $31 billion and long-term TAM to be approximately $60 billion.</w:t>
      </w:r>
    </w:p>
    <w:p>
      <w:pPr>
        <w:spacing w:after="0" w:line="106"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i w:val="1"/>
          <w:iCs w:val="1"/>
          <w:color w:val="auto"/>
        </w:rPr>
        <w:t>ADAS SAM</w:t>
      </w:r>
      <w:r>
        <w:rPr>
          <w:rFonts w:ascii="Times New Roman" w:cs="Times New Roman" w:eastAsia="Times New Roman" w:hAnsi="Times New Roman"/>
          <w:sz w:val="18"/>
          <w:szCs w:val="18"/>
          <w:color w:val="auto"/>
        </w:rPr>
        <w:t>: We define our ADAS SAM as the portion of the TAM that we believe can be addressed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solutions in the Driver Assist, Cloud-Enhanced Driver Assist, and Premium Driver Assist categories. We estimate our current ADAS SAM to be $5 billion and our near-term SAM to be approximately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 billion, as consumer adoption of premium ADAS increases in the near-term. We estimate that our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70" w:lineRule="auto"/>
        <w:rPr>
          <w:sz w:val="20"/>
          <w:szCs w:val="20"/>
          <w:color w:val="auto"/>
        </w:rPr>
      </w:pPr>
      <w:r>
        <w:rPr>
          <w:rFonts w:ascii="Times New Roman" w:cs="Times New Roman" w:eastAsia="Times New Roman" w:hAnsi="Times New Roman"/>
          <w:sz w:val="18"/>
          <w:szCs w:val="18"/>
          <w:color w:val="auto"/>
        </w:rPr>
        <w:t>ADAS SAM will continue to grow and estimate our long-term SAM to be approximately $35 billion. We believe our ADAS SAM will represent a larger percentage of the ADAS TAM over time, as we continue to increase our breadth of content in the overall ADAS value chain beyond the historical product set to include additional solutions such as driver monitoring systems, high-definition maps, hands-free point-to-point driving applications, and central compute ECUs.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w:t>
      </w:r>
    </w:p>
    <w:p>
      <w:pPr>
        <w:spacing w:after="0" w:line="14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believe the future of autonomous driving will unfold in two phases: commercial services such as robotaxis and commercial delivery (AMaaS), and passenger car consumer-owned AVs. The main inhibitors of a mass market product offering of consumer AVs include the cost of AV technology, the ability to scale geographically at a low cost, the regulatory framework and public acceptance. We see both the AMaaS vehicles and consumer AV deploying in parallel to unlock the full potential of this market. We divide the AV TAM into an AMaaS TAM and a Consumer AV TAM. We do not make a distinction between TAM and SAM in this market as we believe our technology and business solutions can address this market in an end-to-end manner.</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AMaaS TAM</w:t>
      </w:r>
    </w:p>
    <w:p>
      <w:pPr>
        <w:spacing w:after="0" w:line="146"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We define the AMaaS TAM as that for fleet-owned electric AVs that provide mobility-as-a-service and goods delivery and that will be supported by teleoperation services and will not require a driver. We believe these autonomous fleets will start by servicing limited geofenced areas, increasing over time to broader geographies.</w:t>
      </w:r>
    </w:p>
    <w:p>
      <w:pPr>
        <w:spacing w:after="0" w:line="105" w:lineRule="exact"/>
        <w:rPr>
          <w:sz w:val="20"/>
          <w:szCs w:val="20"/>
          <w:color w:val="auto"/>
        </w:rPr>
      </w:pPr>
    </w:p>
    <w:p>
      <w:pPr>
        <w:ind w:left="1260" w:right="539" w:firstLine="360"/>
        <w:spacing w:after="0" w:line="271" w:lineRule="auto"/>
        <w:rPr>
          <w:sz w:val="20"/>
          <w:szCs w:val="20"/>
          <w:color w:val="auto"/>
        </w:rPr>
      </w:pPr>
      <w:r>
        <w:rPr>
          <w:rFonts w:ascii="Times New Roman" w:cs="Times New Roman" w:eastAsia="Times New Roman" w:hAnsi="Times New Roman"/>
          <w:sz w:val="18"/>
          <w:szCs w:val="18"/>
          <w:color w:val="auto"/>
        </w:rPr>
        <w:t>We estimate the near term AMaaS TAM to be approximately $5 billion, increasing significantly to be approximately $360 billion in the long term. This estimate is based on estimated total miles traveled by the AMaaS fleet and the estimated cost per mile that will be paid by the user. We utilize the cost of consumer automobile ownership to estimate the revenue potential for the AMaaS market.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Consumer AV TAM</w:t>
      </w:r>
    </w:p>
    <w:p>
      <w:pPr>
        <w:spacing w:after="0" w:line="16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define the Consumer AV TAM as that for consumer-owned electric AVs capable of “eyes-off/​hands-free” driving in a gradually expanding operational driving domain. Within this category, we include the set of limited operational design domain systems currently being pursued by us and other market participants (e.g., low-speed, highway-only “traffic jam pilot” systems). We also include the much more expansive operational design domain system that we are pursuing through our Mobileye Chauffeur™ solution.</w:t>
      </w:r>
    </w:p>
    <w:p>
      <w:pPr>
        <w:spacing w:after="0" w:line="12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see Mobileye Chauffeur™ as a solution that will employ an approach that we believe is unique among other market participants. It will be enabled through an end-to-end set of proprietary Mobileye technologies that address the key inhibitors to consumer AV adoption of cost-effectiveness and geographic scalability, as we are targeting a solution that will enable L4 capabilities with an AV content value at under $6,000. We believe this solution will be able to unlock substantial market growth in the Consumer AV category over time, a market category that is not yet understood or forecasted by most third-party research providers.</w:t>
      </w:r>
    </w:p>
    <w:p>
      <w:pPr>
        <w:spacing w:after="0" w:line="33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We estimate the near-term Consumer AV TAM to be approximately $4 billion and the long-term TAM to be approximately $60 billion. This estimate is based on an estimate for the number of Consumer AVs produced in a particular year and an estimate of the average AV content value per vehicle for the technology that enables the AV system.</w:t>
      </w:r>
    </w:p>
    <w:p>
      <w:pPr>
        <w:spacing w:after="0" w:line="105" w:lineRule="exact"/>
        <w:rPr>
          <w:sz w:val="20"/>
          <w:szCs w:val="20"/>
          <w:color w:val="auto"/>
        </w:rPr>
      </w:pPr>
    </w:p>
    <w:p>
      <w:pPr>
        <w:ind w:left="1260" w:right="639" w:firstLine="360"/>
        <w:spacing w:after="0" w:line="297" w:lineRule="auto"/>
        <w:rPr>
          <w:sz w:val="20"/>
          <w:szCs w:val="20"/>
          <w:color w:val="auto"/>
        </w:rPr>
      </w:pPr>
      <w:r>
        <w:rPr>
          <w:rFonts w:ascii="Times New Roman" w:cs="Times New Roman" w:eastAsia="Times New Roman" w:hAnsi="Times New Roman"/>
          <w:sz w:val="18"/>
          <w:szCs w:val="18"/>
          <w:color w:val="auto"/>
        </w:rPr>
        <w:t>We estimate the resulting total AV TAM (including AMaaS and Consumer AV) in the near term to be approximately $9 billion, significantly increasing to approximately $420 billion in the long term.</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569595</wp:posOffset>
            </wp:positionV>
            <wp:extent cx="4954905" cy="17659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5490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estimates of the TAM and SAM are based on our internal estimates and forecasts, which involve a number of assumptions and limitations, including assumptions regarding our expectations of the market acceptance of autonomous driving and ADAS and the manner in which this new and rapidly evolving market will develop. These estimates, forecasts, assumptions, and expectations may differ from information contained in industry publications and reports or other publicly available information. While we believe our assumptions and the data underlying our estimates and forecasts are reasonable, these assumptions, estimates and forecasts may not be correct and may change at any time. As a result, our assumptions, estimates and forecasts may prove to be incorrect, and the TAM and our SAM may be smaller than we have estimated. See “Risk Factors — We operate in an industry that is new and rapidly evolving, and the estimates and forecasts of TAM and SAM included in this prospectus are subject to significant uncertainty” and “Cautionary Note Regarding Forward-Looking Statements.”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62" w:lineRule="exact"/>
        <w:rPr>
          <w:sz w:val="20"/>
          <w:szCs w:val="20"/>
          <w:color w:val="auto"/>
        </w:rPr>
      </w:pPr>
    </w:p>
    <w:p>
      <w:pPr>
        <w:jc w:val="both"/>
        <w:ind w:left="1260" w:right="659" w:firstLine="360"/>
        <w:spacing w:after="0" w:line="246" w:lineRule="auto"/>
        <w:rPr>
          <w:sz w:val="20"/>
          <w:szCs w:val="20"/>
          <w:color w:val="auto"/>
        </w:rPr>
      </w:pPr>
      <w:r>
        <w:rPr>
          <w:rFonts w:ascii="Times New Roman" w:cs="Times New Roman" w:eastAsia="Times New Roman" w:hAnsi="Times New Roman"/>
          <w:sz w:val="18"/>
          <w:szCs w:val="18"/>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260" w:right="459"/>
        <w:spacing w:after="0" w:line="246" w:lineRule="auto"/>
        <w:tabs>
          <w:tab w:leader="none" w:pos="152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portfolio of solutions; (4) delivery, including agility, response times, and time-to-market; and (5) inherent cost-driven advantages. These significant advantages form the basis for our competitive strengths described below:</w:t>
      </w:r>
    </w:p>
    <w:p>
      <w:pPr>
        <w:spacing w:after="0" w:line="68"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Coupling of software and hardware delivers optimized performance and efficiency — </w:t>
      </w:r>
      <w:r>
        <w:rPr>
          <w:rFonts w:ascii="Times New Roman" w:cs="Times New Roman" w:eastAsia="Times New Roman" w:hAnsi="Times New Roman"/>
          <w:sz w:val="18"/>
          <w:szCs w:val="18"/>
          <w:color w:val="auto"/>
        </w:rPr>
        <w:t>We design our 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purpose-built SoCs 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39" w:lineRule="exact"/>
        <w:rPr>
          <w:rFonts w:ascii="Times New Roman" w:cs="Times New Roman" w:eastAsia="Times New Roman" w:hAnsi="Times New Roman"/>
          <w:sz w:val="18"/>
          <w:szCs w:val="18"/>
          <w:color w:val="auto"/>
        </w:rPr>
      </w:pPr>
    </w:p>
    <w:p>
      <w:pPr>
        <w:ind w:left="1800" w:right="439" w:hanging="180"/>
        <w:spacing w:after="0" w:line="226" w:lineRule="auto"/>
        <w:tabs>
          <w:tab w:leader="none" w:pos="18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Scalable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design addresses the entire spectrum of ADAS and autonomous driving —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proprietary accelerator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 We believe that our recently announced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effectively an AV-on-Chip, will enable us to build a self-driving system at affordable consumer cost levels in the future.</w:t>
      </w:r>
    </w:p>
    <w:p>
      <w:pPr>
        <w:spacing w:after="0" w:line="92" w:lineRule="exact"/>
        <w:rPr>
          <w:rFonts w:ascii="Times New Roman" w:cs="Times New Roman" w:eastAsia="Times New Roman" w:hAnsi="Times New Roman"/>
          <w:sz w:val="18"/>
          <w:szCs w:val="18"/>
          <w:color w:val="auto"/>
        </w:rPr>
      </w:pPr>
    </w:p>
    <w:p>
      <w:pPr>
        <w:ind w:left="1800" w:right="599" w:hanging="180"/>
        <w:spacing w:after="0" w:line="256" w:lineRule="auto"/>
        <w:tabs>
          <w:tab w:leader="none" w:pos="18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Industry leading computer vision capabilities — </w:t>
      </w:r>
      <w:r>
        <w:rPr>
          <w:rFonts w:ascii="Times New Roman" w:cs="Times New Roman" w:eastAsia="Times New Roman" w:hAnsi="Times New Roman"/>
          <w:sz w:val="18"/>
          <w:szCs w:val="18"/>
          <w:color w:val="auto"/>
        </w:rPr>
        <w:t>ADAS solutions are responsible for saving lives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since we launched with customers in 2007 through our ability to meet the extreme performance, accuracy, and cost metrics of our OEM customers. Our products primarily use monocular camera processing that works accurately alone, or together with radar and LiDAR for</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rPr>
          <w:sz w:val="20"/>
          <w:szCs w:val="20"/>
          <w:color w:val="auto"/>
        </w:rPr>
      </w:pPr>
      <w:r>
        <w:rPr>
          <w:rFonts w:ascii="Times New Roman" w:cs="Times New Roman" w:eastAsia="Times New Roman" w:hAnsi="Times New Roman"/>
          <w:sz w:val="18"/>
          <w:szCs w:val="18"/>
          <w:color w:val="auto"/>
        </w:rPr>
        <w:t>redundancy. We have been responsible for many “industry first” launches using monocular vision processing. These include forward collision warning, automatic emergency braking, pedestrian detection, hands -free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without having a collision.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was launched in late 2021.</w:t>
      </w:r>
    </w:p>
    <w:p>
      <w:pPr>
        <w:spacing w:after="0" w:line="207" w:lineRule="exact"/>
        <w:rPr>
          <w:sz w:val="20"/>
          <w:szCs w:val="20"/>
          <w:color w:val="auto"/>
        </w:rPr>
      </w:pPr>
    </w:p>
    <w:p>
      <w:pPr>
        <w:ind w:left="1800" w:right="499" w:hanging="180"/>
        <w:spacing w:after="0" w:line="229"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EyeQ Kit</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for developing and deploying differentiated features on top of EyeQ</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SoC </w:t>
      </w:r>
      <w:r>
        <w:rPr>
          <w:rFonts w:ascii="Times New Roman" w:cs="Times New Roman" w:eastAsia="Times New Roman" w:hAnsi="Times New Roman"/>
          <w:sz w:val="18"/>
          <w:szCs w:val="18"/>
          <w:color w:val="auto"/>
        </w:rPr>
        <w:t>— Our platform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modular by design, and it is highly customizable, which allows our customers to benefit from our cutting-edge, verified, and validated core ADAS capabilities while enabling our customers to augment and differentiate their offerings. Our SDK provides access to all EyeQ® accelerators for programming and is enabled by a broad ecosystem of standard and proprietary software.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brings together a team of compilers, simulators, profilers, and debuggers who have been working together for many years to develop a single software platform optimized for common workloads and industry standards. We believe EyeQ Kit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91" w:lineRule="exact"/>
        <w:rPr>
          <w:rFonts w:ascii="Times New Roman" w:cs="Times New Roman" w:eastAsia="Times New Roman" w:hAnsi="Times New Roman"/>
          <w:sz w:val="18"/>
          <w:szCs w:val="18"/>
          <w:color w:val="auto"/>
        </w:rPr>
      </w:pPr>
    </w:p>
    <w:p>
      <w:pPr>
        <w:ind w:left="1800" w:right="519"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“Scale by design” approach — </w:t>
      </w:r>
      <w:r>
        <w:rPr>
          <w:rFonts w:ascii="Times New Roman" w:cs="Times New Roman" w:eastAsia="Times New Roman" w:hAnsi="Times New Roman"/>
          <w:sz w:val="18"/>
          <w:szCs w:val="18"/>
          <w:color w:val="auto"/>
        </w:rPr>
        <w:t>Our technology platform is built to deliver autonomous driving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at scale by leveraging our REM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mapping technology, which will allow our solutions to be driven without the limitations of geofencing;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consumer AV production at scale in the future.</w:t>
      </w:r>
    </w:p>
    <w:p>
      <w:pPr>
        <w:spacing w:after="0" w:line="221" w:lineRule="exact"/>
        <w:rPr>
          <w:rFonts w:ascii="Times New Roman" w:cs="Times New Roman" w:eastAsia="Times New Roman" w:hAnsi="Times New Roman"/>
          <w:sz w:val="18"/>
          <w:szCs w:val="18"/>
          <w:color w:val="auto"/>
        </w:rPr>
      </w:pPr>
    </w:p>
    <w:p>
      <w:pPr>
        <w:ind w:left="1800" w:right="559" w:hanging="180"/>
        <w:spacing w:after="0" w:line="241"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Autonomous driving-ADAS synergies — </w:t>
      </w:r>
      <w:r>
        <w:rPr>
          <w:rFonts w:ascii="Times New Roman" w:cs="Times New Roman" w:eastAsia="Times New Roman" w:hAnsi="Times New Roman"/>
          <w:sz w:val="18"/>
          <w:szCs w:val="18"/>
          <w:color w:val="auto"/>
        </w:rPr>
        <w:t>The autonomous driving-ADAS interplay, which is borne 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279" w:lineRule="exact"/>
        <w:rPr>
          <w:rFonts w:ascii="Times New Roman" w:cs="Times New Roman" w:eastAsia="Times New Roman" w:hAnsi="Times New Roman"/>
          <w:sz w:val="18"/>
          <w:szCs w:val="18"/>
          <w:color w:val="auto"/>
        </w:rPr>
      </w:pPr>
    </w:p>
    <w:p>
      <w:pPr>
        <w:ind w:left="1800" w:right="439" w:hanging="180"/>
        <w:spacing w:after="0" w:line="221"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Road Experience Management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creates a powerful network effect and long-term competitive advantage — </w:t>
      </w:r>
      <w:r>
        <w:rPr>
          <w:rFonts w:ascii="Times New Roman" w:cs="Times New Roman" w:eastAsia="Times New Roman" w:hAnsi="Times New Roman"/>
          <w:sz w:val="18"/>
          <w:szCs w:val="18"/>
          <w:color w:val="auto"/>
        </w:rPr>
        <w:t>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is a crucial ingredient that we believe allows for: (1) defining a new category of cloud-enhanced ADAS that we call Cloud-Enhanced Driver Assist, where information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enhances existing ADAS functions such as lane keeping assist and lane-centering and allows for new functions such as the analysis of behavior patterns in intersections and near traffic signs and lights; (2) evolving ADAS to an “eyes-on/hands-free” point-to-point assisted driving navigation; and (3) the scale deployment of AV.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complex, requiring advanced processing at the edge (for creating processed data to be sent to the cloud and for localizing the vehicle at centimeter-level accuracy in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computationally intensive processing in the cloud to build Mobileye Roadbook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from billions of data packets sent from millions of vehicles —  all automatically.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benefits from a powerful network effect, where more vehicles with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also support our efforts to deploy in new cities and geographies quickly, and in 2021, we announced the expected initial commercial deployment of our AMaaS offering in</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99"/>
        <w:spacing w:after="0" w:line="282" w:lineRule="auto"/>
        <w:rPr>
          <w:sz w:val="20"/>
          <w:szCs w:val="20"/>
          <w:color w:val="auto"/>
        </w:rPr>
      </w:pPr>
      <w:r>
        <w:rPr>
          <w:rFonts w:ascii="Times New Roman" w:cs="Times New Roman" w:eastAsia="Times New Roman" w:hAnsi="Times New Roman"/>
          <w:sz w:val="18"/>
          <w:szCs w:val="18"/>
          <w:color w:val="auto"/>
        </w:rPr>
        <w:t>Munich and Tel Aviv together with Moovit in addition to our current testing sites in China, Israel, Detroit, Miami, Munich, Paris, Stuttgart and Tokyo.</w:t>
      </w:r>
    </w:p>
    <w:p>
      <w:pPr>
        <w:spacing w:after="0" w:line="50" w:lineRule="exact"/>
        <w:rPr>
          <w:sz w:val="20"/>
          <w:szCs w:val="20"/>
          <w:color w:val="auto"/>
        </w:rPr>
      </w:pPr>
    </w:p>
    <w:p>
      <w:pPr>
        <w:ind w:left="1800" w:right="419" w:hanging="180"/>
        <w:spacing w:after="0" w:line="25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and technology advantage — </w:t>
      </w:r>
      <w:r>
        <w:rPr>
          <w:rFonts w:ascii="Times New Roman" w:cs="Times New Roman" w:eastAsia="Times New Roman" w:hAnsi="Times New Roman"/>
          <w:sz w:val="18"/>
          <w:szCs w:val="18"/>
          <w:color w:val="auto"/>
        </w:rPr>
        <w:t>Developing effective ADAS technology is technologically complex,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requires the 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over 200 petabytes of data, which includes 18 million clips collected over decades of driving on urban, highway, and arterial roads in over 80 countries that enable us to develop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2.5 billion miles of roads driven as of the end of 2021 from, based on our estimates, approximately 1.5 million REM™-enabled vehicles worldwide. Our dataset creates a powerful network effect as we seek to continually improve our solutions as more vehicles are deployed with our technology.</w:t>
      </w:r>
    </w:p>
    <w:p>
      <w:pPr>
        <w:spacing w:after="0" w:line="86"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RSS and driving policy are designed for global deployment — </w:t>
      </w:r>
      <w:r>
        <w:rPr>
          <w:rFonts w:ascii="Times New Roman" w:cs="Times New Roman" w:eastAsia="Times New Roman" w:hAnsi="Times New Roman"/>
          <w:sz w:val="18"/>
          <w:szCs w:val="18"/>
          <w:color w:val="auto"/>
        </w:rPr>
        <w:t>We published our RSS model in 2017,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 the regulatory and public debate regarding, and enable the acceptance of, “eyes-off/hands-free”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In 2021, we announced the expected initial commercial deployment of our AMaaS offering in Munich and Tel Aviv together with Moovit in addition to our current testing sites in China, Israel, Detroit, Miami, Munich, Paris, Stuttgart and Tokyo.</w:t>
      </w:r>
    </w:p>
    <w:p>
      <w:pPr>
        <w:spacing w:after="0" w:line="77" w:lineRule="exact"/>
        <w:rPr>
          <w:rFonts w:ascii="Times New Roman" w:cs="Times New Roman" w:eastAsia="Times New Roman" w:hAnsi="Times New Roman"/>
          <w:sz w:val="18"/>
          <w:szCs w:val="18"/>
          <w:color w:val="auto"/>
        </w:rPr>
      </w:pPr>
    </w:p>
    <w:p>
      <w:pPr>
        <w:ind w:left="1800" w:right="439" w:hanging="180"/>
        <w:spacing w:after="0" w:line="239"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Purpose-built imaging-radar unlocks consumer AV at scale — </w:t>
      </w:r>
      <w:r>
        <w:rPr>
          <w:rFonts w:ascii="Times New Roman" w:cs="Times New Roman" w:eastAsia="Times New Roman" w:hAnsi="Times New Roman"/>
          <w:sz w:val="18"/>
          <w:szCs w:val="18"/>
          <w:color w:val="auto"/>
        </w:rPr>
        <w:t>We are developing software-defined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imaging-radar with cutting-edge dynamic range and resolution. Our differentiated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89"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Moovit provides a stand-ready user base for our AMaaS solutions — </w:t>
      </w:r>
      <w:r>
        <w:rPr>
          <w:rFonts w:ascii="Times New Roman" w:cs="Times New Roman" w:eastAsia="Times New Roman" w:hAnsi="Times New Roman"/>
          <w:sz w:val="18"/>
          <w:szCs w:val="18"/>
          <w:color w:val="auto"/>
        </w:rPr>
        <w:t>Moovit is our urban mobility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transit application. As of the end of 2021, Moovit had over 1.3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 planning, operations, and optimization of their mobility systems. Moovit’s applications provide powerful AI-powered urban mobility services covering planning, operations, and analytics for multimodal trips.</w:t>
      </w:r>
    </w:p>
    <w:p>
      <w:pPr>
        <w:spacing w:after="0" w:line="80"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collaborative ecosystem relationships</w:t>
      </w:r>
      <w:r>
        <w:rPr>
          <w:rFonts w:ascii="Times New Roman" w:cs="Times New Roman" w:eastAsia="Times New Roman" w:hAnsi="Times New Roman"/>
          <w:sz w:val="18"/>
          <w:szCs w:val="18"/>
          <w:color w:val="auto"/>
        </w:rPr>
        <w:t> — Our deep global relationships with key partners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Key levers of our growth strategy are:</w:t>
      </w:r>
    </w:p>
    <w:p>
      <w:pPr>
        <w:spacing w:after="0" w:line="113" w:lineRule="exact"/>
        <w:rPr>
          <w:sz w:val="20"/>
          <w:szCs w:val="20"/>
          <w:color w:val="auto"/>
        </w:rPr>
      </w:pPr>
    </w:p>
    <w:p>
      <w:pPr>
        <w:ind w:left="1800" w:right="439" w:hanging="180"/>
        <w:spacing w:after="0" w:line="25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regulatory and safety rating changes promoting base ADAS — </w:t>
      </w:r>
      <w:r>
        <w:rPr>
          <w:rFonts w:ascii="Times New Roman" w:cs="Times New Roman" w:eastAsia="Times New Roman" w:hAnsi="Times New Roman"/>
          <w:sz w:val="18"/>
          <w:szCs w:val="18"/>
          <w:color w:val="auto"/>
        </w:rPr>
        <w:t>We intend to continue to lead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deliver upon 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As of the end of 2021, our solutions had been installed in more than 700 vehicle models (including local country variations), and our SoCs had been deployed in over 100 million vehicles. We are actively working with more than 50 OEMs worldwide on the implementation of our ADAS solutions and we announced over 40 new design wins in 2021 alone. We estimate, based on our existing design wins through March 31, 2022, that our ADAS solutions will be deployed in more than an additional 250 million vehicles by 2030, including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2021. We believe that our comprehensive stack of solutions and proven success at scale will enable us to further solidify our industry leadership.</w:t>
      </w:r>
    </w:p>
    <w:p>
      <w:pPr>
        <w:spacing w:after="0" w:line="301" w:lineRule="exact"/>
        <w:rPr>
          <w:rFonts w:ascii="Times New Roman" w:cs="Times New Roman" w:eastAsia="Times New Roman" w:hAnsi="Times New Roman"/>
          <w:sz w:val="18"/>
          <w:szCs w:val="18"/>
          <w:color w:val="auto"/>
        </w:rPr>
      </w:pPr>
    </w:p>
    <w:p>
      <w:pPr>
        <w:ind w:left="1800" w:right="419" w:hanging="180"/>
        <w:spacing w:after="0" w:line="227"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Cloud-Enhanced Driver Assist features — </w:t>
      </w:r>
      <w:r>
        <w:rPr>
          <w:rFonts w:ascii="Times New Roman" w:cs="Times New Roman" w:eastAsia="Times New Roman" w:hAnsi="Times New Roman"/>
          <w:sz w:val="18"/>
          <w:szCs w:val="18"/>
          <w:color w:val="auto"/>
        </w:rPr>
        <w:t>We have pioneered a cloud-enhanced ADAS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which offers customers using advanced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versions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4 and above) a significant value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Our Cloud-Enhanced Driver Assist solution is capable of utilizing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which currently include 2.5 billion miles of mapped roads as of the end of 2021 from, based on our estimates, approximately 1.5 million REM™-enabled vehicles worldwide in order to deliver leading ADAS capabilities. In the future, we plan to create revenue streams from our OTA capabilities and AV maps through solution upgrades.</w:t>
      </w:r>
    </w:p>
    <w:p>
      <w:pPr>
        <w:spacing w:after="0" w:line="89" w:lineRule="exact"/>
        <w:rPr>
          <w:rFonts w:ascii="Times New Roman" w:cs="Times New Roman" w:eastAsia="Times New Roman" w:hAnsi="Times New Roman"/>
          <w:sz w:val="18"/>
          <w:szCs w:val="18"/>
          <w:color w:val="auto"/>
        </w:rPr>
      </w:pPr>
    </w:p>
    <w:p>
      <w:pPr>
        <w:ind w:left="1800" w:right="499" w:hanging="180"/>
        <w:spacing w:after="0" w:line="213"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Further enhance and drive adoption of our Premium Driver Assist solution — </w:t>
      </w:r>
      <w:r>
        <w:rPr>
          <w:rFonts w:ascii="Times New Roman" w:cs="Times New Roman" w:eastAsia="Times New Roman" w:hAnsi="Times New Roman"/>
          <w:sz w:val="18"/>
          <w:szCs w:val="18"/>
          <w:color w:val="auto"/>
        </w:rPr>
        <w:t>Our Mobileye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represents a comprehensive “eyes-on/hands-free” ADAS solution. It was recently launched by Geely Group for its Zeekr premium electric vehicle brand, and has secured additional design wins with the Geely Group for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believe that the high value-add, our continuous efforts to add capabilities, as well as the competitive price point of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allow it to gain strong market traction in the coming years. In addition,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configuration of sensors and compute can also be transformed into an effective “360 guardian,” helping the driver avoid accidents, as referenced in our Vision Zero publications. We believe that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the potential to transform ADAS at its core, potentially leading to adoption driven by regulatory requirements and safety ratings of a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-like solution in its own category, similar to how safety-ratings and regulation have driven the adoption of base ADAS beginning in 2014.</w:t>
      </w:r>
    </w:p>
    <w:p>
      <w:pPr>
        <w:spacing w:after="0" w:line="86" w:lineRule="exact"/>
        <w:rPr>
          <w:rFonts w:ascii="Times New Roman" w:cs="Times New Roman" w:eastAsia="Times New Roman" w:hAnsi="Times New Roman"/>
          <w:sz w:val="18"/>
          <w:szCs w:val="18"/>
          <w:color w:val="auto"/>
        </w:rPr>
      </w:pPr>
    </w:p>
    <w:p>
      <w:pPr>
        <w:ind w:left="1800" w:right="419" w:hanging="180"/>
        <w:spacing w:after="0" w:line="23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Innovate and commercialize our next-generation autonomous driving solutions — </w:t>
      </w:r>
      <w:r>
        <w:rPr>
          <w:rFonts w:ascii="Times New Roman" w:cs="Times New Roman" w:eastAsia="Times New Roman" w:hAnsi="Times New Roman"/>
          <w:sz w:val="18"/>
          <w:szCs w:val="18"/>
          <w:color w:val="auto"/>
        </w:rPr>
        <w:t>Propelled by our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AV-on-Chip SoC, which we call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based on key technology breakthroughs such as our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design, surround computer vision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True Redundancy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architecture. We believe the introduction of our premium ADAS capabilities with our recently launched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and our Level 4 capabilities with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help us continue to provide our customers with innovative solutions and enable further growth for us. We plan to continue to build and enhance our full-stack technology platform in order to</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82" w:lineRule="auto"/>
        <w:rPr>
          <w:sz w:val="20"/>
          <w:szCs w:val="20"/>
          <w:color w:val="auto"/>
        </w:rPr>
      </w:pPr>
      <w:r>
        <w:rPr>
          <w:rFonts w:ascii="Times New Roman" w:cs="Times New Roman" w:eastAsia="Times New Roman" w:hAnsi="Times New Roman"/>
          <w:sz w:val="18"/>
          <w:szCs w:val="18"/>
          <w:color w:val="auto"/>
        </w:rPr>
        <w:t>offer an affordable, time-saving and much safer driving experience, which we believe will propel the mass-market adoption of autonomous driving solutions.</w:t>
      </w:r>
    </w:p>
    <w:p>
      <w:pPr>
        <w:spacing w:after="0" w:line="50" w:lineRule="exact"/>
        <w:rPr>
          <w:sz w:val="20"/>
          <w:szCs w:val="20"/>
          <w:color w:val="auto"/>
        </w:rPr>
      </w:pPr>
    </w:p>
    <w:p>
      <w:pPr>
        <w:ind w:left="1800" w:right="439" w:hanging="180"/>
        <w:spacing w:after="0" w:line="24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flexible platform to expand our collaboration with our OEM customers — </w:t>
      </w:r>
      <w:r>
        <w:rPr>
          <w:rFonts w:ascii="Times New Roman" w:cs="Times New Roman" w:eastAsia="Times New Roman" w:hAnsi="Times New Roman"/>
          <w:sz w:val="18"/>
          <w:szCs w:val="18"/>
          <w:color w:val="auto"/>
        </w:rPr>
        <w:t>We have designed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additional capabilities and features that they demand by customizing their offerings on top of our platform. We are partnering with leading technology suppliers to expand our products by offering features and services alongside our core technology platform such as driver monitoring systems, parking functions, and visualization features. In addition, our SDKs enable OEMs to innovate on top of our platform, augmenting and differentiating their offerings, while benefiting from our cutting-edge, verified and validated core ADAS capabilities.</w:t>
      </w:r>
    </w:p>
    <w:p>
      <w:pPr>
        <w:spacing w:after="0" w:line="323" w:lineRule="exact"/>
        <w:rPr>
          <w:rFonts w:ascii="Times New Roman" w:cs="Times New Roman" w:eastAsia="Times New Roman" w:hAnsi="Times New Roman"/>
          <w:sz w:val="18"/>
          <w:szCs w:val="18"/>
          <w:color w:val="auto"/>
        </w:rPr>
      </w:pPr>
    </w:p>
    <w:p>
      <w:pPr>
        <w:ind w:left="1800" w:right="459" w:hanging="180"/>
        <w:spacing w:after="0" w:line="263"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Capitalize on our active sensor technology — </w:t>
      </w:r>
      <w:r>
        <w:rPr>
          <w:rFonts w:ascii="Times New Roman" w:cs="Times New Roman" w:eastAsia="Times New Roman" w:hAnsi="Times New Roman"/>
          <w:sz w:val="18"/>
          <w:szCs w:val="18"/>
          <w:color w:val="auto"/>
        </w:rPr>
        <w:t>We intend to continue to develop and commercialize next-generation active sensors such as software-defined imaging radars, which leverage our</w:t>
      </w:r>
    </w:p>
    <w:p>
      <w:pPr>
        <w:ind w:left="1800" w:right="4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capabilities. Our software-defined imaging radars are designed to form a standalone “sensing state” layer which can be utilized as a sensing layer on its own, enabling 360-degree coverage, replacing multiple LiDAR sensors and requiring only a single front-facing LiDAR. Together with Intel, we also are currently in the early stages of development of FMCW LiDAR, which has the potential to replace alternative third-party LiDAR to further enhance the performance of our sensor suite. We believe enhancing our sensing and perception technology leadership will further strengthen our competitive position and allow us to offer additional differentiated and cost-effective solutions to our customers.</w:t>
      </w:r>
    </w:p>
    <w:p>
      <w:pPr>
        <w:spacing w:after="0" w:line="261" w:lineRule="exact"/>
        <w:rPr>
          <w:rFonts w:ascii="Times New Roman" w:cs="Times New Roman" w:eastAsia="Times New Roman" w:hAnsi="Times New Roman"/>
          <w:sz w:val="18"/>
          <w:szCs w:val="18"/>
          <w:color w:val="auto"/>
        </w:rPr>
      </w:pPr>
    </w:p>
    <w:p>
      <w:pPr>
        <w:ind w:left="1800" w:right="539" w:hanging="180"/>
        <w:spacing w:after="0" w:line="22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Accelerate our roadmap of next generation proprietary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SoCs — </w:t>
      </w:r>
      <w:r>
        <w:rPr>
          <w:rFonts w:ascii="Times New Roman" w:cs="Times New Roman" w:eastAsia="Times New Roman" w:hAnsi="Times New Roman"/>
          <w:sz w:val="18"/>
          <w:szCs w:val="18"/>
          <w:color w:val="auto"/>
        </w:rPr>
        <w:t>We believe that we have created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standard for processors focused on computer vision.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which we announced in January 2022, will leverage 5nm process technology and be built to address the needs of Level 4 AV without requiring the additional power and cost that comes with multiple SoCs integrated together. Our architecture is highly scalable and is designed to support the increasing and computationally intensive demands of future autonomous driving applications.</w:t>
      </w:r>
    </w:p>
    <w:p>
      <w:pPr>
        <w:spacing w:after="0" w:line="91" w:lineRule="exact"/>
        <w:rPr>
          <w:rFonts w:ascii="Times New Roman" w:cs="Times New Roman" w:eastAsia="Times New Roman" w:hAnsi="Times New Roman"/>
          <w:sz w:val="18"/>
          <w:szCs w:val="18"/>
          <w:color w:val="auto"/>
        </w:rPr>
      </w:pPr>
    </w:p>
    <w:p>
      <w:pPr>
        <w:ind w:left="1800" w:right="519" w:hanging="180"/>
        <w:spacing w:after="0" w:line="229"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 our substantial and growing dataset to continuously improve the intelligence and robustness of our solutions — </w:t>
      </w:r>
      <w:r>
        <w:rPr>
          <w:rFonts w:ascii="Times New Roman" w:cs="Times New Roman" w:eastAsia="Times New Roman" w:hAnsi="Times New Roman"/>
          <w:sz w:val="18"/>
          <w:szCs w:val="18"/>
          <w:color w:val="auto"/>
        </w:rPr>
        <w:t>We will continue to grow the depth and breadth of our substantial dataset, which,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end of 2021, encompasses over 200 petabytes of data and 2.5 billion miles of AV mapped roads from, based on our estimates, approximately 1.5 million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-enabled vehicles worldwide. We believe that our ability to use this data to create, maintain, and improve our high-precision AV maps through our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system will enable us to further improve our ADAS offerings and position us well for autonomous driving.</w:t>
      </w:r>
    </w:p>
    <w:p>
      <w:pPr>
        <w:spacing w:after="0" w:line="58" w:lineRule="exact"/>
        <w:rPr>
          <w:rFonts w:ascii="Times New Roman" w:cs="Times New Roman" w:eastAsia="Times New Roman" w:hAnsi="Times New Roman"/>
          <w:sz w:val="18"/>
          <w:szCs w:val="18"/>
          <w:color w:val="auto"/>
        </w:rPr>
      </w:pPr>
    </w:p>
    <w:p>
      <w:pPr>
        <w:ind w:left="1800" w:right="639" w:hanging="180"/>
        <w:spacing w:after="0" w:line="234"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 our Level 4 autonomous and AMaaS solutions — </w:t>
      </w:r>
      <w:r>
        <w:rPr>
          <w:rFonts w:ascii="Times New Roman" w:cs="Times New Roman" w:eastAsia="Times New Roman" w:hAnsi="Times New Roman"/>
          <w:sz w:val="18"/>
          <w:szCs w:val="18"/>
          <w:color w:val="auto"/>
        </w:rPr>
        <w:t>We believe that Mobileye Chauffeur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fleet operators in order to foster close collaboration and further commercialize our autonomous technologies.</w:t>
      </w:r>
    </w:p>
    <w:p>
      <w:pPr>
        <w:spacing w:after="0" w:line="85" w:lineRule="exact"/>
        <w:rPr>
          <w:rFonts w:ascii="Times New Roman" w:cs="Times New Roman" w:eastAsia="Times New Roman" w:hAnsi="Times New Roman"/>
          <w:sz w:val="18"/>
          <w:szCs w:val="18"/>
          <w:color w:val="auto"/>
        </w:rPr>
      </w:pPr>
    </w:p>
    <w:p>
      <w:pPr>
        <w:ind w:left="1800" w:right="439" w:hanging="180"/>
        <w:spacing w:after="0" w:line="241"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Benefit from opportunities in large emerging markets — </w:t>
      </w:r>
      <w:r>
        <w:rPr>
          <w:rFonts w:ascii="Times New Roman" w:cs="Times New Roman" w:eastAsia="Times New Roman" w:hAnsi="Times New Roman"/>
          <w:sz w:val="18"/>
          <w:szCs w:val="18"/>
          <w:color w:val="auto"/>
        </w:rPr>
        <w:t>We intend to continue to invest in partnerships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China and India, among other emerging markets, to accelerate ADAS and autonomous driving adoption. In India, Mahindra &amp; Mahindra, one of the country’s largest automakers, has recently launched the first vehicle made locally to offer ADAS capabilities — the XUV700 powered by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Its accessible price point compared to imported alternatives expands the ADAS reach to a broader range of consumers in one of the most populous countries in the world. We believe our long-term partnerships with large Chinese OEMs such as Geely, Great Wall Motors, and SAIC,</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39"/>
        <w:spacing w:after="0" w:line="297" w:lineRule="auto"/>
        <w:rPr>
          <w:sz w:val="20"/>
          <w:szCs w:val="20"/>
          <w:color w:val="auto"/>
        </w:rPr>
      </w:pPr>
      <w:r>
        <w:rPr>
          <w:rFonts w:ascii="Times New Roman" w:cs="Times New Roman" w:eastAsia="Times New Roman" w:hAnsi="Times New Roman"/>
          <w:sz w:val="18"/>
          <w:szCs w:val="18"/>
          <w:color w:val="auto"/>
        </w:rPr>
        <w:t>and Indian OEMs such as Mahindra &amp; Mahindra position our solutions at the forefront of continued innovation and market growth.</w:t>
      </w:r>
    </w:p>
    <w:p>
      <w:pPr>
        <w:spacing w:after="0" w:line="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Our customers include leading OEMs, which we sell to through Tier 1 automotive suppliers that implement our product into automotive vehicles, as well as fleet owners and operators.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OEMs</w:t>
      </w:r>
    </w:p>
    <w:p>
      <w:pPr>
        <w:spacing w:after="0" w:line="12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of the end of 2021, our solutions had been installed in more than 700 vehicle models (including local country variations), and our SoCs had been deployed in over 100 million vehicles. We are actively working with more than 50 OEMs worldwide on the implementation of our ADAS solutions, and we announced over 40 new design wins in 2021 alone. We estimate, based on our existing design wins through March 31, 2022, that our ADAS solutions will be deployed in more than an additional 250 million vehicles by 2030, including approximately 50 million vehicles based on our 2021 design wins.</w:t>
      </w:r>
    </w:p>
    <w:p>
      <w:pPr>
        <w:spacing w:after="0" w:line="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120015</wp:posOffset>
            </wp:positionV>
            <wp:extent cx="4954905" cy="21088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5490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Tier 1 Automotive Suppliers</w:t>
      </w:r>
    </w:p>
    <w:p>
      <w:pPr>
        <w:spacing w:after="0" w:line="127"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We supply certain OEMs with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through our arrangements with automotive system integrators, known as Tier 1 automotive suppliers, which are direct suppliers to OEMs. Our Tier 1 customers include: Aptiv, Magna, Valeo, Wabco, ZF and others.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Mobility-as-a-Service</w:t>
      </w:r>
    </w:p>
    <w:p>
      <w:pPr>
        <w:spacing w:after="0" w:line="127"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expect to sell the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self-driving vehicles to a range of shuttle network operators and vehicle OEMs which intend to operate a variety of services (e.g., consumer-facing AMaaS, transportation on demand, delivery). These partners could produce vehicles themselves and integrate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our assistance and include Benteler, Lohr, Marubeni, RATP Group, Schaeffler, Transdev, Udelv, and Willer.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569595</wp:posOffset>
            </wp:positionV>
            <wp:extent cx="5109210" cy="25971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0921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System-on-Chip Architecture</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EyeQ</w:t>
      </w:r>
      <w:r>
        <w:rPr>
          <w:rFonts w:ascii="Times New Roman" w:cs="Times New Roman" w:eastAsia="Times New Roman" w:hAnsi="Times New Roman"/>
          <w:sz w:val="26"/>
          <w:szCs w:val="26"/>
          <w:b w:val="1"/>
          <w:bCs w:val="1"/>
          <w:i w:val="1"/>
          <w:iCs w:val="1"/>
          <w:color w:val="auto"/>
          <w:vertAlign w:val="superscript"/>
        </w:rPr>
        <w:t>®</w:t>
      </w:r>
    </w:p>
    <w:p>
      <w:pPr>
        <w:spacing w:after="0" w:line="79" w:lineRule="exact"/>
        <w:rPr>
          <w:sz w:val="20"/>
          <w:szCs w:val="20"/>
          <w:color w:val="auto"/>
        </w:rPr>
      </w:pPr>
    </w:p>
    <w:p>
      <w:pPr>
        <w:ind w:left="1260" w:right="499" w:firstLine="360"/>
        <w:spacing w:after="0" w:line="232" w:lineRule="auto"/>
        <w:rPr>
          <w:sz w:val="20"/>
          <w:szCs w:val="20"/>
          <w:color w:val="auto"/>
        </w:rPr>
      </w:pPr>
      <w:r>
        <w:rPr>
          <w:rFonts w:ascii="Times New Roman" w:cs="Times New Roman" w:eastAsia="Times New Roman" w:hAnsi="Times New Roman"/>
          <w:sz w:val="18"/>
          <w:szCs w:val="18"/>
          <w:color w:val="auto"/>
        </w:rPr>
        <w:t>Each new generation of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is many times faster than its predecessor and tightly integrated 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96" w:lineRule="exact"/>
        <w:rPr>
          <w:sz w:val="20"/>
          <w:szCs w:val="20"/>
          <w:color w:val="auto"/>
        </w:rPr>
      </w:pPr>
    </w:p>
    <w:p>
      <w:pPr>
        <w:ind w:left="1260" w:right="599" w:firstLine="360"/>
        <w:spacing w:after="0" w:line="238" w:lineRule="auto"/>
        <w:rPr>
          <w:sz w:val="20"/>
          <w:szCs w:val="20"/>
          <w:color w:val="auto"/>
        </w:rPr>
      </w:pPr>
      <w:r>
        <w:rPr>
          <w:rFonts w:ascii="Times New Roman" w:cs="Times New Roman" w:eastAsia="Times New Roman" w:hAnsi="Times New Roman"/>
          <w:sz w:val="18"/>
          <w:szCs w:val="18"/>
          <w:color w:val="auto"/>
        </w:rPr>
        <w:t>For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we have developed four heterogeneous accelerator families for different types of workloads allowing us to optimize performance for each workload by using the most suitable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112395</wp:posOffset>
            </wp:positionV>
            <wp:extent cx="5109210" cy="22028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0921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699" w:firstLine="360"/>
        <w:spacing w:after="0" w:line="242" w:lineRule="auto"/>
        <w:rPr>
          <w:sz w:val="20"/>
          <w:szCs w:val="20"/>
          <w:color w:val="auto"/>
        </w:rPr>
      </w:pPr>
      <w:r>
        <w:rPr>
          <w:rFonts w:ascii="Times New Roman" w:cs="Times New Roman" w:eastAsia="Times New Roman" w:hAnsi="Times New Roman"/>
          <w:sz w:val="18"/>
          <w:szCs w:val="18"/>
          <w:color w:val="auto"/>
        </w:rPr>
        <w:t>The deployment mix of these accelerators varies by product line based on the functions each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SoC supports. Our accelerator architecture allows us to achieve high compute performance with power efficiency.</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products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95250</wp:posOffset>
            </wp:positionV>
            <wp:extent cx="4688840" cy="17913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888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800" w:right="699" w:hanging="180"/>
        <w:spacing w:after="0" w:line="224"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 launched in 2007, supported two bundle types: (1) Lane Departure Warning (“LDW”),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Traffic Sign Recognition (“TSR”) and Intelligent High-beam Control (“IHC”); and (2) LDW and Vehicle Automatic Emergency Braking (“AEB”) fusion with radar.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1 was an industry first supporting camera/radar ACC.</w:t>
      </w:r>
    </w:p>
    <w:p>
      <w:pPr>
        <w:spacing w:after="0" w:line="54" w:lineRule="exact"/>
        <w:rPr>
          <w:rFonts w:ascii="Times New Roman" w:cs="Times New Roman" w:eastAsia="Times New Roman" w:hAnsi="Times New Roman"/>
          <w:sz w:val="18"/>
          <w:szCs w:val="18"/>
          <w:color w:val="auto"/>
        </w:rPr>
      </w:pPr>
    </w:p>
    <w:p>
      <w:pPr>
        <w:ind w:left="1800" w:right="559" w:hanging="180"/>
        <w:spacing w:after="0" w:line="239"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 launched in 2010, supported a variety of functional bundles, including LDW, TSR, IHC,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Forward Collision Warning (“FCW”) and AEB for vehicles and pedestrians (partial braking).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2 was an industry first with Pedestrian AEB, and Adaptive Cruise Control (“ACC”).</w:t>
      </w:r>
    </w:p>
    <w:p>
      <w:pPr>
        <w:spacing w:after="0" w:line="2" w:lineRule="exact"/>
        <w:rPr>
          <w:rFonts w:ascii="Times New Roman" w:cs="Times New Roman" w:eastAsia="Times New Roman" w:hAnsi="Times New Roman"/>
          <w:sz w:val="18"/>
          <w:szCs w:val="18"/>
          <w:color w:val="auto"/>
        </w:rPr>
      </w:pPr>
    </w:p>
    <w:p>
      <w:pPr>
        <w:ind w:left="1800" w:right="599" w:hanging="180"/>
        <w:spacing w:after="0" w:line="197"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 launched in the fourth quarter of 2014. In addition to significant upgrades of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functions,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supports full braking AEB, structure from motion functionalities, road profile reconstruction, debris detection, general object detection, traffic light detection and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3 was an industry first with Highway Autopilot, Camera-only AEB and full in path assisted driving.</w:t>
      </w:r>
    </w:p>
    <w:p>
      <w:pPr>
        <w:spacing w:after="0" w:line="55" w:lineRule="exact"/>
        <w:rPr>
          <w:rFonts w:ascii="Times New Roman" w:cs="Times New Roman" w:eastAsia="Times New Roman" w:hAnsi="Times New Roman"/>
          <w:sz w:val="18"/>
          <w:szCs w:val="18"/>
          <w:color w:val="auto"/>
        </w:rPr>
      </w:pPr>
    </w:p>
    <w:p>
      <w:pPr>
        <w:ind w:left="1800" w:right="439" w:hanging="180"/>
        <w:spacing w:after="0" w:line="214"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4 High</w:t>
      </w:r>
      <w:r>
        <w:rPr>
          <w:rFonts w:ascii="Times New Roman" w:cs="Times New Roman" w:eastAsia="Times New Roman" w:hAnsi="Times New Roman"/>
          <w:sz w:val="18"/>
          <w:szCs w:val="18"/>
          <w:color w:val="auto"/>
        </w:rPr>
        <w:t> — launched in early 2018.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supports processing from multiple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cameras (including multi-focal or ultra-high-resolution front facing and side/rear), as well as other sensor perception modalities through two models: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Mid is a one-box windshield solution that offers around 1.1 tera operations per second (“TOPS”) supporting up to Level 2 functionality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High offers 2 TOPS supporting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mapping and localization to provide Level 2+ functionalities.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4 was the first SoC to support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Map Harvesting and an industry first supporting 100-degree cameras.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08"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5 High </w:t>
      </w:r>
      <w:r>
        <w:rPr>
          <w:rFonts w:ascii="Times New Roman" w:cs="Times New Roman" w:eastAsia="Times New Roman" w:hAnsi="Times New Roman"/>
          <w:sz w:val="18"/>
          <w:szCs w:val="18"/>
          <w:color w:val="auto"/>
        </w:rPr>
        <w:t>— designed to act as the central computing processor to enable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autonomous driving vehicles,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comes in two forms: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is a one-box windshield solution designed to support up to Level 2+ functionality.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supports Premium ADAS and up to Level 4 functionality powering both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Mobileye 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solutions. Volume production began in 2021.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is designed on the 7nm fin field-effect transistor (“FinFET”) technology node and offers around 15 TOPS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High and more than 4 on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Mid. We have been able to achieve power, performance, and cost targets by employing proprietary computational cores that are optimized for a wide variety of computer vision, signal processing, and machine learning tasks, including deep neural networks. Starting with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we are supporting a complete SDK to allow customers to differentiate their solutions by deploying their algorithms on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serves as the computational foundation for our scalable camera-only surround sensing system. The system consists of multiple independent computer vision engines and deep networks for algorithmic redundancy. The result is a robust and comprehensive model of the environment that allows end-to-end autonomous driving. It is also the industry’s first solution supporting 120-degree 8-megapixel cameras.</w:t>
      </w:r>
    </w:p>
    <w:p>
      <w:pPr>
        <w:spacing w:after="0" w:line="61" w:lineRule="exact"/>
        <w:rPr>
          <w:rFonts w:ascii="Times New Roman" w:cs="Times New Roman" w:eastAsia="Times New Roman" w:hAnsi="Times New Roman"/>
          <w:sz w:val="18"/>
          <w:szCs w:val="18"/>
          <w:color w:val="auto"/>
        </w:rPr>
      </w:pPr>
    </w:p>
    <w:p>
      <w:pPr>
        <w:ind w:left="1800" w:right="419"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6 High</w:t>
      </w:r>
      <w:r>
        <w:rPr>
          <w:rFonts w:ascii="Times New Roman" w:cs="Times New Roman" w:eastAsia="Times New Roman" w:hAnsi="Times New Roman"/>
          <w:sz w:val="18"/>
          <w:szCs w:val="18"/>
          <w:color w:val="auto"/>
        </w:rPr>
        <w:t> —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 one-box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windshield optimized solution, is designed to deliver entry and premium Level 2 ADAS functionality at ultra-low power and high efficiency. Also announced in January 2022,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will support premium ADAS or partial AV capabilities with full surround and support for visualization and heavy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13" w:lineRule="auto"/>
        <w:rPr>
          <w:sz w:val="20"/>
          <w:szCs w:val="20"/>
          <w:color w:val="auto"/>
        </w:rPr>
      </w:pPr>
      <w:r>
        <w:rPr>
          <w:rFonts w:ascii="Times New Roman" w:cs="Times New Roman" w:eastAsia="Times New Roman" w:hAnsi="Times New Roman"/>
          <w:sz w:val="18"/>
          <w:szCs w:val="18"/>
          <w:color w:val="auto"/>
        </w:rPr>
        <w:t>AI workloads with 34 TOPS in 40 watts representing lean compute. This centralized solution will provide all ADAS Level 2 functionalities, multi-camera processing (including parking cameras), and will host third-party apps such as parking visualization and driver monitoring. Both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 and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High are designed on the 7nm FinFET process technology node. We expect to release the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Lite/High in 2023 or 2024 and begin production by the end of 2024.</w:t>
      </w:r>
    </w:p>
    <w:p>
      <w:pPr>
        <w:spacing w:after="0" w:line="4" w:lineRule="exact"/>
        <w:rPr>
          <w:sz w:val="20"/>
          <w:szCs w:val="20"/>
          <w:color w:val="auto"/>
        </w:rPr>
      </w:pPr>
    </w:p>
    <w:p>
      <w:pPr>
        <w:ind w:left="1800" w:right="459" w:hanging="180"/>
        <w:spacing w:after="0" w:line="219"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announced in January 2022,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designed to maximize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and efficiency at 176 TOPS.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with full automotive-grade production in 2025.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built to address the needs of Level 4 AV without the power and cost to integrate multiple SoCs together.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utilizes an array of four classes of proprietary accelerators, each built for a specific task. These accelerators are paired with additional central processing unit cores, ISPs, and GPUs in a highly efficient solution capable of processing input from two sensing subsystems — one camera-only system and the other radar and LiDAR combined — as well as the vehicle’s central computing system, the high-precision AV map and driving policy software.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designed on the 5nm FinFET process technology node. First silicon for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expected at the end of 2023, and we expect the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be ready for production in 2025.</w:t>
      </w:r>
    </w:p>
    <w:p>
      <w:pPr>
        <w:spacing w:after="0" w:line="1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Partnerships with STMicroelectronics and Intel</w:t>
      </w:r>
    </w:p>
    <w:p>
      <w:pPr>
        <w:spacing w:after="0" w:line="148" w:lineRule="exact"/>
        <w:rPr>
          <w:sz w:val="20"/>
          <w:szCs w:val="20"/>
          <w:color w:val="auto"/>
        </w:rPr>
      </w:pPr>
    </w:p>
    <w:p>
      <w:pPr>
        <w:ind w:left="1260" w:right="459" w:firstLine="360"/>
        <w:spacing w:after="0" w:line="228" w:lineRule="auto"/>
        <w:rPr>
          <w:sz w:val="20"/>
          <w:szCs w:val="20"/>
          <w:color w:val="auto"/>
        </w:rPr>
      </w:pPr>
      <w:r>
        <w:rPr>
          <w:rFonts w:ascii="Times New Roman" w:cs="Times New Roman" w:eastAsia="Times New Roman" w:hAnsi="Times New Roman"/>
          <w:sz w:val="18"/>
          <w:szCs w:val="18"/>
          <w:color w:val="auto"/>
        </w:rPr>
        <w:t>Our long-standing relationship with STMicroelectronics continues to strengthen with the complexity of our solutions. Our partnership includes close collaboration in product development, design, and manufacturing. For example, we have co-developed the seven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generations, including the recently launched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36"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with Intel’s market 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62"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Our products are designed and manufactured specifically for automotive applications after extensive validation tests under stringent automotive environmental conditions.</w:t>
      </w:r>
    </w:p>
    <w:p>
      <w:pPr>
        <w:spacing w:after="0" w:line="81" w:lineRule="exact"/>
        <w:rPr>
          <w:sz w:val="20"/>
          <w:szCs w:val="20"/>
          <w:color w:val="auto"/>
        </w:rPr>
      </w:pPr>
    </w:p>
    <w:p>
      <w:pPr>
        <w:ind w:left="1260" w:right="579" w:firstLine="360"/>
        <w:spacing w:after="0"/>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seven generations of our automotive grade SoC,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with STMicroelectronics including EyeQ </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6 and EyeQ Ultra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We design the front-end and STMicroelectronics designs the back-end package and also includes testing, quality assurance, customer care, failure analysis and manufacturing standards. All of our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integrated circuits are manufactured by or outsourced to a partner foundry by STMicroelectronics.</w:t>
      </w:r>
    </w:p>
    <w:p>
      <w:pPr>
        <w:spacing w:after="0" w:line="183" w:lineRule="exact"/>
        <w:rPr>
          <w:sz w:val="20"/>
          <w:szCs w:val="20"/>
          <w:color w:val="auto"/>
        </w:rPr>
      </w:pPr>
    </w:p>
    <w:p>
      <w:pPr>
        <w:ind w:left="1260" w:right="579" w:firstLine="360"/>
        <w:spacing w:after="0" w:line="228" w:lineRule="auto"/>
        <w:rPr>
          <w:sz w:val="20"/>
          <w:szCs w:val="20"/>
          <w:color w:val="auto"/>
        </w:rPr>
      </w:pPr>
      <w:r>
        <w:rPr>
          <w:rFonts w:ascii="Times New Roman" w:cs="Times New Roman" w:eastAsia="Times New Roman" w:hAnsi="Times New Roman"/>
          <w:sz w:val="18"/>
          <w:szCs w:val="18"/>
          <w:color w:val="auto"/>
        </w:rPr>
        <w:t>We have also established a relationship with Quanta Computer to develop and assemble our ECUs including our reference design for our Mobileye SuperVision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solution, which includes our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5 SoCs from STMicroelectronics.</w:t>
      </w:r>
    </w:p>
    <w:p>
      <w:pPr>
        <w:spacing w:after="0" w:line="133"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We partner with Intel to manufacture our imaging solutions and expect to utilize Intel’s unique fab capable of putting active and passive optical elements on a chip together, including lasers and optical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58" w:lineRule="auto"/>
        <w:rPr>
          <w:sz w:val="20"/>
          <w:szCs w:val="20"/>
          <w:color w:val="auto"/>
        </w:rPr>
      </w:pPr>
      <w:r>
        <w:rPr>
          <w:rFonts w:ascii="Times New Roman" w:cs="Times New Roman" w:eastAsia="Times New Roman" w:hAnsi="Times New Roman"/>
          <w:sz w:val="18"/>
          <w:szCs w:val="18"/>
          <w:color w:val="auto"/>
        </w:rPr>
        <w:t>amplifiers, loaded onto a photonic integrated circuit. With Intel Silicon Photonics manufacturing capabilities, we have access to unique and differentiating technologies such as the ability to put an active laser in a package, which are at the heart of our novel LiDAR co-development.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and Ratings</w:t>
      </w:r>
    </w:p>
    <w:p>
      <w:pPr>
        <w:spacing w:after="0" w:line="162" w:lineRule="exact"/>
        <w:rPr>
          <w:sz w:val="20"/>
          <w:szCs w:val="20"/>
          <w:color w:val="auto"/>
        </w:rPr>
      </w:pPr>
    </w:p>
    <w:p>
      <w:pPr>
        <w:ind w:left="1260" w:right="579" w:firstLine="360"/>
        <w:spacing w:after="0" w:line="246" w:lineRule="auto"/>
        <w:rPr>
          <w:sz w:val="20"/>
          <w:szCs w:val="20"/>
          <w:color w:val="auto"/>
        </w:rPr>
      </w:pPr>
      <w:r>
        <w:rPr>
          <w:rFonts w:ascii="Times New Roman" w:cs="Times New Roman" w:eastAsia="Times New Roman" w:hAnsi="Times New Roman"/>
          <w:sz w:val="18"/>
          <w:szCs w:val="18"/>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1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20"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1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order for us to operate in international markets outside the United States, we must comply with relevant legal regulations regarding autonomous vehicles as well as technology export control, data security, cybersecurity and other related regulations that apply to global technology companies. We have developed</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robust compliance processes and procedures related to these regulatory requirements and believe that we are in compliance with such requirements. We do not believe there are any regulatory restrictions that would materially restrict our ability to operate in our key markets of the United States, Israel, China or Europe. We are in regular dialogue with the relevant regulatory policy bodies globally and intend to continue to comply with these regulations or any updates thereof.</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Data Privacy</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European General Data Protection Regulation and the California Consumer Privacy Act of 2018 (the “CCPA”).</w:t>
      </w:r>
    </w:p>
    <w:p>
      <w:pPr>
        <w:spacing w:after="0" w:line="124"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scope and interpretation of the laws and regulations that are or may be applicable to us are often uncertain and may be conflicting, particularly with respect to foreign laws. We are subject to the E.U. General Data Protection Regulation (the “GDPR”), which became effective in May 2018. EU member states have enacted certain implementing legislation that adds to and/or further interprets the GDPR requirements.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with respect to EU and UK data subjects.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Other countries have enacted or are considering enacting similar cross-border data transfer rules or data localization requirements.</w:t>
      </w:r>
    </w:p>
    <w:p>
      <w:pPr>
        <w:spacing w:after="0" w:line="34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12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2"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The ADAS and autonomous driving industries are highly competitive. In the ADAS and consumer AV market, we face competition primarily from other external providers including Tier 1 automotive suppliers and silicon providers, and in-house solutions developed by the OEMs.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340"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108"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color w:val="auto"/>
        </w:rPr>
        <w:t xml:space="preserve"> family of SoCs are extremely hard to replicate.</w:t>
      </w:r>
    </w:p>
    <w:p>
      <w:pPr>
        <w:spacing w:after="0" w:line="133"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principal competitive factors impacting the market for our solutions include:</w:t>
      </w:r>
    </w:p>
    <w:p>
      <w:pPr>
        <w:spacing w:after="0" w:line="117" w:lineRule="exact"/>
        <w:rPr>
          <w:sz w:val="20"/>
          <w:szCs w:val="20"/>
          <w:color w:val="auto"/>
        </w:rPr>
      </w:pPr>
    </w:p>
    <w:p>
      <w:pPr>
        <w:ind w:left="1800" w:right="53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completeness of our technology platform including SoCs, sensing and perception technologies, sensor fusion architecture, high-precision mapping system, and supporting software and algorithms;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design and develop ADAS and autonomous driving solutions that meet our customers’ needs;</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quality standards, compliance, and performance in all areas of ADAS and autonomous driving;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agile software validation and robust product release discipline;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and cost efficiency of our solutions;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capabilities, the ability to innovate and continuously improve our technology;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development support for our customers;</w:t>
      </w:r>
    </w:p>
    <w:p>
      <w:pPr>
        <w:spacing w:after="0" w:line="117"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reliability and the ability to make on-time delivery of appropriate quantities of product at a consistent level of quality;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regulatory requirements;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protection;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and reputation, including the ability to market new offerings.</w:t>
      </w:r>
    </w:p>
    <w:p>
      <w:pPr>
        <w:spacing w:after="0" w:line="14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 and Marketing</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products are sold directly to customers throughout the world, or through distribution channels for our aftermarket products meant for vehicles that do not come pre-equipped with ADAS technology.</w:t>
      </w:r>
    </w:p>
    <w:p>
      <w:pPr>
        <w:spacing w:after="0" w:line="94"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0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2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Employees</w:t>
      </w:r>
    </w:p>
    <w:p>
      <w:pPr>
        <w:spacing w:after="0" w:line="94"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As of the end of 2021, we had approximately 2,900 employees operating across eight countries, with approximately 80% of such employees involved in research and development and 2,650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4" w:lineRule="exact"/>
        <w:rPr>
          <w:sz w:val="20"/>
          <w:szCs w:val="20"/>
          <w:color w:val="auto"/>
        </w:rPr>
      </w:pPr>
    </w:p>
    <w:p>
      <w:pPr>
        <w:ind w:left="1260" w:right="619" w:firstLine="360"/>
        <w:spacing w:after="0" w:line="259" w:lineRule="auto"/>
        <w:rPr>
          <w:sz w:val="20"/>
          <w:szCs w:val="20"/>
          <w:color w:val="auto"/>
        </w:rPr>
      </w:pPr>
      <w:r>
        <w:rPr>
          <w:rFonts w:ascii="Times New Roman" w:cs="Times New Roman" w:eastAsia="Times New Roman" w:hAnsi="Times New Roman"/>
          <w:sz w:val="18"/>
          <w:szCs w:val="18"/>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We hold 234 U.S. patents, 35 European patents, 173 U.S. patent applications, 363 European and other non-U.S. patent applications, and provisional patent filings.</w:t>
      </w:r>
    </w:p>
    <w:p>
      <w:pPr>
        <w:spacing w:after="0" w:line="281"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which include on Intel’s sites. We are currently making investments and are building a new campus in Jerusalem, Israel, which is expected to be completed in 2022.</w:t>
      </w:r>
    </w:p>
    <w:p>
      <w:pPr>
        <w:spacing w:after="0" w:line="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For example, on July 2, 2020, plaintiffs filed a complaint seeking monetary damages and class certification against our Israeli subsidiary in the District Court in Lod, Israel for an alleged defect in the display of one of our aftermarket products sold in Israel. Mobileye responded to the claim and the parties informed the court on January 3, 2022 that they have agreed to refer the suit to mediation. Additionally, on February 24, 2021, a plaintiff filed a complaint against Intel’s Italian subsidiary in the Court of Milan, Italy, Enterprises Section, alleging patent infringement relating to driver assistance systems. On May 19, 2021, Intel’s Italian subsidiary filed a statement of defense claiming that it is not the appropriate entity to be named as a defendant and that the plaintiff’s patent is invalid. The disputed technology is currently under review by a technical consultant appointed by the court, and we have not been named a defendant. As the likelihood of the ultimate outcome of these proceedings is not currently determinable, no amounts in respect of these matters have been accrued in our financial statements. We intend to vigorously defend each of these matters. We do not believe that these matters, and are not a party to any other legal proceedings that we believe, if determined adversely to us, would have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Set forth below are the names, ages and positions as of the date hereof of our executive officers, directors, and our director nominees who are expected to join our board of directors upon completion of this offering.</w:t>
      </w:r>
    </w:p>
    <w:p>
      <w:pPr>
        <w:spacing w:after="0" w:line="197"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2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Amnon Shashua</w:t>
            </w:r>
          </w:p>
        </w:tc>
        <w:tc>
          <w:tcPr>
            <w:tcW w:w="480" w:type="dxa"/>
            <w:vAlign w:val="bottom"/>
            <w:tcBorders>
              <w:top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1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Patrick P. Gelsinger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Chair of the Board of Directors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2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236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Erez Dagan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380" w:type="dxa"/>
            <w:vAlign w:val="bottom"/>
            <w:gridSpan w:val="3"/>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Executive Vice President, Products and Strategy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Gavriel Hayon</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Executive Vice President, Research and Development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Shai Shalev-Schwartz</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38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Chief Technology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Eyal Desheh</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Jon M. Huntsman, Jr.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Claire C. McCaskill</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Christine Pambianchi</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2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 Nominee</w:t>
            </w:r>
          </w:p>
        </w:tc>
        <w:tc>
          <w:tcPr>
            <w:tcW w:w="236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5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Frank D. Yeary</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2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Nominee</w:t>
            </w:r>
          </w:p>
        </w:tc>
        <w:tc>
          <w:tcPr>
            <w:tcW w:w="23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419" w:firstLine="36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Amnon Shashua </w:t>
      </w:r>
      <w:r>
        <w:rPr>
          <w:rFonts w:ascii="Times New Roman" w:cs="Times New Roman" w:eastAsia="Times New Roman" w:hAnsi="Times New Roman"/>
          <w:sz w:val="18"/>
          <w:szCs w:val="18"/>
          <w:color w:val="auto"/>
        </w:rPr>
        <w:t>is our co-founder and has been serving as our Chief Executive Officer and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2017 and as our director since                     , 2022. He has also been serving as a Senior Vice President at Intel since 2017. Professor Shashua is expected to resign from his position at Intel in connection with the consummation of this offering and our continuation as a separate company.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Professor Shashua was selected to serve on our board of directors because of the perspective and experience he brings as our co-founder and Chief Executive Officer, as well as his insight and proficiency in computer vision and machine learning.</w:t>
      </w:r>
    </w:p>
    <w:p>
      <w:pPr>
        <w:spacing w:after="0" w:line="335"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Patrick P. Gelsinger </w:t>
      </w:r>
      <w:r>
        <w:rPr>
          <w:rFonts w:ascii="Times New Roman" w:cs="Times New Roman" w:eastAsia="Times New Roman" w:hAnsi="Times New Roman"/>
          <w:sz w:val="18"/>
          <w:szCs w:val="18"/>
          <w:color w:val="auto"/>
        </w:rPr>
        <w:t>has been the chair of our board of directors since                     , 2022. He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serving 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 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 Senior Vice President and Co-General Manager of the Digital Enterprise Group from 2005 to September 2009,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3" w:lineRule="auto"/>
        <w:rPr>
          <w:sz w:val="20"/>
          <w:szCs w:val="20"/>
          <w:color w:val="auto"/>
        </w:rPr>
      </w:pPr>
      <w:r>
        <w:rPr>
          <w:rFonts w:ascii="Times New Roman" w:cs="Times New Roman" w:eastAsia="Times New Roman" w:hAnsi="Times New Roman"/>
          <w:sz w:val="18"/>
          <w:szCs w:val="18"/>
          <w:color w:val="auto"/>
        </w:rPr>
        <w:t>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w:t>
      </w:r>
    </w:p>
    <w:p>
      <w:pPr>
        <w:spacing w:after="0" w:line="114" w:lineRule="exact"/>
        <w:rPr>
          <w:sz w:val="20"/>
          <w:szCs w:val="20"/>
          <w:color w:val="auto"/>
        </w:rPr>
      </w:pPr>
    </w:p>
    <w:p>
      <w:pPr>
        <w:ind w:left="1260" w:right="47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Anat Heller </w:t>
      </w:r>
      <w:r>
        <w:rPr>
          <w:rFonts w:ascii="Times New Roman" w:cs="Times New Roman" w:eastAsia="Times New Roman" w:hAnsi="Times New Roman"/>
          <w:sz w:val="18"/>
          <w:szCs w:val="18"/>
          <w:color w:val="auto"/>
        </w:rPr>
        <w:t>has been serving as our Chief Financial Officer since 2018. Prior to her current 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Heller joined Mobileye in 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107"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Erez Dagan </w:t>
      </w:r>
      <w:r>
        <w:rPr>
          <w:rFonts w:ascii="Times New Roman" w:cs="Times New Roman" w:eastAsia="Times New Roman" w:hAnsi="Times New Roman"/>
          <w:sz w:val="18"/>
          <w:szCs w:val="18"/>
          <w:color w:val="auto"/>
        </w:rPr>
        <w:t>has been serving as our Executive Vice President, Products and Strategy since 2018.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his current position, Mr. Dagan joined Mobileye in 2003 and had since led teams responsible for computer vision algorithms, object detection technologies and ADAS products such as adaptive cruise control and automatic emergency braking. In 2013, Mr. Dagan became the Vice President, Advanced Technologies and in 2016, Mr. Dagan became the Senior Vice President, Advanced Development and Strategy. Mr. Dagan also serves as a director of Mobileye’s Japan subsidiary. In 2017, in connection with our acquisition by Intel, Mr. Dagan became a Vice President of Intel. Mr. Dagan is expected to resign from his position at Intel in connection with the consummation of this offering and our continuation as a separate company. Mr. Dagan earned his B.S. from the Hebrew University of Jerusalem and his M.B.A. from Reichman University.</w:t>
      </w:r>
    </w:p>
    <w:p>
      <w:pPr>
        <w:spacing w:after="0" w:line="32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Gavriel Hayon </w:t>
      </w:r>
      <w:r>
        <w:rPr>
          <w:rFonts w:ascii="Times New Roman" w:cs="Times New Roman" w:eastAsia="Times New Roman" w:hAnsi="Times New Roman"/>
          <w:sz w:val="18"/>
          <w:szCs w:val="18"/>
          <w:color w:val="auto"/>
        </w:rPr>
        <w:t>has been serving as our Executive Vice President, Research and Development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2018. Dr. Hayon joined Mobileye in 1999 as an algorithm developer and had since led teams responsible for computer vision algorithms and led the algorithms department. In 2004, Dr. Hayon became the Vice President of Research and Development, leading the development and bringing to production multiple ADAS products. In 2017, in connection with our acquisition by Intel, Dr. Hayon became a Vice President of Intel. Mr. Hayon is expected to resign from his position at Intel in connection with the consummation of this offering and our continuation as a separate company. Prior to his work at Mobileye, Dr. Hayon was an algorithms developer at Applied Materials (Nasdaq: AMAT) . Dr. Hayon received his Ph.D. in AI from the Hebrew University, his M.Sc. in physics from the Weitzman Institute and his B.Sc. degree in physics from the Technion Israel Institute of Technology.</w:t>
      </w:r>
    </w:p>
    <w:p>
      <w:pPr>
        <w:spacing w:after="0" w:line="320"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Shai Shalev-Shwartz </w:t>
      </w:r>
      <w:r>
        <w:rPr>
          <w:rFonts w:ascii="Times New Roman" w:cs="Times New Roman" w:eastAsia="Times New Roman" w:hAnsi="Times New Roman"/>
          <w:sz w:val="18"/>
          <w:szCs w:val="18"/>
          <w:color w:val="auto"/>
        </w:rPr>
        <w:t>has been serving as our Chief Technology Officer since 2018. In 2017,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our acquisition by Intel, Professor Shalev-Shwartz became a Senior Fellow of Intel. Professor Shalev-Shwartz is expected to resign from his position at Intel in connection with the consummation of this offering and our continuation as a separate company. Professor Shalev-Shwartz is well known for his research in machine learning and was listed as one of the 100 most influential researchers worldwide in 2016 by AMiner. Professor Shalev-Schwartz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Shalev-Schwartz earned his Ph.D. from the Hebrew University of Jerusalem.</w:t>
      </w:r>
    </w:p>
    <w:p>
      <w:pPr>
        <w:spacing w:after="0" w:line="33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Eyal Desheh </w:t>
      </w:r>
      <w:r>
        <w:rPr>
          <w:rFonts w:ascii="Times New Roman" w:cs="Times New Roman" w:eastAsia="Times New Roman" w:hAnsi="Times New Roman"/>
          <w:sz w:val="18"/>
          <w:szCs w:val="18"/>
          <w:color w:val="auto"/>
        </w:rPr>
        <w:t>is expected to join our board of directors upon the completion of this offering. Mr. Desheh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Chairman of the Board of Directors of Isracard Ltd. (TLV: ISCD) from 2017 to 2020. Before Isracard, Mr. Desheh served as Executive Vice President and Chief Financial Officer of Teva Pharmaceutical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(Nadsaq: SCTX)) (TLV: SNCM) from 1996 to 2000, and as Deputy Chief Financial Officer at Teva Pharmaceutical Industries Ltd. from 1989 to 1996. Mr. Desheh currently serves as Chairman of MigVax Ltd., Tevel Aerobotics Technologies Ltd. Mr. Desheh also serves on the board of directors of Cytoreason Ltd., One Zero Digital Bank Ltd., OrCam Technologies Ltd., and Factoree Ltd. Mr. Desheh previously served on our board of directors from 2014 to 2018. From 2013 to 2016, Mr. Desheh 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Mr. Desheh was selected to serve on our board of directors due to his extensive financial expertise, experience on a public company audit committee, and leadership experience as Chief Financial Officer.</w:t>
      </w:r>
    </w:p>
    <w:p>
      <w:pPr>
        <w:spacing w:after="0" w:line="32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Jon M. Huntsman, Jr.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Governor Huntsman has been serving as Vice Chair, Policy at Ford Motor Company (NYSE: F) since 2021. Prior to joining Ford, Governor Huntsman served as U.S. Ambassador to Russia from 2017 to 2019 and as Chairman of the Atlantic Council, a nonprofit that promotes leadership and engagement in international affairs, from 2014 until 2017. Governor Huntsman also served 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to 2011 and held two consecutive terms as Governor of Utah from 2005 until 2009. Prior to his service as Governor, he served as U.S. Ambassador to Singapore, Deputy U.S. Trade Representative, and Deputy Assistant Secretary of Commerce for Asia. Governor Huntsman serves on the boards of directors of Ford Motor Company (NYSE: F), Chevron Corporation (NYSE: CVX) and the Nuclear Threat Initiative, and as Vice Chair of Intel’s Government Affairs Advisory Committee. Governor Huntsman also currently serves as a member on the Defense Policy Board Advisory Committee, the Executive Committee of the National Committee on U.S.-China relations, and as Chair of the World Trade Center Utah. Governor Huntsman previously served on the board of directors of Caterpillar Inc. (NYSE: CAT) and Hilton Worldwide Holdings Inc. (NYSE: HLT). Governor Huntsman earned his B.A. from the University of Pennsylvania. Governor Huntsman was selected to serve on our board of directors due to his extensive global policy experience, which brings a well-informed and international perspective to Board deliberations. Governor Huntsman’s extensive experience in government service also provides our board of directors with important insight on government relations at the state, federal, and international levels.</w:t>
      </w:r>
    </w:p>
    <w:p>
      <w:pPr>
        <w:spacing w:after="0" w:line="12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Claire C. McCaskill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Senator McCaskill was selected to serve on our board of directors due to her extensive experience in government as an elected official, which provides our board of directors with important insight on government relations at the state, federal, and international levels, and her legal background.</w:t>
      </w:r>
    </w:p>
    <w:p>
      <w:pPr>
        <w:spacing w:after="0" w:line="112" w:lineRule="exact"/>
        <w:rPr>
          <w:sz w:val="20"/>
          <w:szCs w:val="20"/>
          <w:color w:val="auto"/>
        </w:rPr>
      </w:pPr>
    </w:p>
    <w:p>
      <w:pPr>
        <w:ind w:left="1260" w:right="699" w:firstLine="360"/>
        <w:spacing w:after="0" w:line="249" w:lineRule="auto"/>
        <w:rPr>
          <w:sz w:val="20"/>
          <w:szCs w:val="20"/>
          <w:color w:val="auto"/>
        </w:rPr>
      </w:pPr>
      <w:r>
        <w:rPr>
          <w:rFonts w:ascii="Times New Roman" w:cs="Times New Roman" w:eastAsia="Times New Roman" w:hAnsi="Times New Roman"/>
          <w:sz w:val="18"/>
          <w:szCs w:val="18"/>
          <w:b w:val="1"/>
          <w:bCs w:val="1"/>
          <w:color w:val="auto"/>
        </w:rPr>
        <w:t xml:space="preserve">Christine Pambianchi </w:t>
      </w:r>
      <w:r>
        <w:rPr>
          <w:rFonts w:ascii="Times New Roman" w:cs="Times New Roman" w:eastAsia="Times New Roman" w:hAnsi="Times New Roman"/>
          <w:sz w:val="18"/>
          <w:szCs w:val="18"/>
          <w:color w:val="auto"/>
        </w:rPr>
        <w:t>is expected to join our board of directors upon the completion of this offering.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Pambianchi has been serving as an Executive Vice President and Chief People Officer at Intel since 2021. Prior to joining Intel, Ms. Pambianchi served as an Executive Vice President and Chief Human Resources Officer at Verizon Communications Inc. (NYSE: VZ) from 2019 to 2021. Before Verizon,</w:t>
      </w:r>
    </w:p>
    <w:p>
      <w:pPr>
        <w:ind w:left="1260" w:right="479"/>
        <w:spacing w:after="0"/>
        <w:rPr>
          <w:sz w:val="20"/>
          <w:szCs w:val="20"/>
          <w:color w:val="auto"/>
        </w:rPr>
      </w:pPr>
      <w:r>
        <w:rPr>
          <w:rFonts w:ascii="Times New Roman" w:cs="Times New Roman" w:eastAsia="Times New Roman" w:hAnsi="Times New Roman"/>
          <w:sz w:val="18"/>
          <w:szCs w:val="18"/>
          <w:color w:val="auto"/>
        </w:rPr>
        <w:t>Ms. Pambianchi held several positions with Corning Incorporated (NYSE: GLW), including Executive Vice President, People &amp; Digital from 2018 to 2019, Chief Human Resource Officer from 2008 to 2019, and 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w:t>
      </w: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58" w:lineRule="auto"/>
        <w:rPr>
          <w:sz w:val="20"/>
          <w:szCs w:val="20"/>
          <w:color w:val="auto"/>
        </w:rPr>
      </w:pPr>
      <w:r>
        <w:rPr>
          <w:rFonts w:ascii="Times New Roman" w:cs="Times New Roman" w:eastAsia="Times New Roman" w:hAnsi="Times New Roman"/>
          <w:sz w:val="18"/>
          <w:szCs w:val="18"/>
          <w:color w:val="auto"/>
        </w:rPr>
        <w:t>the Lumina Foundation. Ms. Pambianchi earned her B.A. from Cornell University. Ms. Pambianchi was selected to serve on our board of directors due to her extensive human capital experience and senior leadership positions with public companies in the technology and manufacturing sectors.</w:t>
      </w:r>
    </w:p>
    <w:p>
      <w:pPr>
        <w:spacing w:after="0" w:line="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Frank D. Yeary </w:t>
      </w:r>
      <w:r>
        <w:rPr>
          <w:rFonts w:ascii="Times New Roman" w:cs="Times New Roman" w:eastAsia="Times New Roman" w:hAnsi="Times New Roman"/>
          <w:sz w:val="18"/>
          <w:szCs w:val="18"/>
          <w:color w:val="auto"/>
        </w:rPr>
        <w:t>is expected to join our board of directors upon the completion of this offering.</w:t>
      </w:r>
    </w:p>
    <w:p>
      <w:pPr>
        <w:spacing w:after="0" w:line="20"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Mr. Yeary has been serving as Principal at Darwin Capital Advisors LLC, a private investment firm, since 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 Mr. Yeary serves on the boards of directors of PayPal Holdings, Inc. (Nasdaq: PYPL) and Intel. Mr. Yeary earned his B.A. from the University of California, Berkeley. Mr. Yeary was selected to serve on our board of directors due to his financial strategy and global M&amp;A expertise, including expertise in financial reporting.</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4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and upon the completion of this offering, we will amend and restate our certificate of incorporation and bylaws. Our amended and restated certificate of incorporation will provide that the number of directors on our board of directors shall be established from time to time by our board. Immediately after this offering, our board of directors will be composed of                               members, as set forth above. Mr. Gelsinger will serve as the chair of our board of directors. Each director will continue to serve until the election and qualification of his, her or their successor, or until the earliest of his, her or their death, resignation, or removal.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be a “controlled company” within the meaning of the corporate governance standards</w:t>
      </w:r>
    </w:p>
    <w:p>
      <w:pPr>
        <w:spacing w:after="0" w:line="27" w:lineRule="exact"/>
        <w:rPr>
          <w:sz w:val="20"/>
          <w:szCs w:val="20"/>
          <w:color w:val="auto"/>
        </w:rPr>
      </w:pPr>
    </w:p>
    <w:p>
      <w:pPr>
        <w:ind w:left="1260" w:right="579"/>
        <w:spacing w:after="0" w:line="239" w:lineRule="auto"/>
        <w:rPr>
          <w:sz w:val="20"/>
          <w:szCs w:val="20"/>
          <w:color w:val="auto"/>
        </w:rPr>
      </w:pPr>
      <w:r>
        <w:rPr>
          <w:rFonts w:ascii="Times New Roman" w:cs="Times New Roman" w:eastAsia="Times New Roman" w:hAnsi="Times New Roman"/>
          <w:sz w:val="18"/>
          <w:szCs w:val="18"/>
          <w:color w:val="auto"/>
        </w:rPr>
        <w:t>of                     . As a result, we qualify for exemptions from, and have elected not to comply with,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are composed entirely of independent directors. Even though we are a controlled company, we are required to comply with the rules of the SEC and                     relating to the membership, qualifications, and operations of the audit committee, as discussed below.</w:t>
      </w:r>
    </w:p>
    <w:p>
      <w:pPr>
        <w:spacing w:after="0" w:line="11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rules of                               define a “controlled company” as a company of which more than 50% of the voting power for the election of directors is held by an individual, a group or another company.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Through its control of shares of common stock representing a majority of the votes entitled to be cast in the election of directors, Intel will have the ability to control the vote to elect all of our directors. Accordingly, we will qualify as a “controlled company” under the listing requirements</w:t>
      </w:r>
    </w:p>
    <w:p>
      <w:pPr>
        <w:spacing w:after="0" w:line="4"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of                     and will be able to rely on the exemptions described above. If we cease to be a controlled company and our Class A common stock continues to be listed on                     ,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her or their background, employment and affiliations, our board of directors has determined that each of                     does not have relationships that would interfere with the exercise of independent judgment in carrying out the responsibilities of a director and</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that each of these directors is “independent” as that term is defined under the listing standards of               </w:t>
      </w:r>
    </w:p>
    <w:p>
      <w:pPr>
        <w:spacing w:after="0" w:line="27" w:lineRule="exact"/>
        <w:rPr>
          <w:sz w:val="20"/>
          <w:szCs w:val="20"/>
          <w:color w:val="auto"/>
        </w:rPr>
      </w:pPr>
    </w:p>
    <w:p>
      <w:pPr>
        <w:ind w:left="1260" w:right="419"/>
        <w:spacing w:after="0" w:line="241" w:lineRule="auto"/>
        <w:tabs>
          <w:tab w:leader="none" w:pos="135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62" w:lineRule="exact"/>
        <w:rPr>
          <w:sz w:val="20"/>
          <w:szCs w:val="20"/>
          <w:color w:val="auto"/>
        </w:rPr>
      </w:pPr>
    </w:p>
    <w:p>
      <w:pPr>
        <w:ind w:left="1260" w:right="95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we will establish the following committees of our board of directors.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written charter for our audit committee will be available on our website. The information contained in, or that can be accessed through, our website is not incorporated by reference in, and is not part of, this prospectus. The audit committee, among other things, will:</w:t>
      </w:r>
    </w:p>
    <w:p>
      <w:pPr>
        <w:spacing w:after="0" w:line="61" w:lineRule="exact"/>
        <w:rPr>
          <w:sz w:val="20"/>
          <w:szCs w:val="20"/>
          <w:color w:val="auto"/>
        </w:rPr>
      </w:pPr>
    </w:p>
    <w:p>
      <w:pPr>
        <w:ind w:left="1800" w:right="77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audit plans and findings of our independent registered public accounting firm and our internal audit and risk review staff, as well as the results of regulatory examinations, and track management’s corrective action plans where necessary;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combined financial statements, including any significant financial items and/or changes in accounting policies, with our senior management and independent registered public accounting firm;</w:t>
      </w:r>
    </w:p>
    <w:p>
      <w:pPr>
        <w:spacing w:after="0" w:line="268"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risk and control procedures, compliance programs and significant tax, legal and regulatory matters;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66"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in advance any proposed related person transactions.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Upon the completion of this offering, the members of our audit committee will be            ,               </w:t>
      </w:r>
    </w:p>
    <w:p>
      <w:pPr>
        <w:spacing w:after="0" w:line="27" w:lineRule="exact"/>
        <w:rPr>
          <w:sz w:val="20"/>
          <w:szCs w:val="20"/>
          <w:color w:val="auto"/>
        </w:rPr>
      </w:pPr>
    </w:p>
    <w:p>
      <w:pPr>
        <w:ind w:left="1260" w:right="419"/>
        <w:spacing w:after="0"/>
        <w:tabs>
          <w:tab w:leader="none" w:pos="13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.            will serve as the chair of our audit committee. Rule 10A-3 of the Exchange Act and the corporate governance standards of 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determined that                     meet the definition of “independent director” for purposes of serving on our audit committee under Rule 10A-3 of the Exchange Act and the corporate governance standards of                     .    Our board of directors has determined that each director appointed to our audit committee is financially literate. Our board of directors has determined that                     is an “audit committee financial expert” as such term is defined in</w:t>
      </w: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407(d)(5) of Regulation S-K.</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62"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 written charter for our compensation committee will be available on our website. The information contained in, or that can be accessed through, our website is not incorporated by reference in, and is not part of, this prospectus. The compensation committee, among other things, will:</w:t>
      </w:r>
    </w:p>
    <w:p>
      <w:pPr>
        <w:spacing w:after="0" w:line="69" w:lineRule="exact"/>
        <w:rPr>
          <w:sz w:val="20"/>
          <w:szCs w:val="20"/>
          <w:color w:val="auto"/>
        </w:rPr>
      </w:pPr>
    </w:p>
    <w:p>
      <w:pPr>
        <w:ind w:left="1800" w:right="81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recommend that our board of directors approve, the compensation of our executive officers;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the compensation of our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equity incentive plan;</w:t>
      </w:r>
    </w:p>
    <w:p>
      <w:pPr>
        <w:spacing w:after="0" w:line="11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or make recommendations to our board of directors with respect to, incentive compensation and equity plans;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review our overall compensation philosophy.</w:t>
      </w:r>
    </w:p>
    <w:p>
      <w:pPr>
        <w:spacing w:after="0" w:line="158" w:lineRule="exact"/>
        <w:rPr>
          <w:sz w:val="20"/>
          <w:szCs w:val="20"/>
          <w:color w:val="auto"/>
        </w:rPr>
      </w:pPr>
    </w:p>
    <w:p>
      <w:pPr>
        <w:jc w:val="both"/>
        <w:ind w:left="1260" w:right="1659" w:firstLine="360"/>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the members of our compensation committee will be            ,            and            .            will serve as the chair of our compensation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written charter for our nominating and corporate governance committee will be available on our website. The information contained in, or that can be accessed through, our website is not incorporated by reference in, and is not part of, this prospectus. The nominating and corporate governance committee, among other things, will:</w:t>
      </w:r>
    </w:p>
    <w:p>
      <w:pPr>
        <w:spacing w:after="0" w:line="72" w:lineRule="exact"/>
        <w:rPr>
          <w:sz w:val="20"/>
          <w:szCs w:val="20"/>
          <w:color w:val="auto"/>
        </w:rPr>
      </w:pPr>
    </w:p>
    <w:p>
      <w:pPr>
        <w:ind w:left="1800" w:right="95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select as nominees individuals qualified to become new directors, consistent with criteria approved by our board of directors;</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of incumbent directors to determine whether to recommend them for reelection at our next annual meeting of the stockholders;</w:t>
      </w:r>
    </w:p>
    <w:p>
      <w:pPr>
        <w:spacing w:after="0" w:line="53"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evaluate, and recommend to our board of directors to appoint those directors that are qualified to serve on any committee of our board of directors;</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our board of directors corporate governance principles applicable to us;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our board of directors.</w:t>
      </w:r>
    </w:p>
    <w:p>
      <w:pPr>
        <w:spacing w:after="0" w:line="14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the members of our nominating and corporate governance committee will be            ,            and            .            will serve as the chair of our nominating and corporate governance committee.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None of our executive officers, employees or persons having a relationship requiring disclosure under Item 404 of Regulation S-K has served as a member of our compensation committee. None of our executive officers has served on the board of directors of another entity that has one or more executive officers serving on our board of directors.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we will adopt a Code of Business Conduct and Ethics that applies to all employees and each of our directors and officers, including our principal executive officer and principal financial officer. The purpose of the Code of Business Conduct and Ethics will be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will be available on our website. The information contained in, or that can be accessed through, our website is not incorporated by reference in, and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This Compensation Discussion and Analysis section describes our compensation approach and programs for our named executive officers (“</w:t>
      </w:r>
      <w:r>
        <w:rPr>
          <w:rFonts w:ascii="Times New Roman" w:cs="Times New Roman" w:eastAsia="Times New Roman" w:hAnsi="Times New Roman"/>
          <w:sz w:val="18"/>
          <w:szCs w:val="18"/>
          <w:u w:val="single" w:color="auto"/>
          <w:color w:val="auto"/>
        </w:rPr>
        <w:t>NEOs</w:t>
      </w:r>
      <w:r>
        <w:rPr>
          <w:rFonts w:ascii="Times New Roman" w:cs="Times New Roman" w:eastAsia="Times New Roman" w:hAnsi="Times New Roman"/>
          <w:sz w:val="18"/>
          <w:szCs w:val="18"/>
          <w:color w:val="auto"/>
        </w:rPr>
        <w:t>”), which include our Chief Executive Officer, Chief Financial Officer, and our three other most highly compensated executive officers for the year ended December 25, 2021. Except as otherwise indicated, the information in this section relates to the compensation of our NEOs, and the principles underlying our executive compensation policies, in respect of fiscal year 2021. Our NEOs for the year ended December 25, 2021 were as follows:</w:t>
      </w:r>
    </w:p>
    <w:p>
      <w:pPr>
        <w:spacing w:after="0" w:line="72" w:lineRule="exact"/>
        <w:rPr>
          <w:sz w:val="20"/>
          <w:szCs w:val="20"/>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Amnon Shashua, Chief Executive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Anat Heller, Chief Financial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Shai Shalev-Shwartz, Chief Technology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Gaby Hayon, Executive Vice President, Research &amp; Development;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Erez Dagan, Executive Vice President, Products &amp; Strategy.</w:t>
      </w:r>
    </w:p>
    <w:p>
      <w:pPr>
        <w:spacing w:after="0" w:line="158"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relates to the compensation of our NEOs whose compensation is disclosed below in the “Summary Compensation Table,” as well as the overall principles underlying our executive compensation policies as we move toward becoming a public company.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69" w:lineRule="exact"/>
        <w:rPr>
          <w:sz w:val="20"/>
          <w:szCs w:val="20"/>
          <w:color w:val="auto"/>
        </w:rPr>
      </w:pPr>
    </w:p>
    <w:p>
      <w:pPr>
        <w:ind w:left="1800" w:right="459" w:hanging="180"/>
        <w:spacing w:after="0" w:line="275"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competitive compensation opportunities in order to attract and retain talented, high performing and experienced executive officers, whose knowledge, skills and performance are critical to our success;</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our executive officers to achieve our business and financial objectives;</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with those of our stockholders and our own corporate goals and objectives by tying a meaningful portion of compensation directly to the long-term value and growth of our business; and</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compensation and governance with regular review of external market best practices.</w:t>
      </w:r>
    </w:p>
    <w:p>
      <w:pPr>
        <w:spacing w:after="0" w:line="14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we transition from being a privately held company to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which may become relevant once we are a publicly traded company.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Elements of Compensation</w:t>
      </w:r>
    </w:p>
    <w:p>
      <w:pPr>
        <w:spacing w:after="0" w:line="162"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 compensation of our NEOs includes two primary elements: (i) base salary and (ii) equity compensation. Our model focuses on equity compensation as the key element of total compensation. A meaningful portion of executive pay is tied directly to stockholder outcomes and value creation through annual RSU grants.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w:t>
      </w:r>
    </w:p>
    <w:p>
      <w:pPr>
        <w:spacing w:after="0" w:line="112" w:lineRule="exact"/>
        <w:rPr>
          <w:sz w:val="20"/>
          <w:szCs w:val="20"/>
          <w:color w:val="auto"/>
        </w:rPr>
      </w:pPr>
    </w:p>
    <w:p>
      <w:pPr>
        <w:ind w:left="1260" w:right="53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Base Salaries</w:t>
      </w:r>
      <w:r>
        <w:rPr>
          <w:rFonts w:ascii="Times New Roman" w:cs="Times New Roman" w:eastAsia="Times New Roman" w:hAnsi="Times New Roman"/>
          <w:sz w:val="18"/>
          <w:szCs w:val="18"/>
          <w:color w:val="auto"/>
        </w:rPr>
        <w:t>. Base salary is provided as a fixed source of compensation for our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our NEOs. Adjustments to base salaries are expected to be determined annually and base salaries</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58" w:lineRule="auto"/>
        <w:rPr>
          <w:sz w:val="20"/>
          <w:szCs w:val="20"/>
          <w:color w:val="auto"/>
        </w:rPr>
      </w:pPr>
      <w:r>
        <w:rPr>
          <w:rFonts w:ascii="Times New Roman" w:cs="Times New Roman" w:eastAsia="Times New Roman" w:hAnsi="Times New Roman"/>
          <w:sz w:val="18"/>
          <w:szCs w:val="18"/>
          <w:color w:val="auto"/>
        </w:rPr>
        <w:t>may be increased based on the executive officer’s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100" w:lineRule="exact"/>
        <w:rPr>
          <w:sz w:val="20"/>
          <w:szCs w:val="20"/>
          <w:color w:val="auto"/>
        </w:rPr>
      </w:pPr>
    </w:p>
    <w:p>
      <w:pPr>
        <w:ind w:left="1260" w:right="81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Other Cash Compensation</w:t>
      </w:r>
      <w:r>
        <w:rPr>
          <w:rFonts w:ascii="Times New Roman" w:cs="Times New Roman" w:eastAsia="Times New Roman" w:hAnsi="Times New Roman"/>
          <w:sz w:val="18"/>
          <w:szCs w:val="18"/>
          <w:color w:val="auto"/>
        </w:rPr>
        <w:t>. We do not currently provide our NEOs with annual cash incentives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regular cash bonuses or sales commissions.</w:t>
      </w:r>
    </w:p>
    <w:p>
      <w:pPr>
        <w:spacing w:after="0" w:line="91"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Equity based compensation is provided to our NEOs to align their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those of our stockholders and is a significant component of our compensation program. Annual equity awards are generally made through time- and on occasion, performance-based restricted stock units, providing long-term incentives differentiated based on talent assessment, level of contribution and performance. The key features of our equity compensation program are described below under “— Equity-Based Compensation Prior to the Offering.” We adopted a new equity incentive plan in connection with the Offering, as described below under “— Equity-Based Compensation Following the Offering.”</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Compensation</w:t>
      </w:r>
    </w:p>
    <w:p>
      <w:pPr>
        <w:spacing w:after="0" w:line="148" w:lineRule="exact"/>
        <w:rPr>
          <w:sz w:val="20"/>
          <w:szCs w:val="20"/>
          <w:color w:val="auto"/>
        </w:rPr>
      </w:pPr>
    </w:p>
    <w:p>
      <w:pPr>
        <w:ind w:left="1260" w:right="559" w:firstLine="360"/>
        <w:spacing w:after="0" w:line="246" w:lineRule="auto"/>
        <w:rPr>
          <w:sz w:val="20"/>
          <w:szCs w:val="20"/>
          <w:color w:val="auto"/>
        </w:rPr>
      </w:pPr>
      <w:r>
        <w:rPr>
          <w:rFonts w:ascii="Times New Roman" w:cs="Times New Roman" w:eastAsia="Times New Roman" w:hAnsi="Times New Roman"/>
          <w:sz w:val="18"/>
          <w:szCs w:val="18"/>
          <w:color w:val="auto"/>
        </w:rPr>
        <w:t>In fiscal year 2021 and generally in prior years, the appropriate levels of annual salary and equity compensation for our NEOs (other than our CEO) were determined by our CEO, who provided his determinations to Intel’s human resources department, which communicated such determinations for consideration and final approval by the compensation committee of Intel’s board of directors. Such determinations took into account each NEO’s experience and roles as well the compensation practices of similar companies in our industry. Our CEO’s compensation has generally been determined by the compensation committee of Intel’s board of directors upon recommendations from Intel’s human resources department.</w:t>
      </w:r>
    </w:p>
    <w:p>
      <w:pPr>
        <w:spacing w:after="0" w:line="11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Following our transition to being a publicly traded company, our compensation committee will be responsible for, or will assist our board of directors, in fulfilling its governance and supervisory responsibilities, and overseeing our human resources, succession planning, and compensation policies, processes and practices. Our compensation committee will also be responsible for ensuring that our compensation policies and practices appropriately balance of risk and reward consistent with our risk profile and do not encourage excessive risk-taking behavior by our executive officers, including our NEOs.</w:t>
      </w:r>
    </w:p>
    <w:p>
      <w:pPr>
        <w:spacing w:after="0" w:line="114"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Upon the closing of this offering, our board of directors will adopt a written charter for the compensation committee, setting out its responsibilities for administering our compensation programs and, as applicable, reviewing and making recommendations to our board of directors concerning the level and nature of the compensation payable to our directors and officers. The compensation committee’s oversight will include reviewing compensation objectives, evaluating performance, and ensuring that total compensation paid to executive officers, including our NEOs, is reasonable, and consistent with the objectives and philosophy of our compensation program.</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16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In connection with this offering, 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Generally, initial salaries of our NEOs were established through arm’s length negotiation at the time the individual executive officer was hired. Following the determination of initial salaries, over the years we have been conducting annual reviews of each NEO’s base salary and have adjusted as necessary to reflect individual contributions and responsibilities and to maintain market competitiveness.</w:t>
      </w:r>
    </w:p>
    <w:p>
      <w:pPr>
        <w:spacing w:after="0" w:line="110" w:lineRule="exact"/>
        <w:rPr>
          <w:sz w:val="20"/>
          <w:szCs w:val="20"/>
          <w:color w:val="auto"/>
        </w:rPr>
      </w:pPr>
    </w:p>
    <w:p>
      <w:pPr>
        <w:ind w:left="1260" w:right="859" w:firstLine="360"/>
        <w:spacing w:after="0" w:line="266" w:lineRule="auto"/>
        <w:rPr>
          <w:sz w:val="20"/>
          <w:szCs w:val="20"/>
          <w:color w:val="auto"/>
        </w:rPr>
      </w:pPr>
      <w:r>
        <w:rPr>
          <w:rFonts w:ascii="Times New Roman" w:cs="Times New Roman" w:eastAsia="Times New Roman" w:hAnsi="Times New Roman"/>
          <w:sz w:val="18"/>
          <w:szCs w:val="18"/>
          <w:color w:val="auto"/>
        </w:rPr>
        <w:t>In fiscal year 2021, our NEOs received the following base salaries in accordance with the policies described above: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2021 Salary</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2020 Salary</w:t>
            </w:r>
            <w:r>
              <w:rPr>
                <w:rFonts w:ascii="Times New Roman" w:cs="Times New Roman" w:eastAsia="Times New Roman" w:hAnsi="Times New Roman"/>
                <w:sz w:val="17"/>
                <w:szCs w:val="17"/>
                <w:b w:val="1"/>
                <w:bCs w:val="1"/>
                <w:color w:val="auto"/>
                <w:w w:val="95"/>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Percentage</w:t>
            </w:r>
          </w:p>
        </w:tc>
        <w:tc>
          <w:tcPr>
            <w:tcW w:w="60" w:type="dxa"/>
            <w:vAlign w:val="bottom"/>
          </w:tcPr>
          <w:p>
            <w:pPr>
              <w:spacing w:after="0"/>
              <w:rPr>
                <w:sz w:val="17"/>
                <w:szCs w:val="17"/>
                <w:color w:val="auto"/>
              </w:rPr>
            </w:pPr>
          </w:p>
        </w:tc>
      </w:tr>
      <w:tr>
        <w:trPr>
          <w:trHeight w:val="214"/>
        </w:trPr>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263,417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198,674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265,780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761,175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761,175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261,960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263,893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5437505</wp:posOffset>
            </wp:positionH>
            <wp:positionV relativeFrom="paragraph">
              <wp:posOffset>-856615</wp:posOffset>
            </wp:positionV>
            <wp:extent cx="137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-856615</wp:posOffset>
            </wp:positionV>
            <wp:extent cx="137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-856615</wp:posOffset>
            </wp:positionV>
            <wp:extent cx="137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479" w:hanging="360"/>
        <w:spacing w:after="0" w:line="261"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salary figures include an amount reflecting global overtime and a high-tech addition, which is a fixed salary component for each NEO, as applicable. Such component was cancelled in March 2022, to all of the Company's employees, and the component amount was divided between the base salary and global overtime component.</w:t>
      </w:r>
    </w:p>
    <w:p>
      <w:pPr>
        <w:spacing w:after="0" w:line="4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 Shashua’s monthly salary was increased in August 2020 to $21,951.41 in order to align his salary with the salaries of the Company's executive vice presidents. The amounts in the table represent the adjusted salary and percentage increase to reflect the mid-year salary increase.</w:t>
      </w:r>
    </w:p>
    <w:p>
      <w:pPr>
        <w:spacing w:after="0" w:line="40"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Mr. Dagan’s 2020 salary and his 2021 salary is the result of unpaid absence days taken in 2021 rather than a determination of a smaller base salary.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 Retirement and Welfare Benefits</w:t>
      </w:r>
    </w:p>
    <w:p>
      <w:pPr>
        <w:spacing w:after="0" w:line="14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87" w:lineRule="exact"/>
        <w:rPr>
          <w:sz w:val="20"/>
          <w:szCs w:val="20"/>
          <w:color w:val="auto"/>
        </w:rPr>
      </w:pPr>
    </w:p>
    <w:p>
      <w:pPr>
        <w:ind w:left="1800" w:right="579" w:hanging="180"/>
        <w:spacing w:after="0" w:line="254"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Pension and Severance Benefits</w:t>
      </w:r>
      <w:r>
        <w:rPr>
          <w:rFonts w:ascii="Times New Roman" w:cs="Times New Roman" w:eastAsia="Times New Roman" w:hAnsi="Times New Roman"/>
          <w:sz w:val="18"/>
          <w:szCs w:val="18"/>
          <w:color w:val="auto"/>
        </w:rPr>
        <w:t>. In Israel, we generally provide our executives, including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w:t>
      </w:r>
    </w:p>
    <w:p>
      <w:pPr>
        <w:spacing w:after="0" w:line="1" w:lineRule="exact"/>
        <w:rPr>
          <w:rFonts w:ascii="Times New Roman" w:cs="Times New Roman" w:eastAsia="Times New Roman" w:hAnsi="Times New Roman"/>
          <w:sz w:val="18"/>
          <w:szCs w:val="18"/>
          <w:color w:val="auto"/>
        </w:rPr>
      </w:pPr>
    </w:p>
    <w:p>
      <w:pPr>
        <w:ind w:left="180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w:t>
      </w:r>
    </w:p>
    <w:p>
      <w:pPr>
        <w:spacing w:after="0" w:line="82"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Health and Welfare Plans</w:t>
      </w:r>
      <w:r>
        <w:rPr>
          <w:rFonts w:ascii="Times New Roman" w:cs="Times New Roman" w:eastAsia="Times New Roman" w:hAnsi="Times New Roman"/>
          <w:sz w:val="18"/>
          <w:szCs w:val="18"/>
          <w:color w:val="auto"/>
        </w:rPr>
        <w:t>. Generally, benefits available to our Israel-based employees are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w:t>
      </w:r>
    </w:p>
    <w:p>
      <w:pPr>
        <w:ind w:left="1800" w:right="5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also include payments for national health insurance. The payments to the National Insurance Institute amount to approximately 19.6% of wages (up to monthly wages of approx. NIS 45,075, approximately $14,314), of which the employee contributes approximately 7% toward natural insurance and 5% toward national health insurance and the employer contributes approximately 7.6% toward national insurance.</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Benefits and Perquisites</w:t>
      </w:r>
    </w:p>
    <w:p>
      <w:pPr>
        <w:spacing w:after="0" w:line="106" w:lineRule="exact"/>
        <w:rPr>
          <w:sz w:val="20"/>
          <w:szCs w:val="20"/>
          <w:color w:val="auto"/>
        </w:rPr>
      </w:pPr>
    </w:p>
    <w:p>
      <w:pPr>
        <w:ind w:left="1800" w:right="419" w:hanging="180"/>
        <w:spacing w:after="0" w:line="258"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Lease of Automobiles</w:t>
      </w:r>
      <w:r>
        <w:rPr>
          <w:rFonts w:ascii="Times New Roman" w:cs="Times New Roman" w:eastAsia="Times New Roman" w:hAnsi="Times New Roman"/>
          <w:sz w:val="18"/>
          <w:szCs w:val="18"/>
          <w:color w:val="auto"/>
        </w:rPr>
        <w:t>. As is customary in Israel, we lease automobiles for certain of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for Anat Heller and Shai Shalev-Shwartz. The lease amount and the applicable taxes are deducted from Ms. Heller’s salary on a monthly basis (NIS 4,900, approximately $1,556, per month). Prof. Shwartz’s automobile lease is paid for by the Company and Prof. Shwartz pays for the taxes incurred in connection with this benefit.</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Prior to the Offering</w:t>
      </w:r>
    </w:p>
    <w:p>
      <w:pPr>
        <w:spacing w:after="0" w:line="148"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Until the date of this offering, executive officers of the Company have been incentivized and rewarded through the grant of Intel equity awards under the Intel Corporation 2006 Equity Incentive Plan (the “</w:t>
      </w:r>
      <w:r>
        <w:rPr>
          <w:rFonts w:ascii="Times New Roman" w:cs="Times New Roman" w:eastAsia="Times New Roman" w:hAnsi="Times New Roman"/>
          <w:sz w:val="18"/>
          <w:szCs w:val="18"/>
          <w:u w:val="single" w:color="auto"/>
          <w:color w:val="auto"/>
        </w:rPr>
        <w:t>Intel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Equity awards were granted under the Intel Plan to our executive officers, including our NEOs, based upon the recommendation of our CEO and subject to the approval of the compensation committee of Intel’s board of directors. The CEO recommends the grant of equity awards based on the value and contributions of each executive to the Company as well as market conditions and the equity compensation of high technology talent in Israel. Our CEO’s compensation has generally been determined by the compensation committee of Intel’s board of directors upon recommendations from Intel’s human resources department.</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prior years, including in fiscal year 2021, the key component of our equity- based compensation program has been the grant of restricted stock units. All outstanding equity awards awarded under the Intel Plan that were granted prior to the offering will continue to vest and remain outstanding under the Intel Plan following the offering. Equity awards outstanding as of December 25, 2021 are set forth in the “Outstanding Equity Awards at Fiscal Year-End Table” below. It is anticipated that new equity awards in the form of restricted stock units, or other forms of awards that may be approved by our compensation committee from time to time following the offering, will be granted pursuant to the Company’s 2022 Equity Incentive Plan, as described in further detail below.</w:t>
      </w:r>
    </w:p>
    <w:p>
      <w:pPr>
        <w:spacing w:after="0" w:line="119"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In fiscal year 2021, our NEOs received the following equity award grants in accordance with the process and policies described above:</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Number of</w:t>
            </w:r>
          </w:p>
        </w:tc>
      </w:tr>
      <w:tr>
        <w:trPr>
          <w:trHeight w:val="214"/>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20" w:type="dxa"/>
            <w:vAlign w:val="bottom"/>
            <w:gridSpan w:val="2"/>
          </w:tcPr>
          <w:p>
            <w:pPr>
              <w:ind w:left="2300"/>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Intel RSUs </w:t>
            </w:r>
            <w:r>
              <w:rPr>
                <w:rFonts w:ascii="Times New Roman" w:cs="Times New Roman" w:eastAsia="Times New Roman" w:hAnsi="Times New Roman"/>
                <w:sz w:val="24"/>
                <w:szCs w:val="24"/>
                <w:b w:val="1"/>
                <w:bCs w:val="1"/>
                <w:color w:val="auto"/>
                <w:vertAlign w:val="subscript"/>
              </w:rPr>
              <w:t>​</w:t>
            </w:r>
          </w:p>
        </w:tc>
      </w:tr>
      <w:tr>
        <w:trPr>
          <w:trHeight w:val="20"/>
        </w:trPr>
        <w:tc>
          <w:tcPr>
            <w:tcW w:w="4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w:t>
            </w:r>
          </w:p>
        </w:tc>
        <w:tc>
          <w:tcPr>
            <w:tcW w:w="230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 ​ ​   —</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Anat Heller</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​11,121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w:t>
            </w:r>
          </w:p>
        </w:tc>
        <w:tc>
          <w:tcPr>
            <w:tcW w:w="23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​66,724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w:t>
            </w:r>
          </w:p>
        </w:tc>
        <w:tc>
          <w:tcPr>
            <w:tcW w:w="230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​41,663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w:t>
            </w:r>
          </w:p>
        </w:tc>
        <w:tc>
          <w:tcPr>
            <w:tcW w:w="23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​41,663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5206365</wp:posOffset>
            </wp:positionH>
            <wp:positionV relativeFrom="paragraph">
              <wp:posOffset>-831215</wp:posOffset>
            </wp:positionV>
            <wp:extent cx="137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Restricted stock units have been granted under the Intel Plan to our executive officers annually, typically in October. Our CEO evaluates the awards to be granted to the management team, including our NEOs, and recommends such awards to Intel’s human resources department, who then seeks the approval of Intel’s compensation committee. The CEO evaluates performance as well as prior year targets when making recommendations. The restricted stock unit awards typically vest annually over a three-year period, subject to continued employment with the Company. In October 2021, the compensation committee of Intel’s board of directors approved grants of restricted stock units to our executive officers as set forth in the “Summary Compensation Table” and “Grants of Plan-Based Awards Table in the Fiscal Year Ended December 25, 2021,” below.</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Option Awards</w:t>
      </w:r>
    </w:p>
    <w:p>
      <w:pPr>
        <w:spacing w:after="0" w:line="146"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2017, when Mobileye was acquired by Intel, certain option awards held by then-current executives were converted into Intel option awards (the “</w:t>
      </w:r>
      <w:r>
        <w:rPr>
          <w:rFonts w:ascii="Times New Roman" w:cs="Times New Roman" w:eastAsia="Times New Roman" w:hAnsi="Times New Roman"/>
          <w:sz w:val="18"/>
          <w:szCs w:val="18"/>
          <w:u w:val="single" w:color="auto"/>
          <w:color w:val="auto"/>
        </w:rPr>
        <w:t>2017 Options</w:t>
      </w:r>
      <w:r>
        <w:rPr>
          <w:rFonts w:ascii="Times New Roman" w:cs="Times New Roman" w:eastAsia="Times New Roman" w:hAnsi="Times New Roman"/>
          <w:sz w:val="18"/>
          <w:szCs w:val="18"/>
          <w:color w:val="auto"/>
        </w:rPr>
        <w:t>”). As of 2021 fiscal year end, all 2017 Options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that were granted to our NEOs are fully vested. The option awards exercised in fiscal year 2021 are set forth in the “Option Exercises and Stock Vested Table” below. The 2017 Options that remain outstanding are reflected in the “Outstanding Equity Awards at Fiscal Year-End Table” below. Since Mobileye was acquired by Intel in 2017, executives have been granted only time-based restricted stock units, except for the performance-based awards granted to Erez Dagan, as summarized below.</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160"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Performance awards may be granted to our NEOs on occasion. When granted, they are intended to align interests of executives with those of stockholders through the use of measures the Company believes drives its long-term success. The compensation committee of Intel’s board of directors granted a performance-based equity award to our NEO, Erez Dagan, who is currently the only NEO who holds a performance-based equity award, as further described below. We may also consider performance based equity to our CEO from time to time.</w:t>
      </w:r>
    </w:p>
    <w:p>
      <w:pPr>
        <w:spacing w:after="0" w:line="120"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performance-based equity awards granted to Mr. Dagan are reflected in the “Outstanding Equity Awards at Fiscal Year-End Table” below. In fiscal year 2021, we did not grant any performance-based awards to our NEOs.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Following the Offering</w:t>
      </w:r>
    </w:p>
    <w:p>
      <w:pPr>
        <w:spacing w:after="0" w:line="148"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Following the offering, the Company will establish a compensation committee that will be responsible for making recommendations for equity awards to be granted to our executive officers. In connection with the offering, the Company has adopted the Mobileye Group Inc. 2022 Equity Incentive Plan, which will be renamed the Mobileye Holdings Inc. 2022 Equity Incentive Plan in connection with this offering (the “</w:t>
      </w:r>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was adopted by our board of directors on January 30, 2022 and approved by our stockholders on               , 2022. The 2022 Plan will allow the compensation committee to make equity-based incentive awards to our employees, consultants and outside directors.</w:t>
      </w:r>
    </w:p>
    <w:p>
      <w:pPr>
        <w:spacing w:after="0" w:line="119" w:lineRule="exact"/>
        <w:rPr>
          <w:sz w:val="20"/>
          <w:szCs w:val="20"/>
          <w:color w:val="auto"/>
        </w:rPr>
      </w:pPr>
    </w:p>
    <w:p>
      <w:pPr>
        <w:ind w:left="1620"/>
        <w:spacing w:after="0"/>
        <w:tabs>
          <w:tab w:leader="none" w:pos="3180" w:val="left"/>
        </w:tabs>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maximum number of shares that may be issued under the 2022 Plan will be</w:t>
      </w:r>
    </w:p>
    <w:p>
      <w:pPr>
        <w:spacing w:after="0" w:line="29" w:lineRule="exact"/>
        <w:rPr>
          <w:sz w:val="20"/>
          <w:szCs w:val="20"/>
          <w:color w:val="auto"/>
        </w:rPr>
      </w:pPr>
    </w:p>
    <w:p>
      <w:pPr>
        <w:ind w:left="1260" w:right="719"/>
        <w:spacing w:after="0" w:line="255" w:lineRule="auto"/>
        <w:tabs>
          <w:tab w:leader="none" w:pos="13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subject to adjustment upon certain changes in the Company’s capitalization. The shares issued under the 2022 Plan may be authorized and unissued shares, or reacquired common stock, including shares purchased by the Company on the open market for purposes of the plan.</w:t>
      </w:r>
    </w:p>
    <w:p>
      <w:pPr>
        <w:spacing w:after="0" w:line="11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share reserve under the 2022 Plan will be subject to adjustment in the event of a stock dividend, stock split, combination of shares, extraordinary dividend of cash and/or assets, recapitalization, reorganization or any similar equity restructuring transacting affecting shares. Any shares subject to an award which for any reason expires or terminates unexercised or is not earned in full may again be made subject to an award under the plan; however,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 The maximum number of shares that may be issued as incentive stock options under the 2022 Plan may not exceed               shares.</w:t>
      </w:r>
    </w:p>
    <w:p>
      <w:pPr>
        <w:spacing w:after="0" w:line="321" w:lineRule="exact"/>
        <w:rPr>
          <w:sz w:val="20"/>
          <w:szCs w:val="20"/>
          <w:color w:val="auto"/>
        </w:rPr>
      </w:pPr>
    </w:p>
    <w:p>
      <w:pPr>
        <w:ind w:left="1260" w:right="53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2022 Plan will be administered by our compensation committee.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will have full power to take the following actions, subject to the provisions of the 2022 Plan:</w:t>
      </w:r>
    </w:p>
    <w:p>
      <w:pPr>
        <w:spacing w:after="0" w:line="295" w:lineRule="exact"/>
        <w:rPr>
          <w:sz w:val="20"/>
          <w:szCs w:val="20"/>
          <w:color w:val="auto"/>
        </w:rPr>
      </w:pPr>
    </w:p>
    <w:p>
      <w:pPr>
        <w:ind w:left="1800" w:right="559" w:hanging="180"/>
        <w:spacing w:after="0" w:line="266"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2022 Plan, including the forms of award agreement and manner of acceptance of an award, and to take or approve such further actions as it determines necessary or appropriate to the administration of the 2022 Plan and awards;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persons are eligible to receive awards and to grant awards to such persons;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or vary the extent of satisfaction of any performance goals or other conditions applicable to the grant, issuance, exercisability, vesting and/or ability to retain any award;</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7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and amend the terms of the agreements or other documents evidencing awards made under the plan;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and the extent to which, adjustments are required;</w:t>
      </w:r>
    </w:p>
    <w:p>
      <w:pPr>
        <w:spacing w:after="0" w:line="117"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any award, without consideration, and without requirement of the consent of the participant;</w:t>
      </w:r>
    </w:p>
    <w:p>
      <w:pPr>
        <w:spacing w:after="0" w:line="53" w:lineRule="exact"/>
        <w:rPr>
          <w:rFonts w:ascii="Times New Roman" w:cs="Times New Roman" w:eastAsia="Times New Roman" w:hAnsi="Times New Roman"/>
          <w:sz w:val="18"/>
          <w:szCs w:val="18"/>
          <w:color w:val="auto"/>
        </w:rPr>
      </w:pPr>
    </w:p>
    <w:p>
      <w:pPr>
        <w:ind w:left="1800" w:right="93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and construe the plan and any rules and regulations under the 2022 Plan and award granted thereunder;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the 2022 Plan.</w:t>
      </w:r>
    </w:p>
    <w:p>
      <w:pPr>
        <w:spacing w:after="0" w:line="92" w:lineRule="exact"/>
        <w:rPr>
          <w:sz w:val="20"/>
          <w:szCs w:val="20"/>
          <w:color w:val="auto"/>
        </w:rPr>
      </w:pPr>
    </w:p>
    <w:p>
      <w:pPr>
        <w:ind w:left="1260" w:right="5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2022 Plan will be those employees, outside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consultants, as selected from time to time by our compensation committee in its discretion.</w:t>
      </w:r>
    </w:p>
    <w:p>
      <w:pPr>
        <w:spacing w:after="0" w:line="91"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2022 Plan permits the granting of both options to purchase common stock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incentive stock options under Section 422 of the Code and options that do not so qualify. The option exercise price of each option will be determined by our compensation committee but may not, generally,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01"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Our compensation committee will be able to award stock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subject to such conditions and restrictions as it may determine.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1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Our compensation committee will be able to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of common stock and RSUs to participants subject to such conditions and restrictions as it may determine. These conditions and restrictions may include the achievement of certain performance goals and/or continued employment with us through a specified vesting period. No condition that is based on performance criteria and level of achievement versus such criteria shall be based on performance over a period of less than one year. Dividends or dividend equivalent rights shall be payable in cash or in additional shares with respect to RSUs only to the extent specifically provided for by the compensation committee.</w:t>
      </w:r>
    </w:p>
    <w:p>
      <w:pPr>
        <w:spacing w:after="0" w:line="337"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Subject to certain restrictions, our board of directors may amend, alter or discontinue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Plan and the board of directors or the compensation committee may to the extent permitted by the 2022 Plan, amend any award agreement, provided that stockholder approval will be obtained for any amendment required to be submitted for stockholder approval to comply with applicable stock market or exchange rules and regulations. No amendment or alteration which would impair the rights of any participant, will be made without the participant’s consent, provided, no such consent is required if the compensation committee otherwise determines in its sole discretion that such amendment or alteration either</w:t>
      </w:r>
    </w:p>
    <w:p>
      <w:pPr>
        <w:spacing w:after="0" w:line="5" w:lineRule="exact"/>
        <w:rPr>
          <w:sz w:val="20"/>
          <w:szCs w:val="20"/>
          <w:color w:val="auto"/>
        </w:rPr>
      </w:pPr>
    </w:p>
    <w:p>
      <w:pPr>
        <w:ind w:left="1260" w:right="519"/>
        <w:spacing w:after="0" w:line="253" w:lineRule="auto"/>
        <w:tabs>
          <w:tab w:leader="none" w:pos="148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required or advisable 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pacing w:after="0" w:line="108"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No awards may be granted under the 2022 Plan after the date that is ten years from the date immediately preceding the registration date and no incentive stock options may be granted under the 2022 Plan after the date that is ten years from the date the 2022 Plan was approved by the board of directors. No awards under the 2022 Plan have been made prior to the date hereof.</w:t>
      </w:r>
    </w:p>
    <w:p>
      <w:pPr>
        <w:spacing w:after="0" w:line="200" w:lineRule="exact"/>
        <w:rPr>
          <w:sz w:val="20"/>
          <w:szCs w:val="20"/>
          <w:color w:val="auto"/>
        </w:r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Equity Awards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offering, we are making the following additional equity grants to our NEOs: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Prof. Amnon Shashua:</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NEOs:</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Grant</w:t>
            </w:r>
          </w:p>
        </w:tc>
        <w:tc>
          <w:tcPr>
            <w:tcW w:w="60" w:type="dxa"/>
            <w:vAlign w:val="bottom"/>
          </w:tcPr>
          <w:p>
            <w:pPr>
              <w:spacing w:after="0"/>
              <w:rPr>
                <w:sz w:val="14"/>
                <w:szCs w:val="14"/>
                <w:color w:val="auto"/>
              </w:rPr>
            </w:pPr>
          </w:p>
        </w:tc>
      </w:tr>
      <w:tr>
        <w:trPr>
          <w:trHeight w:val="149"/>
        </w:trPr>
        <w:tc>
          <w:tcPr>
            <w:tcW w:w="6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of RSUs</w:t>
            </w:r>
          </w:p>
        </w:tc>
        <w:tc>
          <w:tcPr>
            <w:tcW w:w="60" w:type="dxa"/>
            <w:vAlign w:val="bottom"/>
          </w:tcPr>
          <w:p>
            <w:pPr>
              <w:spacing w:after="0"/>
              <w:rPr>
                <w:sz w:val="12"/>
                <w:szCs w:val="12"/>
                <w:color w:val="auto"/>
              </w:rPr>
            </w:pPr>
          </w:p>
        </w:tc>
      </w:tr>
      <w:tr>
        <w:trPr>
          <w:trHeight w:val="227"/>
        </w:trPr>
        <w:tc>
          <w:tcPr>
            <w:tcW w:w="6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120" w:type="dxa"/>
            <w:vAlign w:val="bottom"/>
            <w:gridSpan w:val="4"/>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Grant Year </w:t>
            </w:r>
            <w:r>
              <w:rPr>
                <w:rFonts w:ascii="Times New Roman" w:cs="Times New Roman" w:eastAsia="Times New Roman" w:hAnsi="Times New Roman"/>
                <w:sz w:val="26"/>
                <w:szCs w:val="26"/>
                <w:b w:val="1"/>
                <w:bCs w:val="1"/>
                <w:color w:val="auto"/>
                <w:vertAlign w:val="subscript"/>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6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8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Gaby Hayon, Executive Vice President, Research &amp; Development</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 Strategy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2022</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-676910</wp:posOffset>
            </wp:positionV>
            <wp:extent cx="137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4837430</wp:posOffset>
            </wp:positionH>
            <wp:positionV relativeFrom="paragraph">
              <wp:posOffset>-676910</wp:posOffset>
            </wp:positionV>
            <wp:extent cx="137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ind w:left="1620" w:right="599" w:hanging="360"/>
        <w:spacing w:after="0" w:line="266"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equity grants will be in the form of RSUs and will be granted upon successful completion of the offering. The value of the award will be determined at the time of the offering and the number of shares will be determined at that time based on the total target amount reflected in the table.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Compensation/Benefit Programs Following this Offering</w:t>
      </w:r>
    </w:p>
    <w:p>
      <w:pPr>
        <w:spacing w:after="0" w:line="162" w:lineRule="exact"/>
        <w:rPr>
          <w:sz w:val="20"/>
          <w:szCs w:val="20"/>
          <w:color w:val="auto"/>
        </w:rPr>
      </w:pPr>
    </w:p>
    <w:p>
      <w:pPr>
        <w:ind w:left="1260" w:right="103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offering, we have not established any additional compensation plans and programs other than the 2022 Plan and the awards granted thereunder.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on Executive Compensation</w:t>
      </w:r>
    </w:p>
    <w:p>
      <w:pPr>
        <w:spacing w:after="0" w:line="16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“Executive Compensation — Compensation Discussion and Analysis” section with our management. Based upon this review and discussion, it was recommended to include the Compensation Discussion and Analysis in this S-1.</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50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88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3"/>
                <w:vertAlign w:val="subscript"/>
              </w:rPr>
              <w:t>($)</w:t>
            </w:r>
            <w:r>
              <w:rPr>
                <w:rFonts w:ascii="Times New Roman" w:cs="Times New Roman" w:eastAsia="Times New Roman" w:hAnsi="Times New Roman"/>
                <w:sz w:val="8"/>
                <w:szCs w:val="8"/>
                <w:b w:val="1"/>
                <w:bCs w:val="1"/>
                <w:color w:val="auto"/>
                <w:w w:val="93"/>
              </w:rPr>
              <w:t>(3)1</w:t>
            </w:r>
          </w:p>
        </w:tc>
        <w:tc>
          <w:tcPr>
            <w:tcW w:w="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166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 ​​2021​​ ​​263,417​​ ​ </w:t>
            </w: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200" w:type="dxa"/>
            <w:vAlign w:val="bottom"/>
            <w:gridSpan w:val="4"/>
            <w:shd w:val="clear" w:color="auto" w:fill="CCEEFF"/>
          </w:tcPr>
          <w:p>
            <w:pPr>
              <w:jc w:val="right"/>
              <w:ind w:right="60"/>
              <w:spacing w:after="0" w:line="250" w:lineRule="exact"/>
              <w:rPr>
                <w:sz w:val="20"/>
                <w:szCs w:val="20"/>
                <w:color w:val="auto"/>
              </w:rPr>
            </w:pPr>
            <w:r>
              <w:rPr>
                <w:rFonts w:ascii="Times New Roman" w:cs="Times New Roman" w:eastAsia="Times New Roman" w:hAnsi="Times New Roman"/>
                <w:sz w:val="18"/>
                <w:szCs w:val="18"/>
                <w:color w:val="auto"/>
              </w:rPr>
              <w:t>​68,952</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332,369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166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xml:space="preserve">​ ​​2021​​ ​​265,780​​ ​ </w:t>
            </w:r>
            <w:r>
              <w:rPr>
                <w:rFonts w:ascii="Times New Roman" w:cs="Times New Roman" w:eastAsia="Times New Roman" w:hAnsi="Times New Roman"/>
                <w:sz w:val="18"/>
                <w:szCs w:val="18"/>
                <w:b w:val="1"/>
                <w:bCs w:val="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511,897 ​​ ​</w:t>
            </w:r>
          </w:p>
        </w:tc>
        <w:tc>
          <w:tcPr>
            <w:tcW w:w="880" w:type="dxa"/>
            <w:vAlign w:val="bottom"/>
          </w:tcPr>
          <w:p>
            <w:pPr>
              <w:jc w:val="right"/>
              <w:spacing w:after="0" w:line="256" w:lineRule="exact"/>
              <w:rPr>
                <w:sz w:val="20"/>
                <w:szCs w:val="20"/>
                <w:color w:val="auto"/>
              </w:rPr>
            </w:pPr>
            <w:r>
              <w:rPr>
                <w:rFonts w:ascii="Times New Roman" w:cs="Times New Roman" w:eastAsia="Times New Roman" w:hAnsi="Times New Roman"/>
                <w:sz w:val="18"/>
                <w:szCs w:val="18"/>
                <w:color w:val="auto"/>
              </w:rPr>
              <w:t>​57,317</w:t>
            </w:r>
            <w:r>
              <w:rPr>
                <w:rFonts w:ascii="Times New Roman" w:cs="Times New Roman" w:eastAsia="Times New Roman" w:hAnsi="Times New Roman"/>
                <w:sz w:val="23"/>
                <w:szCs w:val="23"/>
                <w:color w:val="auto"/>
                <w:vertAlign w:val="superscript"/>
              </w:rPr>
              <w:t>(5)</w:t>
            </w: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834,994​</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31,441</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3,863,903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25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761,175​​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3,071,287 ​​ ​</w:t>
            </w:r>
          </w:p>
        </w:tc>
        <w:tc>
          <w:tcPr>
            <w:tcW w:w="1820" w:type="dxa"/>
            <w:vAlign w:val="bottom"/>
            <w:gridSpan w:val="5"/>
            <w:vMerge w:val="continue"/>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 Executive Vice President,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62,686</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2,244,315​</w:t>
            </w:r>
          </w:p>
        </w:tc>
        <w:tc>
          <w:tcPr>
            <w:tcW w:w="0" w:type="dxa"/>
            <w:vAlign w:val="bottom"/>
          </w:tcPr>
          <w:p>
            <w:pPr>
              <w:spacing w:after="0"/>
              <w:rPr>
                <w:sz w:val="1"/>
                <w:szCs w:val="1"/>
                <w:color w:val="auto"/>
              </w:rPr>
            </w:pPr>
          </w:p>
        </w:tc>
      </w:tr>
      <w:tr>
        <w:trPr>
          <w:trHeight w:val="24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5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263,893​​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1,917,736 ​​ ​</w:t>
            </w:r>
          </w:p>
        </w:tc>
        <w:tc>
          <w:tcPr>
            <w:tcW w:w="1880" w:type="dxa"/>
            <w:vAlign w:val="bottom"/>
            <w:gridSpan w:val="6"/>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2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63,170</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2,242,866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250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2021​​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261,960​​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1,917,736 ​​ ​</w:t>
            </w:r>
          </w:p>
        </w:tc>
        <w:tc>
          <w:tcPr>
            <w:tcW w:w="1820" w:type="dxa"/>
            <w:vAlign w:val="bottom"/>
            <w:gridSpan w:val="5"/>
            <w:vMerge w:val="continue"/>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5420360</wp:posOffset>
            </wp:positionH>
            <wp:positionV relativeFrom="paragraph">
              <wp:posOffset>-1242695</wp:posOffset>
            </wp:positionV>
            <wp:extent cx="1200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-1242695</wp:posOffset>
            </wp:positionV>
            <wp:extent cx="12001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-1242695</wp:posOffset>
            </wp:positionV>
            <wp:extent cx="12001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-1242695</wp:posOffset>
            </wp:positionV>
            <wp:extent cx="1200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-1242695</wp:posOffset>
            </wp:positionV>
            <wp:extent cx="1111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jc w:val="both"/>
        <w:ind w:left="1620" w:right="799" w:hanging="360"/>
        <w:spacing w:after="0" w:line="266"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paid in NIS. The amounts are converted according to the closing foreign exchange rate U.S. dollar/​NIS for December 25, 2021 at $3.149. The salary figure includes the NEO’s base salary and global overtime.</w:t>
      </w:r>
    </w:p>
    <w:p>
      <w:pPr>
        <w:spacing w:after="0" w:line="27"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48" w:lineRule="exact"/>
        <w:rPr>
          <w:rFonts w:ascii="Times New Roman" w:cs="Times New Roman" w:eastAsia="Times New Roman" w:hAnsi="Times New Roman"/>
          <w:sz w:val="18"/>
          <w:szCs w:val="18"/>
          <w:color w:val="auto"/>
        </w:rPr>
      </w:pPr>
    </w:p>
    <w:p>
      <w:pPr>
        <w:ind w:left="1620" w:right="539" w:hanging="360"/>
        <w:spacing w:after="0" w:line="261" w:lineRule="auto"/>
        <w:tabs>
          <w:tab w:leader="none" w:pos="1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include benefits and perquisites, including those mandated by Israeli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40" w:hanging="360"/>
        <w:spacing w:after="0" w:line="266"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Prof. Amnon Shashua represents pension benefit contributions of $39,188, an Advanced Study Fund contribution of $15,805, a patent grant cash award of $7,302, and other miscellaneous benefits.</w:t>
      </w:r>
    </w:p>
    <w:p>
      <w:pPr>
        <w:spacing w:after="0" w:line="40" w:lineRule="exact"/>
        <w:rPr>
          <w:rFonts w:ascii="Times New Roman" w:cs="Times New Roman" w:eastAsia="Times New Roman" w:hAnsi="Times New Roman"/>
          <w:sz w:val="18"/>
          <w:szCs w:val="18"/>
          <w:color w:val="auto"/>
        </w:rPr>
      </w:pPr>
    </w:p>
    <w:p>
      <w:pPr>
        <w:ind w:left="1620" w:right="1020" w:hanging="360"/>
        <w:spacing w:after="0" w:line="275"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Anat Heller represents pension benefit contributions of $37,823, an Advanced Study Fund contribution of $14,984, and other miscellaneous benefits.</w:t>
      </w:r>
    </w:p>
    <w:p>
      <w:pPr>
        <w:spacing w:after="0" w:line="241" w:lineRule="exact"/>
        <w:rPr>
          <w:rFonts w:ascii="Times New Roman" w:cs="Times New Roman" w:eastAsia="Times New Roman" w:hAnsi="Times New Roman"/>
          <w:sz w:val="18"/>
          <w:szCs w:val="18"/>
          <w:color w:val="auto"/>
        </w:rPr>
      </w:pPr>
    </w:p>
    <w:p>
      <w:pPr>
        <w:ind w:left="1620" w:right="960" w:hanging="360"/>
        <w:spacing w:after="0" w:line="266"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Prof. Shai Shalev represents a pension benefit contribution of $6,782, a patent grant cash award of $6,968, an automobile allowance of $11,813, and other miscellaneous benefits.</w:t>
      </w:r>
    </w:p>
    <w:p>
      <w:pPr>
        <w:spacing w:after="0" w:line="27" w:lineRule="exact"/>
        <w:rPr>
          <w:rFonts w:ascii="Times New Roman" w:cs="Times New Roman" w:eastAsia="Times New Roman" w:hAnsi="Times New Roman"/>
          <w:sz w:val="18"/>
          <w:szCs w:val="18"/>
          <w:color w:val="auto"/>
        </w:rPr>
      </w:pPr>
    </w:p>
    <w:p>
      <w:pPr>
        <w:ind w:left="1620" w:right="1020" w:hanging="360"/>
        <w:spacing w:after="0" w:line="266"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Dr. Gaby Hayon represents pension benefit contributions of $40,587, an Advanced Study Fund contribution of $16,033, and other miscellaneous benefits.</w:t>
      </w:r>
    </w:p>
    <w:p>
      <w:pPr>
        <w:spacing w:after="0" w:line="40" w:lineRule="exact"/>
        <w:rPr>
          <w:rFonts w:ascii="Times New Roman" w:cs="Times New Roman" w:eastAsia="Times New Roman" w:hAnsi="Times New Roman"/>
          <w:sz w:val="18"/>
          <w:szCs w:val="18"/>
          <w:color w:val="auto"/>
        </w:rPr>
      </w:pPr>
    </w:p>
    <w:p>
      <w:pPr>
        <w:ind w:left="1620" w:right="1020" w:hanging="360"/>
        <w:spacing w:after="0" w:line="275" w:lineRule="auto"/>
        <w:tabs>
          <w:tab w:leader="none" w:pos="1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 Other Compensation” amount reported for Erez Dagan represents pension benefit contributions of $39,856, an Advanced Study Fund contribution of $15,903, and other miscellaneous benefits.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the Year Ended December 25, 2021</w:t>
      </w:r>
    </w:p>
    <w:p>
      <w:pPr>
        <w:spacing w:after="0" w:line="19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8"/>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w w:val="98"/>
              </w:rPr>
              <w:t>Estimated Future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9"/>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Estimated Future Payouts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8"/>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Payouts Under</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Closing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35"/>
        </w:trPr>
        <w:tc>
          <w:tcPr>
            <w:tcW w:w="2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9"/>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w w:val="97"/>
              </w:rPr>
              <w:t>Non-Equity Incentive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9"/>
          </w:tcPr>
          <w:p>
            <w:pPr>
              <w:ind w:left="140"/>
              <w:spacing w:after="0" w:line="135" w:lineRule="exact"/>
              <w:rPr>
                <w:sz w:val="20"/>
                <w:szCs w:val="20"/>
                <w:color w:val="auto"/>
              </w:rPr>
            </w:pPr>
            <w:r>
              <w:rPr>
                <w:rFonts w:ascii="Times New Roman" w:cs="Times New Roman" w:eastAsia="Times New Roman" w:hAnsi="Times New Roman"/>
                <w:sz w:val="14"/>
                <w:szCs w:val="14"/>
                <w:b w:val="1"/>
                <w:bCs w:val="1"/>
                <w:color w:val="auto"/>
              </w:rPr>
              <w:t>Under Equity Incentive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8"/>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8"/>
          </w:tcPr>
          <w:p>
            <w:pPr>
              <w:jc w:val="center"/>
              <w:ind w:left="3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Price 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62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Stock or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7"/>
              </w:rPr>
              <w:t>Date of</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gridSpan w:val="2"/>
            <w:vMerge w:val="restart"/>
          </w:tcPr>
          <w:p>
            <w:pPr>
              <w:jc w:val="center"/>
              <w:ind w:right="68"/>
              <w:spacing w:after="0" w:line="124" w:lineRule="exact"/>
              <w:rPr>
                <w:sz w:val="20"/>
                <w:szCs w:val="20"/>
                <w:color w:val="auto"/>
              </w:rPr>
            </w:pPr>
            <w:r>
              <w:rPr>
                <w:rFonts w:ascii="Times New Roman" w:cs="Times New Roman" w:eastAsia="Times New Roman" w:hAnsi="Times New Roman"/>
                <w:sz w:val="14"/>
                <w:szCs w:val="14"/>
                <w:b w:val="1"/>
                <w:bCs w:val="1"/>
                <w:color w:val="auto"/>
                <w:w w:val="98"/>
              </w:rPr>
              <w:t>of Stock</w:t>
            </w:r>
          </w:p>
        </w:tc>
        <w:tc>
          <w:tcPr>
            <w:tcW w:w="0" w:type="dxa"/>
            <w:vAlign w:val="bottom"/>
          </w:tcPr>
          <w:p>
            <w:pPr>
              <w:spacing w:after="0"/>
              <w:rPr>
                <w:sz w:val="1"/>
                <w:szCs w:val="1"/>
                <w:color w:val="auto"/>
              </w:rPr>
            </w:pPr>
          </w:p>
        </w:tc>
      </w:tr>
      <w:tr>
        <w:trPr>
          <w:trHeight w:val="23"/>
        </w:trPr>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108"/>
              <w:spacing w:after="0" w:line="146" w:lineRule="exact"/>
              <w:rPr>
                <w:sz w:val="20"/>
                <w:szCs w:val="20"/>
                <w:color w:val="auto"/>
              </w:rPr>
            </w:pPr>
            <w:r>
              <w:rPr>
                <w:rFonts w:ascii="Times New Roman" w:cs="Times New Roman" w:eastAsia="Times New Roman" w:hAnsi="Times New Roman"/>
                <w:sz w:val="14"/>
                <w:szCs w:val="14"/>
                <w:b w:val="1"/>
                <w:bCs w:val="1"/>
                <w:color w:val="auto"/>
              </w:rPr>
              <w:t>Units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Option</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5"/>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Grant Date </w:t>
            </w:r>
            <w:r>
              <w:rPr>
                <w:rFonts w:ascii="Times New Roman" w:cs="Times New Roman" w:eastAsia="Times New Roman" w:hAnsi="Times New Roman"/>
                <w:sz w:val="25"/>
                <w:szCs w:val="25"/>
                <w:b w:val="1"/>
                <w:bCs w:val="1"/>
                <w:color w:val="auto"/>
                <w:vertAlign w:val="subscript"/>
              </w:rPr>
              <w:t>​​</w:t>
            </w:r>
          </w:p>
        </w:tc>
        <w:tc>
          <w:tcPr>
            <w:tcW w:w="5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2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8"/>
                <w:szCs w:val="8"/>
                <w:b w:val="1"/>
                <w:bCs w:val="1"/>
                <w:color w:val="auto"/>
              </w:rPr>
              <w:t>(1)</w:t>
            </w:r>
          </w:p>
        </w:tc>
        <w:tc>
          <w:tcPr>
            <w:tcW w:w="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5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/Sh)</w:t>
            </w:r>
            <w:r>
              <w:rPr>
                <w:rFonts w:ascii="Times New Roman" w:cs="Times New Roman" w:eastAsia="Times New Roman" w:hAnsi="Times New Roman"/>
                <w:sz w:val="16"/>
                <w:szCs w:val="16"/>
                <w:b w:val="1"/>
                <w:bCs w:val="1"/>
                <w:color w:val="auto"/>
                <w:vertAlign w:val="superscript"/>
              </w:rPr>
              <w:t>(2)</w:t>
            </w:r>
          </w:p>
        </w:tc>
        <w:tc>
          <w:tcPr>
            <w:tcW w:w="20" w:type="dxa"/>
            <w:vAlign w:val="bottom"/>
          </w:tcPr>
          <w:p>
            <w:pPr>
              <w:spacing w:after="0"/>
              <w:rPr>
                <w:sz w:val="18"/>
                <w:szCs w:val="18"/>
                <w:color w:val="auto"/>
              </w:rPr>
            </w:pPr>
          </w:p>
        </w:tc>
        <w:tc>
          <w:tcPr>
            <w:tcW w:w="840" w:type="dxa"/>
            <w:vAlign w:val="bottom"/>
            <w:gridSpan w:val="4"/>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Awards</w:t>
            </w:r>
            <w:r>
              <w:rPr>
                <w:rFonts w:ascii="Times New Roman" w:cs="Times New Roman" w:eastAsia="Times New Roman" w:hAnsi="Times New Roman"/>
                <w:sz w:val="16"/>
                <w:szCs w:val="16"/>
                <w:b w:val="1"/>
                <w:bCs w:val="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187"/>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Amnon Shashua, Chief</w:t>
            </w:r>
          </w:p>
        </w:tc>
        <w:tc>
          <w:tcPr>
            <w:tcW w:w="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Executive Officer</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60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Anat Heller, Chief Financial</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Officer</w:t>
            </w:r>
          </w:p>
        </w:tc>
        <w:tc>
          <w:tcPr>
            <w:tcW w:w="96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11,121</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2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xml:space="preserve">511,897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 Shai Shalev-Shwartz, Chief</w:t>
            </w: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Technology Officer</w:t>
            </w:r>
          </w:p>
        </w:tc>
        <w:tc>
          <w:tcPr>
            <w:tcW w:w="96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66,724</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3,071,287</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3"/>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Dr. Gaby Hayon, Executive Vice</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President, Research &amp;</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Development</w:t>
            </w:r>
          </w:p>
        </w:tc>
        <w:tc>
          <w:tcPr>
            <w:tcW w:w="96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41,663</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1,917,736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Erez Dagan, Executive Vice</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President, Products &amp; Strategy</w:t>
            </w:r>
          </w:p>
        </w:tc>
        <w:tc>
          <w:tcPr>
            <w:tcW w:w="96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10/30/2021 ​​​</w:t>
            </w:r>
          </w:p>
        </w:tc>
        <w:tc>
          <w:tcPr>
            <w:tcW w:w="5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320" w:type="dxa"/>
            <w:vAlign w:val="bottom"/>
            <w:gridSpan w:val="3"/>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0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6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41,663</w:t>
            </w: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49.00</w:t>
            </w:r>
          </w:p>
        </w:tc>
        <w:tc>
          <w:tcPr>
            <w:tcW w:w="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1,917,736</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-1370965</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-1370965</wp:posOffset>
            </wp:positionV>
            <wp:extent cx="514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-1370965</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-1370965</wp:posOffset>
            </wp:positionV>
            <wp:extent cx="514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-1370965</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-1370965</wp:posOffset>
            </wp:positionV>
            <wp:extent cx="514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-1370965</wp:posOffset>
            </wp:positionV>
            <wp:extent cx="514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-1370965</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-1370965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2111375</wp:posOffset>
            </wp:positionH>
            <wp:positionV relativeFrom="paragraph">
              <wp:posOffset>-1370965</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1623060</wp:posOffset>
            </wp:positionH>
            <wp:positionV relativeFrom="paragraph">
              <wp:posOffset>-1370965</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880" w:hanging="360"/>
        <w:spacing w:after="0" w:line="257"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each of Anat Heller, Prof. Shai Shalev, Dr. Gaby Hayon and Erez Dagan, received a grant of restricted stock units under the Intel Plan in the amounts shown, as described in the Compensation Discussion and Analysis, under the caption “Equity-Based Compensation — Equity-Based Compensation Prior to the Offering — Restricted Stock Units.” Unless otherwise noted in the footnotes, these restricted stock units vest in annual installments over three years following the vesting commencement date.</w:t>
      </w:r>
    </w:p>
    <w:p>
      <w:pPr>
        <w:spacing w:after="0" w:line="26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closing price on the date of grant of a share of Intel common stock.</w:t>
      </w:r>
    </w:p>
    <w:p>
      <w:pPr>
        <w:spacing w:after="0" w:line="76" w:lineRule="exact"/>
        <w:rPr>
          <w:rFonts w:ascii="Times New Roman" w:cs="Times New Roman" w:eastAsia="Times New Roman" w:hAnsi="Times New Roman"/>
          <w:sz w:val="18"/>
          <w:szCs w:val="18"/>
          <w:color w:val="auto"/>
        </w:rPr>
      </w:pPr>
    </w:p>
    <w:p>
      <w:pPr>
        <w:ind w:left="1620" w:right="840" w:hanging="360"/>
        <w:spacing w:after="0" w:line="258" w:lineRule="auto"/>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restricted stock units granted during 2021 calculated in accordance with ASC 718.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and Other Agreements</w:t>
      </w:r>
    </w:p>
    <w:p>
      <w:pPr>
        <w:spacing w:after="0" w:line="162" w:lineRule="exact"/>
        <w:rPr>
          <w:sz w:val="20"/>
          <w:szCs w:val="20"/>
          <w:color w:val="auto"/>
        </w:rPr>
      </w:pPr>
    </w:p>
    <w:p>
      <w:pPr>
        <w:ind w:left="1260" w:right="1000"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agreements with Messrs. Shashua, Shwartz, Hayon and Dagan and Ms. Heller, which are summarized below. Each agreement is governed by Israeli law and provides for customary non-competition and non-solicitation provisions during the term of the agreements and for</w:t>
      </w:r>
    </w:p>
    <w:p>
      <w:pPr>
        <w:sectPr>
          <w:pgSz w:w="11900" w:h="16838" w:orient="portrait"/>
          <w:cols w:equalWidth="0" w:num="1">
            <w:col w:w="10260"/>
          </w:cols>
          <w:pgMar w:left="580" w:top="97" w:right="1059" w:bottom="1440" w:gutter="0" w:footer="0" w:header="0"/>
        </w:sectPr>
      </w:pPr>
    </w:p>
    <w:p>
      <w:pPr>
        <w:spacing w:after="0" w:line="35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twelve months after termination of their employment for any reason (except for Prof. Shashua whose non-competition and non-solicitation provisions continue for eighteen months).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Prof. Shashua</w:t>
      </w:r>
    </w:p>
    <w:p>
      <w:pPr>
        <w:spacing w:after="0" w:line="162" w:lineRule="exact"/>
        <w:rPr>
          <w:sz w:val="20"/>
          <w:szCs w:val="20"/>
          <w:color w:val="auto"/>
        </w:rPr>
      </w:pPr>
    </w:p>
    <w:p>
      <w:pPr>
        <w:ind w:left="1260" w:right="1019" w:firstLine="360"/>
        <w:spacing w:after="0" w:line="261" w:lineRule="auto"/>
        <w:rPr>
          <w:sz w:val="20"/>
          <w:szCs w:val="20"/>
          <w:color w:val="auto"/>
        </w:rPr>
      </w:pPr>
      <w:r>
        <w:rPr>
          <w:rFonts w:ascii="Times New Roman" w:cs="Times New Roman" w:eastAsia="Times New Roman" w:hAnsi="Times New Roman"/>
          <w:sz w:val="18"/>
          <w:szCs w:val="18"/>
          <w:color w:val="auto"/>
        </w:rPr>
        <w:t>Prof. Shashua is the founder and Chief Executive Officer of the Company and has been with the Company since 1999. On July 24, 2014, we entered into an amended employment agreement with</w:t>
      </w: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Prof. Shashua. The employment agreement provides for Prof. Shashua’s employment through a term of at least five years, and sets forth his annual salary, eligibility to receive grants of option awards, vacation leave (24 days),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gross salary (representing 80% of the sum of salary, travel expense and convalesce) on a monthly basis, and Prof. Shashua contributes 2.5% of his gross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w:t>
      </w:r>
    </w:p>
    <w:p>
      <w:pPr>
        <w:spacing w:after="0" w:line="6" w:lineRule="exact"/>
        <w:rPr>
          <w:sz w:val="20"/>
          <w:szCs w:val="20"/>
          <w:color w:val="auto"/>
        </w:rPr>
      </w:pPr>
    </w:p>
    <w:p>
      <w:pPr>
        <w:ind w:left="1260" w:right="679"/>
        <w:spacing w:after="0" w:line="255" w:lineRule="auto"/>
        <w:rPr>
          <w:sz w:val="20"/>
          <w:szCs w:val="20"/>
          <w:color w:val="auto"/>
        </w:rPr>
      </w:pPr>
      <w:r>
        <w:rPr>
          <w:rFonts w:ascii="Times New Roman" w:cs="Times New Roman" w:eastAsia="Times New Roman" w:hAnsi="Times New Roman"/>
          <w:sz w:val="18"/>
          <w:szCs w:val="18"/>
          <w:color w:val="auto"/>
        </w:rPr>
        <w:t>Prof. Shashua’s employment is terminated for reasons other than for “cause” or he resigns from the Company by “deemed dismissal” in connection with a “change in control” ​(as defined in his employment agreement), he is entitled to receive such benefits and entitlements for a period of twelve months.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Prof. Shwartz</w:t>
      </w:r>
    </w:p>
    <w:p>
      <w:pPr>
        <w:spacing w:after="0" w:line="162" w:lineRule="exact"/>
        <w:rPr>
          <w:sz w:val="20"/>
          <w:szCs w:val="20"/>
          <w:color w:val="auto"/>
        </w:rPr>
      </w:pPr>
    </w:p>
    <w:p>
      <w:pPr>
        <w:ind w:left="1260" w:right="579" w:firstLine="360"/>
        <w:spacing w:after="0" w:line="254" w:lineRule="auto"/>
        <w:rPr>
          <w:sz w:val="20"/>
          <w:szCs w:val="20"/>
          <w:color w:val="auto"/>
        </w:rPr>
      </w:pPr>
      <w:r>
        <w:rPr>
          <w:rFonts w:ascii="Times New Roman" w:cs="Times New Roman" w:eastAsia="Times New Roman" w:hAnsi="Times New Roman"/>
          <w:sz w:val="18"/>
          <w:szCs w:val="18"/>
          <w:color w:val="auto"/>
        </w:rPr>
        <w:t>On August 2, 2010, we entered into an employment agreement with Prof. Shai Shalev-Shwartz, our Chief Technology Officer. The employment agreement sets forth his annual salary, global overtime, high-tech addition, which is a fixed salary component (as described in footnote 1 to the table under “Base Salaries” above), vacation leave (21 days),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6.5% of his “Contribution Salary” and for pension purposes (Prof. Shwartz also contributes 6% of his “Contribution Salary” toward such fund). “Contribution Salary” for purposes of his agreement means an amount approximately equal to the national average salary.</w:t>
      </w:r>
    </w:p>
    <w:p>
      <w:pPr>
        <w:spacing w:after="0" w:line="107" w:lineRule="exact"/>
        <w:rPr>
          <w:sz w:val="20"/>
          <w:szCs w:val="20"/>
          <w:color w:val="auto"/>
        </w:rPr>
      </w:pPr>
    </w:p>
    <w:p>
      <w:pPr>
        <w:jc w:val="both"/>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The Company and Prof. Shwartz may terminate his employment agreement for any reason by providing thirty days’ prior written notice or pay in lieu of notice. Prof. Shwartz is entitled to the transfer of the funds in his severance fund, only if his termination would entitle him to severance under the Severance Pay Law 5723-1963.</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Dr. Hayon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August 1, 1999, we entered into an employment agreement with Dr. Hayon, our Executive Vice President of Research &amp; Development. The employment agreement sets forth his annual salary, vacation leave (24 days), sick leave and reimbursement for business related expenses. Dr. Hayon is also entitled to global overtime and was entitled to high-tech addition, which is a fixed salary component (as described in 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 on a monthly basis, and Dr. Hayon contributes 2.5% of his gross salary on a monthly basis.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and Dr. Hayon may terminate his employment agreement for any reason by providing thirty days’ prior written notice or pay in lieu of notice. Dr. Hayon is entitled to the transfer of the funds in his severance fund, only if his termination would entitle him to severance under the Severance Pay Law 5723-1963.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Mr. Dagan</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Mr. Dagan, our Executive Vice President of Products &amp; Strategies, joined the Company in February 2003. On October 1, 2016, we entered into the current employment agreement with Mr. Dagan. The employment agreement sets forth his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Provident Fund: a sum equal to 8.33% of his salary for severance purposes, 6.5% of his salary for pension purposes (Mr. Dagan also contributes 6% of his salary toward such fund) and up to 0.55% of his salary towards disability insurance. Mr. Dagan’s employment agreement also ensures certain payments to an Advance Study Fund, under which the Company contributes an amount equal to 7.5% of his gross salary (representing 80% of the sum of salary, travel expense and convalesce) on a monthly basis, and Mr. Dagan contributes 2.5% of his gross salary on a monthly basis.</w:t>
      </w:r>
    </w:p>
    <w:p>
      <w:pPr>
        <w:spacing w:after="0" w:line="12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Company and Mr. Dagan may terminate his employment agreement for any reason by providing thirty days’ prior written notice or pay in lieu of notice. Mr. Dagan is entitled to the transfer of the funds in his severance fund, only if his termination would entitle him to severance under the Severance Pay Law 5723-1963.</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Ms. Heller</w:t>
      </w:r>
    </w:p>
    <w:p>
      <w:pPr>
        <w:spacing w:after="0" w:line="148"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Ms. Heller, our Chief Financial Officer,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w:t>
      </w:r>
    </w:p>
    <w:p>
      <w:pPr>
        <w:spacing w:after="0" w:line="3" w:lineRule="exact"/>
        <w:rPr>
          <w:sz w:val="20"/>
          <w:szCs w:val="20"/>
          <w:color w:val="auto"/>
        </w:rPr>
      </w:pPr>
    </w:p>
    <w:p>
      <w:pPr>
        <w:ind w:left="1260" w:right="579"/>
        <w:spacing w:after="0" w:line="253" w:lineRule="auto"/>
        <w:rPr>
          <w:sz w:val="20"/>
          <w:szCs w:val="20"/>
          <w:color w:val="auto"/>
        </w:rPr>
      </w:pPr>
      <w:r>
        <w:rPr>
          <w:rFonts w:ascii="Times New Roman" w:cs="Times New Roman" w:eastAsia="Times New Roman" w:hAnsi="Times New Roman"/>
          <w:sz w:val="18"/>
          <w:szCs w:val="18"/>
          <w:color w:val="auto"/>
        </w:rPr>
        <w:t>(Ms.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travel expense and convalesce) on a monthly basis, and Ms. Heller contributes 2.5% of her gross salary on a monthly basis.</w:t>
      </w:r>
    </w:p>
    <w:p>
      <w:pPr>
        <w:spacing w:after="0" w:line="119"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The Company and Ms. Heller may terminate her employment agreement for any reason by providing thirty days’ prior written notice or pay in lieu of notice. Ms. Heller is entitled to the transfer of the funds in her severance fund, only if her termination would entitle her to severance under the Severance Pay Law 5723-1963.</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 Nonqualified Deferred Compensation</w:t>
      </w:r>
    </w:p>
    <w:p>
      <w:pPr>
        <w:spacing w:after="0" w:line="162" w:lineRule="exact"/>
        <w:rPr>
          <w:sz w:val="20"/>
          <w:szCs w:val="20"/>
          <w:color w:val="auto"/>
        </w:rPr>
      </w:pPr>
    </w:p>
    <w:p>
      <w:pPr>
        <w:jc w:val="both"/>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 Company does not maintain a non-qualified deferred compensation plan for the benefit of the NEOs and none of the NEOs participate in a defined benefit pension plan maintained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 Table</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80" w:type="dxa"/>
            <w:vAlign w:val="bottom"/>
            <w:gridSpan w:val="6"/>
          </w:tcPr>
          <w:p>
            <w:pPr>
              <w:ind w:lef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center"/>
              <w:ind w:right="9"/>
              <w:spacing w:after="0" w:line="158" w:lineRule="exact"/>
              <w:rPr>
                <w:sz w:val="20"/>
                <w:szCs w:val="20"/>
                <w:color w:val="auto"/>
              </w:rPr>
            </w:pPr>
            <w:r>
              <w:rPr>
                <w:rFonts w:ascii="Times New Roman" w:cs="Times New Roman" w:eastAsia="Times New Roman" w:hAnsi="Times New Roman"/>
                <w:sz w:val="14"/>
                <w:szCs w:val="14"/>
                <w:b w:val="1"/>
                <w:bCs w:val="1"/>
                <w:color w:val="auto"/>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6" w:lineRule="exact"/>
              <w:rPr>
                <w:sz w:val="20"/>
                <w:szCs w:val="20"/>
                <w:color w:val="auto"/>
              </w:rPr>
            </w:pPr>
            <w:r>
              <w:rPr>
                <w:rFonts w:ascii="Times New Roman" w:cs="Times New Roman" w:eastAsia="Times New Roman" w:hAnsi="Times New Roman"/>
                <w:sz w:val="14"/>
                <w:szCs w:val="14"/>
                <w:b w:val="1"/>
                <w:bCs w:val="1"/>
                <w:color w:val="auto"/>
                <w:w w:val="95"/>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2"/>
            <w:vMerge w:val="restart"/>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3"/>
              </w:rPr>
              <w:t>Awards: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15"/>
              <w:spacing w:after="0" w:line="135" w:lineRule="exact"/>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left="16"/>
              <w:spacing w:after="0" w:line="13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5"/>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ind w:left="1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97"/>
              </w:rPr>
              <w:t>Units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left="16"/>
              <w:spacing w:after="0" w:line="135"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7"/>
              </w:rPr>
              <w:t>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2"/>
                <w:szCs w:val="12"/>
                <w:color w:val="auto"/>
              </w:rPr>
            </w:pPr>
          </w:p>
        </w:tc>
        <w:tc>
          <w:tcPr>
            <w:tcW w:w="7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center"/>
              <w:ind w:right="9"/>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 Not</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5"/>
              </w:rPr>
              <w:t>Expiration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center"/>
              <w:ind w:left="58"/>
              <w:spacing w:after="0" w:line="135"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8"/>
              <w:spacing w:after="0" w:line="135"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jc w:val="center"/>
              <w:ind w:left="16"/>
              <w:spacing w:after="0" w:line="135"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right="9"/>
              <w:spacing w:after="0" w:line="135" w:lineRule="exact"/>
              <w:rPr>
                <w:sz w:val="20"/>
                <w:szCs w:val="20"/>
                <w:color w:val="auto"/>
              </w:rPr>
            </w:pPr>
            <w:r>
              <w:rPr>
                <w:rFonts w:ascii="Times New Roman" w:cs="Times New Roman" w:eastAsia="Times New Roman" w:hAnsi="Times New Roman"/>
                <w:sz w:val="14"/>
                <w:szCs w:val="14"/>
                <w:b w:val="1"/>
                <w:bCs w:val="1"/>
                <w:color w:val="auto"/>
                <w:w w:val="93"/>
              </w:rPr>
              <w:t>Vested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1960" w:type="dxa"/>
            <w:vAlign w:val="bottom"/>
            <w:gridSpan w:val="10"/>
          </w:tcPr>
          <w:p>
            <w:pPr>
              <w:jc w:val="right"/>
              <w:spacing w:after="0" w:line="193" w:lineRule="exact"/>
              <w:rPr>
                <w:sz w:val="20"/>
                <w:szCs w:val="20"/>
                <w:color w:val="auto"/>
              </w:rPr>
            </w:pP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 Exercisable </w:t>
            </w:r>
            <w:r>
              <w:rPr>
                <w:rFonts w:ascii="Times New Roman" w:cs="Times New Roman" w:eastAsia="Times New Roman" w:hAnsi="Times New Roman"/>
                <w:sz w:val="22"/>
                <w:szCs w:val="22"/>
                <w:b w:val="1"/>
                <w:bCs w:val="1"/>
                <w:color w:val="auto"/>
                <w:vertAlign w:val="subscript"/>
              </w:rPr>
              <w:t>​​</w:t>
            </w:r>
            <w:r>
              <w:rPr>
                <w:rFonts w:ascii="Times New Roman" w:cs="Times New Roman" w:eastAsia="Times New Roman" w:hAnsi="Times New Roman"/>
                <w:sz w:val="12"/>
                <w:szCs w:val="12"/>
                <w:b w:val="1"/>
                <w:bCs w:val="1"/>
                <w:color w:val="auto"/>
              </w:rPr>
              <w:t xml:space="preserve">Unexercisable </w:t>
            </w:r>
            <w:r>
              <w:rPr>
                <w:rFonts w:ascii="Times New Roman" w:cs="Times New Roman" w:eastAsia="Times New Roman" w:hAnsi="Times New Roman"/>
                <w:sz w:val="22"/>
                <w:szCs w:val="22"/>
                <w:b w:val="1"/>
                <w:bCs w:val="1"/>
                <w:color w:val="auto"/>
                <w:vertAlign w:val="subscript"/>
              </w:rPr>
              <w:t>​​</w:t>
            </w:r>
          </w:p>
        </w:tc>
        <w:tc>
          <w:tcPr>
            <w:tcW w:w="18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5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34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8"/>
              <w:spacing w:after="0" w:line="19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4"/>
                <w:szCs w:val="14"/>
                <w:b w:val="1"/>
                <w:bCs w:val="1"/>
                <w:color w:val="auto"/>
                <w:vertAlign w:val="superscript"/>
              </w:rPr>
              <w:t>(3)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22"/>
                <w:szCs w:val="22"/>
                <w:b w:val="1"/>
                <w:bCs w:val="1"/>
                <w:color w:val="auto"/>
                <w:vertAlign w:val="subscript"/>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1"/>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Prof. Amnon Shashua,</w:t>
            </w:r>
          </w:p>
        </w:tc>
        <w:tc>
          <w:tcPr>
            <w:tcW w:w="40" w:type="dxa"/>
            <w:vAlign w:val="bottom"/>
          </w:tcPr>
          <w:p>
            <w:pPr>
              <w:spacing w:after="0"/>
              <w:rPr>
                <w:sz w:val="8"/>
                <w:szCs w:val="8"/>
                <w:color w:val="auto"/>
              </w:rPr>
            </w:pPr>
          </w:p>
        </w:tc>
        <w:tc>
          <w:tcPr>
            <w:tcW w:w="100" w:type="dxa"/>
            <w:vAlign w:val="bottom"/>
            <w:gridSpan w:val="2"/>
            <w:shd w:val="clear" w:color="auto" w:fill="CCEEFF"/>
          </w:tcPr>
          <w:p>
            <w:pPr>
              <w:jc w:val="right"/>
              <w:ind w:righ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820" w:type="dxa"/>
            <w:vAlign w:val="bottom"/>
            <w:shd w:val="clear" w:color="auto" w:fill="CCEEFF"/>
          </w:tcPr>
          <w:p>
            <w:pPr>
              <w:ind w:left="3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ind w:lef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ind w:left="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9/6/22</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ind w:left="14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ind w:left="100"/>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8"/>
                <w:szCs w:val="8"/>
                <w:color w:val="auto"/>
              </w:rPr>
            </w:pPr>
          </w:p>
        </w:tc>
        <w:tc>
          <w:tcPr>
            <w:tcW w:w="180" w:type="dxa"/>
            <w:vAlign w:val="bottom"/>
            <w:gridSpan w:val="2"/>
            <w:shd w:val="clear" w:color="auto" w:fill="CCEEFF"/>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Borders>
              <w:bottom w:val="single" w:sz="8" w:color="CCEEFF"/>
            </w:tcBorders>
            <w:gridSpan w:val="3"/>
            <w:shd w:val="clear" w:color="auto" w:fill="CCEEFF"/>
          </w:tcPr>
          <w:p>
            <w:pPr>
              <w:ind w:left="40"/>
              <w:spacing w:after="0" w:line="99" w:lineRule="exact"/>
              <w:rPr>
                <w:sz w:val="20"/>
                <w:szCs w:val="20"/>
                <w:color w:val="auto"/>
              </w:rPr>
            </w:pPr>
            <w:r>
              <w:rPr>
                <w:rFonts w:ascii="Times New Roman" w:cs="Times New Roman" w:eastAsia="Times New Roman" w:hAnsi="Times New Roman"/>
                <w:sz w:val="11"/>
                <w:szCs w:val="11"/>
                <w:color w:val="auto"/>
              </w:rPr>
              <w:t>8/8/2017</w:t>
            </w: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700" w:type="dxa"/>
            <w:vAlign w:val="bottom"/>
            <w:tcBorders>
              <w:bottom w:val="single" w:sz="8" w:color="CCEEFF"/>
            </w:tcBorders>
            <w:gridSpan w:val="2"/>
            <w:shd w:val="clear" w:color="auto" w:fill="CCEEFF"/>
          </w:tcPr>
          <w:p>
            <w:pPr>
              <w:ind w:left="60"/>
              <w:spacing w:after="0" w:line="99" w:lineRule="exact"/>
              <w:rPr>
                <w:sz w:val="20"/>
                <w:szCs w:val="20"/>
                <w:color w:val="auto"/>
              </w:rPr>
            </w:pPr>
            <w:r>
              <w:rPr>
                <w:rFonts w:ascii="Times New Roman" w:cs="Times New Roman" w:eastAsia="Times New Roman" w:hAnsi="Times New Roman"/>
                <w:sz w:val="11"/>
                <w:szCs w:val="11"/>
                <w:color w:val="auto"/>
              </w:rPr>
              <w:t>​1,278,053</w:t>
            </w: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ind w:left="320"/>
              <w:spacing w:after="0" w:line="99"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 33.03</w:t>
            </w: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ind w:left="40"/>
              <w:spacing w:after="0" w:line="99"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ind w:lef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ind w:left="100"/>
              <w:spacing w:after="0" w:line="99"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Chief Executive Officer</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0"/>
                <w:szCs w:val="10"/>
                <w:color w:val="auto"/>
              </w:rPr>
            </w:pP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0"/>
                <w:szCs w:val="10"/>
                <w:color w:val="auto"/>
              </w:rPr>
            </w:pP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0"/>
                <w:szCs w:val="10"/>
                <w:color w:val="auto"/>
              </w:rPr>
            </w:pP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8/8/2017</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tcPr>
          <w:p>
            <w:pPr>
              <w:ind w:left="60"/>
              <w:spacing w:after="0" w:line="72" w:lineRule="exact"/>
              <w:rPr>
                <w:sz w:val="20"/>
                <w:szCs w:val="20"/>
                <w:color w:val="auto"/>
              </w:rPr>
            </w:pPr>
            <w:r>
              <w:rPr>
                <w:rFonts w:ascii="Times New Roman" w:cs="Times New Roman" w:eastAsia="Times New Roman" w:hAnsi="Times New Roman"/>
                <w:sz w:val="8"/>
                <w:szCs w:val="8"/>
                <w:color w:val="auto"/>
              </w:rPr>
              <w:t>​2,098,578</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 26.89</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gridSpan w:val="2"/>
          </w:tcPr>
          <w:p>
            <w:pPr>
              <w:ind w:left="40"/>
              <w:spacing w:after="0" w:line="72" w:lineRule="exact"/>
              <w:rPr>
                <w:sz w:val="20"/>
                <w:szCs w:val="20"/>
                <w:color w:val="auto"/>
              </w:rPr>
            </w:pPr>
            <w:r>
              <w:rPr>
                <w:rFonts w:ascii="Times New Roman" w:cs="Times New Roman" w:eastAsia="Times New Roman" w:hAnsi="Times New Roman"/>
                <w:sz w:val="8"/>
                <w:szCs w:val="8"/>
                <w:color w:val="auto"/>
              </w:rPr>
              <w:t>​ 8/15/23</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Anat Heller, Chief</w:t>
            </w:r>
          </w:p>
        </w:tc>
        <w:tc>
          <w:tcPr>
            <w:tcW w:w="14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(5)</w:t>
            </w:r>
          </w:p>
        </w:tc>
        <w:tc>
          <w:tcPr>
            <w:tcW w:w="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2"/>
        </w:trPr>
        <w:tc>
          <w:tcPr>
            <w:tcW w:w="1700" w:type="dxa"/>
            <w:vAlign w:val="bottom"/>
            <w:gridSpan w:val="2"/>
            <w:vMerge w:val="continue"/>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10/30/2020</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8"/>
                <w:szCs w:val="8"/>
                <w:color w:val="auto"/>
              </w:rPr>
              <w:t>​ 8,063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 413,713</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color w:val="auto"/>
              </w:rPr>
              <w:t>Financial Officer</w:t>
            </w:r>
          </w:p>
        </w:tc>
        <w:tc>
          <w:tcPr>
            <w:tcW w:w="40" w:type="dxa"/>
            <w:vAlign w:val="bottom"/>
          </w:tcPr>
          <w:p>
            <w:pPr>
              <w:spacing w:after="0"/>
              <w:rPr>
                <w:sz w:val="13"/>
                <w:szCs w:val="13"/>
                <w:color w:val="auto"/>
              </w:rPr>
            </w:pPr>
          </w:p>
        </w:tc>
        <w:tc>
          <w:tcPr>
            <w:tcW w:w="100" w:type="dxa"/>
            <w:vAlign w:val="bottom"/>
            <w:gridSpan w:val="2"/>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22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360" w:type="dxa"/>
            <w:vAlign w:val="bottom"/>
            <w:gridSpan w:val="4"/>
          </w:tcPr>
          <w:p>
            <w:pPr>
              <w:jc w:val="right"/>
              <w:spacing w:after="0" w:line="158" w:lineRule="exact"/>
              <w:rPr>
                <w:sz w:val="20"/>
                <w:szCs w:val="20"/>
                <w:color w:val="auto"/>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60" w:type="dxa"/>
            <w:vAlign w:val="bottom"/>
            <w:gridSpan w:val="4"/>
          </w:tcPr>
          <w:p>
            <w:pPr>
              <w:ind w:left="80"/>
              <w:spacing w:after="0" w:line="108" w:lineRule="exact"/>
              <w:rPr>
                <w:sz w:val="20"/>
                <w:szCs w:val="20"/>
                <w:color w:val="auto"/>
              </w:rPr>
            </w:pPr>
            <w:r>
              <w:rPr>
                <w:rFonts w:ascii="Times New Roman" w:cs="Times New Roman" w:eastAsia="Times New Roman" w:hAnsi="Times New Roman"/>
                <w:sz w:val="12"/>
                <w:szCs w:val="12"/>
                <w:color w:val="auto"/>
              </w:rPr>
              <w:t>10/30/2021</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ind w:left="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2"/>
                <w:szCs w:val="12"/>
                <w:color w:val="auto"/>
              </w:rPr>
              <w:t>​11,121</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2"/>
                <w:szCs w:val="12"/>
                <w:color w:val="auto"/>
              </w:rPr>
              <w:t>​ 570,619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ind w:left="1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vMerge w:val="continue"/>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Prof. Shai Shalev-Shwartz,</w:t>
            </w:r>
          </w:p>
        </w:tc>
        <w:tc>
          <w:tcPr>
            <w:tcW w:w="40" w:type="dxa"/>
            <w:vAlign w:val="bottom"/>
          </w:tcPr>
          <w:p>
            <w:pPr>
              <w:spacing w:after="0"/>
              <w:rPr>
                <w:sz w:val="10"/>
                <w:szCs w:val="10"/>
                <w:color w:val="auto"/>
              </w:rPr>
            </w:pPr>
          </w:p>
        </w:tc>
        <w:tc>
          <w:tcPr>
            <w:tcW w:w="1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rPr>
              <w:t>(7)</w:t>
            </w: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​48,373</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8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​2,482,019</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1"/>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Chief Technology Officer</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0"/>
                <w:szCs w:val="10"/>
                <w:color w:val="auto"/>
              </w:rPr>
            </w:pPr>
          </w:p>
        </w:tc>
        <w:tc>
          <w:tcPr>
            <w:tcW w:w="36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9"/>
                <w:szCs w:val="9"/>
                <w:color w:val="auto"/>
              </w:rPr>
              <w:t xml:space="preserve">(8) </w:t>
            </w: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10/30/2021</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2"/>
          </w:tcPr>
          <w:p>
            <w:pPr>
              <w:ind w:left="140"/>
              <w:spacing w:after="0" w:line="72" w:lineRule="exact"/>
              <w:rPr>
                <w:sz w:val="20"/>
                <w:szCs w:val="20"/>
                <w:color w:val="auto"/>
              </w:rPr>
            </w:pPr>
            <w:r>
              <w:rPr>
                <w:rFonts w:ascii="Times New Roman" w:cs="Times New Roman" w:eastAsia="Times New Roman" w:hAnsi="Times New Roman"/>
                <w:sz w:val="8"/>
                <w:szCs w:val="8"/>
                <w:color w:val="auto"/>
              </w:rPr>
              <w:t>​66,724</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​3,423,609</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ind w:left="10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Dr. Gaby Hayon, Executive</w:t>
            </w:r>
          </w:p>
        </w:tc>
        <w:tc>
          <w:tcPr>
            <w:tcW w:w="14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(9)</w:t>
            </w:r>
          </w:p>
        </w:tc>
        <w:tc>
          <w:tcPr>
            <w:tcW w:w="24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5"/>
        </w:trPr>
        <w:tc>
          <w:tcPr>
            <w:tcW w:w="1700" w:type="dxa"/>
            <w:vAlign w:val="bottom"/>
            <w:gridSpan w:val="2"/>
            <w:vMerge w:val="continue"/>
          </w:tcPr>
          <w:p>
            <w:pPr>
              <w:spacing w:after="0"/>
              <w:rPr>
                <w:sz w:val="7"/>
                <w:szCs w:val="7"/>
                <w:color w:val="auto"/>
              </w:rPr>
            </w:pPr>
          </w:p>
        </w:tc>
        <w:tc>
          <w:tcPr>
            <w:tcW w:w="760" w:type="dxa"/>
            <w:vAlign w:val="bottom"/>
            <w:gridSpan w:val="4"/>
          </w:tcPr>
          <w:p>
            <w:pPr>
              <w:ind w:left="8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gridSpan w:val="2"/>
          </w:tcPr>
          <w:p>
            <w:pPr>
              <w:ind w:left="140"/>
              <w:spacing w:after="0" w:line="85" w:lineRule="exact"/>
              <w:rPr>
                <w:sz w:val="20"/>
                <w:szCs w:val="20"/>
                <w:color w:val="auto"/>
              </w:rPr>
            </w:pPr>
            <w:r>
              <w:rPr>
                <w:rFonts w:ascii="Times New Roman" w:cs="Times New Roman" w:eastAsia="Times New Roman" w:hAnsi="Times New Roman"/>
                <w:sz w:val="9"/>
                <w:szCs w:val="9"/>
                <w:color w:val="auto"/>
              </w:rPr>
              <w:t>​30,204</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tcPr>
          <w:p>
            <w:pPr>
              <w:jc w:val="right"/>
              <w:spacing w:after="0" w:line="85" w:lineRule="exact"/>
              <w:rPr>
                <w:sz w:val="20"/>
                <w:szCs w:val="20"/>
                <w:color w:val="auto"/>
              </w:rPr>
            </w:pPr>
            <w:r>
              <w:rPr>
                <w:rFonts w:ascii="Times New Roman" w:cs="Times New Roman" w:eastAsia="Times New Roman" w:hAnsi="Times New Roman"/>
                <w:sz w:val="9"/>
                <w:szCs w:val="9"/>
                <w:color w:val="auto"/>
              </w:rPr>
              <w:t>​1,549,767</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Vice President, Research</w:t>
            </w:r>
          </w:p>
        </w:tc>
        <w:tc>
          <w:tcPr>
            <w:tcW w:w="40" w:type="dxa"/>
            <w:vAlign w:val="bottom"/>
          </w:tcPr>
          <w:p>
            <w:pPr>
              <w:spacing w:after="0"/>
              <w:rPr>
                <w:sz w:val="16"/>
                <w:szCs w:val="16"/>
                <w:color w:val="auto"/>
              </w:rPr>
            </w:pPr>
          </w:p>
        </w:tc>
        <w:tc>
          <w:tcPr>
            <w:tcW w:w="860" w:type="dxa"/>
            <w:vAlign w:val="bottom"/>
            <w:gridSpan w:val="5"/>
          </w:tcPr>
          <w:p>
            <w:pPr>
              <w:jc w:val="right"/>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10/30/2021 </w:t>
            </w:r>
            <w:r>
              <w:rPr>
                <w:rFonts w:ascii="Times New Roman" w:cs="Times New Roman" w:eastAsia="Times New Roman" w:hAnsi="Times New Roman"/>
                <w:sz w:val="21"/>
                <w:szCs w:val="21"/>
                <w:color w:val="auto"/>
                <w:vertAlign w:val="superscript"/>
              </w:rPr>
              <w:t>​​</w:t>
            </w:r>
          </w:p>
        </w:tc>
        <w:tc>
          <w:tcPr>
            <w:tcW w:w="100" w:type="dxa"/>
            <w:vAlign w:val="bottom"/>
          </w:tcPr>
          <w:p>
            <w:pPr>
              <w:ind w:left="40"/>
              <w:spacing w:after="0" w:line="18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220" w:type="dxa"/>
            <w:vAlign w:val="bottom"/>
            <w:gridSpan w:val="3"/>
          </w:tcPr>
          <w:p>
            <w:pPr>
              <w:jc w:val="right"/>
              <w:spacing w:after="0" w:line="18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bscript"/>
              </w:rPr>
              <w:t>​</w:t>
            </w:r>
          </w:p>
        </w:tc>
        <w:tc>
          <w:tcPr>
            <w:tcW w:w="660" w:type="dxa"/>
            <w:vAlign w:val="bottom"/>
            <w:gridSpan w:val="5"/>
          </w:tcPr>
          <w:p>
            <w:pPr>
              <w:ind w:left="220"/>
              <w:spacing w:after="0" w:line="185" w:lineRule="exact"/>
              <w:rPr>
                <w:sz w:val="20"/>
                <w:szCs w:val="20"/>
                <w:color w:val="auto"/>
              </w:rPr>
            </w:pP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2"/>
                <w:szCs w:val="12"/>
                <w:color w:val="auto"/>
              </w:rPr>
              <w:t xml:space="preserve"> ​​​ ​</w:t>
            </w:r>
            <w:r>
              <w:rPr>
                <w:rFonts w:ascii="Times New Roman" w:cs="Times New Roman" w:eastAsia="Times New Roman" w:hAnsi="Times New Roman"/>
                <w:sz w:val="21"/>
                <w:szCs w:val="21"/>
                <w:color w:val="auto"/>
                <w:vertAlign w:val="subscript"/>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9"/>
          </w:tcPr>
          <w:p>
            <w:pPr>
              <w:ind w:left="140"/>
              <w:spacing w:after="0" w:line="185"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​41,663</w:t>
            </w:r>
            <w:r>
              <w:rPr>
                <w:rFonts w:ascii="Times New Roman" w:cs="Times New Roman" w:eastAsia="Times New Roman" w:hAnsi="Times New Roman"/>
                <w:sz w:val="14"/>
                <w:szCs w:val="14"/>
                <w:color w:val="auto"/>
                <w:vertAlign w:val="superscript"/>
              </w:rPr>
              <w:t>(10)</w:t>
            </w:r>
            <w:r>
              <w:rPr>
                <w:rFonts w:ascii="Times New Roman" w:cs="Times New Roman" w:eastAsia="Times New Roman" w:hAnsi="Times New Roman"/>
                <w:sz w:val="21"/>
                <w:szCs w:val="21"/>
                <w:color w:val="auto"/>
                <w:vertAlign w:val="superscript"/>
              </w:rPr>
              <w:t>​​​ ​</w:t>
            </w:r>
            <w:r>
              <w:rPr>
                <w:rFonts w:ascii="Times New Roman" w:cs="Times New Roman" w:eastAsia="Times New Roman" w:hAnsi="Times New Roman"/>
                <w:sz w:val="12"/>
                <w:szCs w:val="12"/>
                <w:color w:val="auto"/>
              </w:rPr>
              <w:t xml:space="preserve">​2,137,729 </w:t>
            </w:r>
            <w:r>
              <w:rPr>
                <w:rFonts w:ascii="Times New Roman" w:cs="Times New Roman" w:eastAsia="Times New Roman" w:hAnsi="Times New Roman"/>
                <w:sz w:val="21"/>
                <w:szCs w:val="21"/>
                <w:color w:val="auto"/>
                <w:vertAlign w:val="superscript"/>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18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21"/>
                <w:szCs w:val="21"/>
                <w:color w:val="auto"/>
                <w:vertAlign w:val="subscript"/>
              </w:rPr>
              <w:t>​</w:t>
            </w:r>
          </w:p>
        </w:tc>
        <w:tc>
          <w:tcPr>
            <w:tcW w:w="620" w:type="dxa"/>
            <w:vAlign w:val="bottom"/>
            <w:gridSpan w:val="2"/>
          </w:tcPr>
          <w:p>
            <w:pPr>
              <w:jc w:val="right"/>
              <w:spacing w:after="0" w:line="185"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21"/>
                <w:szCs w:val="21"/>
                <w:color w:val="auto"/>
                <w:vertAlign w:val="superscript"/>
              </w:rPr>
              <w:t>​</w:t>
            </w:r>
          </w:p>
        </w:tc>
        <w:tc>
          <w:tcPr>
            <w:tcW w:w="0" w:type="dxa"/>
            <w:vAlign w:val="bottom"/>
          </w:tcPr>
          <w:p>
            <w:pPr>
              <w:spacing w:after="0"/>
              <w:rPr>
                <w:sz w:val="1"/>
                <w:szCs w:val="1"/>
                <w:color w:val="auto"/>
              </w:rPr>
            </w:pPr>
          </w:p>
        </w:tc>
      </w:tr>
      <w:tr>
        <w:trPr>
          <w:trHeight w:val="189"/>
        </w:trPr>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&amp; Development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Erez Dagan, Executive Vice</w:t>
            </w:r>
          </w:p>
        </w:tc>
        <w:tc>
          <w:tcPr>
            <w:tcW w:w="40" w:type="dxa"/>
            <w:vAlign w:val="bottom"/>
          </w:tcPr>
          <w:p>
            <w:pPr>
              <w:spacing w:after="0"/>
              <w:rPr>
                <w:sz w:val="10"/>
                <w:szCs w:val="10"/>
                <w:color w:val="auto"/>
              </w:rPr>
            </w:pPr>
          </w:p>
        </w:tc>
        <w:tc>
          <w:tcPr>
            <w:tcW w:w="10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9"/>
                <w:szCs w:val="9"/>
                <w:color w:val="auto"/>
                <w:w w:val="75"/>
              </w:rPr>
              <w:t>(1)</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1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0"/>
                <w:szCs w:val="10"/>
                <w:color w:val="auto"/>
              </w:rPr>
            </w:pPr>
          </w:p>
        </w:tc>
        <w:tc>
          <w:tcPr>
            <w:tcW w:w="1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7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4/9/2019</w:t>
            </w: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CCEEFF"/>
            </w:tcBorders>
            <w:vMerge w:val="continue"/>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​67,500</w:t>
            </w:r>
          </w:p>
        </w:tc>
        <w:tc>
          <w:tcPr>
            <w:tcW w:w="1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​55.165</w:t>
            </w: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620" w:type="dxa"/>
            <w:vAlign w:val="bottom"/>
            <w:tcBorders>
              <w:bottom w:val="single" w:sz="8" w:color="CCEEFF"/>
            </w:tcBorders>
            <w:gridSpan w:val="2"/>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​4/9/2029</w:t>
            </w:r>
          </w:p>
        </w:tc>
        <w:tc>
          <w:tcPr>
            <w:tcW w:w="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2"/>
        </w:trPr>
        <w:tc>
          <w:tcPr>
            <w:tcW w:w="1700" w:type="dxa"/>
            <w:vAlign w:val="bottom"/>
            <w:gridSpan w:val="2"/>
          </w:tcPr>
          <w:p>
            <w:pPr>
              <w:ind w:left="140"/>
              <w:spacing w:after="0" w:line="122" w:lineRule="exact"/>
              <w:rPr>
                <w:sz w:val="20"/>
                <w:szCs w:val="20"/>
                <w:color w:val="auto"/>
              </w:rPr>
            </w:pPr>
            <w:r>
              <w:rPr>
                <w:rFonts w:ascii="Times New Roman" w:cs="Times New Roman" w:eastAsia="Times New Roman" w:hAnsi="Times New Roman"/>
                <w:sz w:val="14"/>
                <w:szCs w:val="14"/>
                <w:color w:val="auto"/>
              </w:rPr>
              <w:t>President, Products &amp;</w:t>
            </w:r>
          </w:p>
        </w:tc>
        <w:tc>
          <w:tcPr>
            <w:tcW w:w="40" w:type="dxa"/>
            <w:vAlign w:val="bottom"/>
          </w:tcPr>
          <w:p>
            <w:pPr>
              <w:spacing w:after="0"/>
              <w:rPr>
                <w:sz w:val="10"/>
                <w:szCs w:val="10"/>
                <w:color w:val="auto"/>
              </w:rPr>
            </w:pPr>
          </w:p>
        </w:tc>
        <w:tc>
          <w:tcPr>
            <w:tcW w:w="10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3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0"/>
                <w:szCs w:val="10"/>
                <w:color w:val="auto"/>
              </w:rPr>
            </w:pPr>
          </w:p>
        </w:tc>
        <w:tc>
          <w:tcPr>
            <w:tcW w:w="2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1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0"/>
                <w:szCs w:val="10"/>
                <w:color w:val="auto"/>
              </w:rPr>
            </w:pPr>
          </w:p>
        </w:tc>
        <w:tc>
          <w:tcPr>
            <w:tcW w:w="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9"/>
                <w:szCs w:val="9"/>
                <w:color w:val="auto"/>
              </w:rPr>
              <w:t xml:space="preserve">(4) </w:t>
            </w:r>
            <w:r>
              <w:rPr>
                <w:rFonts w:ascii="Times New Roman" w:cs="Times New Roman" w:eastAsia="Times New Roman" w:hAnsi="Times New Roman"/>
                <w:sz w:val="14"/>
                <w:szCs w:val="14"/>
                <w:color w:val="auto"/>
              </w:rPr>
              <w:t>​​​​</w:t>
            </w:r>
          </w:p>
        </w:tc>
        <w:tc>
          <w:tcPr>
            <w:tcW w:w="5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Strategy</w:t>
            </w:r>
          </w:p>
        </w:tc>
        <w:tc>
          <w:tcPr>
            <w:tcW w:w="760" w:type="dxa"/>
            <w:vAlign w:val="bottom"/>
            <w:gridSpan w:val="4"/>
          </w:tcPr>
          <w:p>
            <w:pPr>
              <w:ind w:left="80"/>
              <w:spacing w:after="0" w:line="72" w:lineRule="exact"/>
              <w:rPr>
                <w:sz w:val="20"/>
                <w:szCs w:val="20"/>
                <w:color w:val="auto"/>
              </w:rPr>
            </w:pPr>
            <w:r>
              <w:rPr>
                <w:rFonts w:ascii="Times New Roman" w:cs="Times New Roman" w:eastAsia="Times New Roman" w:hAnsi="Times New Roman"/>
                <w:sz w:val="8"/>
                <w:szCs w:val="8"/>
                <w:color w:val="auto"/>
              </w:rPr>
              <w:t>4/9/2019</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ind w:left="60"/>
              <w:spacing w:after="0" w:line="72" w:lineRule="exact"/>
              <w:rPr>
                <w:sz w:val="20"/>
                <w:szCs w:val="20"/>
                <w:color w:val="auto"/>
              </w:rPr>
            </w:pPr>
            <w:r>
              <w:rPr>
                <w:rFonts w:ascii="Times New Roman" w:cs="Times New Roman" w:eastAsia="Times New Roman" w:hAnsi="Times New Roman"/>
                <w:sz w:val="8"/>
                <w:szCs w:val="8"/>
                <w:color w:val="auto"/>
              </w:rPr>
              <w:t>​</w:t>
            </w:r>
          </w:p>
        </w:tc>
        <w:tc>
          <w:tcPr>
            <w:tcW w:w="6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ind w:left="320"/>
              <w:spacing w:after="0" w:line="72"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4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ind w:left="40"/>
              <w:spacing w:after="0" w:line="72" w:lineRule="exact"/>
              <w:rPr>
                <w:sz w:val="20"/>
                <w:szCs w:val="20"/>
                <w:color w:val="auto"/>
              </w:rPr>
            </w:pPr>
            <w:r>
              <w:rPr>
                <w:rFonts w:ascii="Times New Roman" w:cs="Times New Roman" w:eastAsia="Times New Roman" w:hAnsi="Times New Roman"/>
                <w:sz w:val="8"/>
                <w:szCs w:val="8"/>
                <w:color w:val="auto"/>
              </w:rPr>
              <w:t>​</w:t>
            </w: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ind w:left="140"/>
              <w:spacing w:after="0" w:line="72" w:lineRule="exact"/>
              <w:rPr>
                <w:sz w:val="20"/>
                <w:szCs w:val="20"/>
                <w:color w:val="auto"/>
              </w:rPr>
            </w:pPr>
            <w:r>
              <w:rPr>
                <w:rFonts w:ascii="Times New Roman" w:cs="Times New Roman" w:eastAsia="Times New Roman" w:hAnsi="Times New Roman"/>
                <w:sz w:val="8"/>
                <w:szCs w:val="8"/>
                <w:color w:val="auto"/>
              </w:rPr>
              <w:t>​</w:t>
            </w:r>
          </w:p>
        </w:tc>
        <w:tc>
          <w:tcPr>
            <w:tcW w:w="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gridSpan w:val="2"/>
          </w:tcPr>
          <w:p>
            <w:pPr>
              <w:ind w:left="100"/>
              <w:spacing w:after="0" w:line="72" w:lineRule="exact"/>
              <w:rPr>
                <w:sz w:val="20"/>
                <w:szCs w:val="20"/>
                <w:color w:val="auto"/>
              </w:rPr>
            </w:pPr>
            <w:r>
              <w:rPr>
                <w:rFonts w:ascii="Times New Roman" w:cs="Times New Roman" w:eastAsia="Times New Roman" w:hAnsi="Times New Roman"/>
                <w:sz w:val="8"/>
                <w:szCs w:val="8"/>
                <w:color w:val="auto"/>
              </w:rPr>
              <w:t>​22,500</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color w:val="auto"/>
              </w:rPr>
              <w:t>​1,154,475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17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gridSpan w:val="2"/>
            <w:vMerge w:val="restart"/>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08"/>
        </w:trPr>
        <w:tc>
          <w:tcPr>
            <w:tcW w:w="17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ind w:left="3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9"/>
                <w:szCs w:val="9"/>
                <w:color w:val="auto"/>
              </w:rPr>
            </w:pPr>
          </w:p>
        </w:tc>
        <w:tc>
          <w:tcPr>
            <w:tcW w:w="360" w:type="dxa"/>
            <w:vAlign w:val="bottom"/>
            <w:gridSpan w:val="4"/>
            <w:shd w:val="clear" w:color="auto" w:fill="CCEEFF"/>
          </w:tcPr>
          <w:p>
            <w:pPr>
              <w:jc w:val="right"/>
              <w:spacing w:after="0" w:line="108" w:lineRule="exact"/>
              <w:rPr>
                <w:sz w:val="20"/>
                <w:szCs w:val="20"/>
                <w:color w:val="auto"/>
              </w:rPr>
            </w:pPr>
            <w:r>
              <w:rPr>
                <w:rFonts w:ascii="Times New Roman" w:cs="Times New Roman" w:eastAsia="Times New Roman" w:hAnsi="Times New Roman"/>
                <w:sz w:val="8"/>
                <w:szCs w:val="8"/>
                <w:color w:val="auto"/>
              </w:rPr>
              <w:t>(11)</w:t>
            </w:r>
            <w:r>
              <w:rPr>
                <w:rFonts w:ascii="Times New Roman" w:cs="Times New Roman" w:eastAsia="Times New Roman" w:hAnsi="Times New Roman"/>
                <w:sz w:val="12"/>
                <w:szCs w:val="12"/>
                <w:color w:val="auto"/>
              </w:rPr>
              <w:t>​​​ ​</w:t>
            </w:r>
          </w:p>
        </w:tc>
        <w:tc>
          <w:tcPr>
            <w:tcW w:w="580" w:type="dxa"/>
            <w:vAlign w:val="bottom"/>
            <w:shd w:val="clear" w:color="auto" w:fill="CCEEFF"/>
          </w:tcPr>
          <w:p>
            <w:pPr>
              <w:spacing w:after="0"/>
              <w:rPr>
                <w:sz w:val="9"/>
                <w:szCs w:val="9"/>
                <w:color w:val="auto"/>
              </w:rPr>
            </w:pPr>
          </w:p>
        </w:tc>
        <w:tc>
          <w:tcPr>
            <w:tcW w:w="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ind w:left="1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9"/>
                <w:szCs w:val="9"/>
                <w:color w:val="auto"/>
              </w:rPr>
            </w:pPr>
          </w:p>
        </w:tc>
        <w:tc>
          <w:tcPr>
            <w:tcW w:w="18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gridSpan w:val="4"/>
          </w:tcPr>
          <w:p>
            <w:pPr>
              <w:ind w:left="80"/>
              <w:spacing w:after="0" w:line="85" w:lineRule="exact"/>
              <w:rPr>
                <w:sz w:val="20"/>
                <w:szCs w:val="20"/>
                <w:color w:val="auto"/>
              </w:rPr>
            </w:pPr>
            <w:r>
              <w:rPr>
                <w:rFonts w:ascii="Times New Roman" w:cs="Times New Roman" w:eastAsia="Times New Roman" w:hAnsi="Times New Roman"/>
                <w:sz w:val="9"/>
                <w:szCs w:val="9"/>
                <w:color w:val="auto"/>
              </w:rPr>
              <w:t>10/30/2020</w:t>
            </w: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ind w:left="60"/>
              <w:spacing w:after="0" w:line="85"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20" w:type="dxa"/>
            <w:vAlign w:val="bottom"/>
            <w:shd w:val="clear" w:color="auto" w:fill="CCEEFF"/>
          </w:tcPr>
          <w:p>
            <w:pPr>
              <w:ind w:left="320"/>
              <w:spacing w:after="0" w:line="85"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ind w:left="40"/>
              <w:spacing w:after="0" w:line="85"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gridSpan w:val="2"/>
            <w:shd w:val="clear" w:color="auto" w:fill="CCEEFF"/>
          </w:tcPr>
          <w:p>
            <w:pPr>
              <w:ind w:left="140"/>
              <w:spacing w:after="0" w:line="85" w:lineRule="exact"/>
              <w:rPr>
                <w:sz w:val="20"/>
                <w:szCs w:val="20"/>
                <w:color w:val="auto"/>
              </w:rPr>
            </w:pPr>
            <w:r>
              <w:rPr>
                <w:rFonts w:ascii="Times New Roman" w:cs="Times New Roman" w:eastAsia="Times New Roman" w:hAnsi="Times New Roman"/>
                <w:sz w:val="9"/>
                <w:szCs w:val="9"/>
                <w:color w:val="auto"/>
              </w:rPr>
              <w:t>​30,204</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gridSpan w:val="2"/>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​1,549,767</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ind w:left="100"/>
              <w:spacing w:after="0" w:line="85"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5"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2"/>
                <w:szCs w:val="12"/>
                <w:color w:val="auto"/>
              </w:rPr>
            </w:pPr>
          </w:p>
        </w:tc>
        <w:tc>
          <w:tcPr>
            <w:tcW w:w="360" w:type="dxa"/>
            <w:vAlign w:val="bottom"/>
            <w:gridSpan w:val="4"/>
            <w:shd w:val="clear" w:color="auto" w:fill="CCEEFF"/>
          </w:tcPr>
          <w:p>
            <w:pPr>
              <w:jc w:val="right"/>
              <w:spacing w:after="0" w:line="145" w:lineRule="exact"/>
              <w:rPr>
                <w:sz w:val="20"/>
                <w:szCs w:val="20"/>
                <w:color w:val="auto"/>
              </w:rPr>
            </w:pPr>
            <w:r>
              <w:rPr>
                <w:rFonts w:ascii="Times New Roman" w:cs="Times New Roman" w:eastAsia="Times New Roman" w:hAnsi="Times New Roman"/>
                <w:sz w:val="9"/>
                <w:szCs w:val="9"/>
                <w:color w:val="auto"/>
              </w:rPr>
              <w:t>(12)</w:t>
            </w: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1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10/30/2021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98"/>
              </w:rPr>
              <w:t>​41,663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​2,137,729</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-2047875</wp:posOffset>
            </wp:positionV>
            <wp:extent cx="6180455" cy="18942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180455" cy="1894205"/>
                    </a:xfrm>
                    <a:prstGeom prst="rect">
                      <a:avLst/>
                    </a:prstGeom>
                    <a:noFill/>
                  </pic:spPr>
                </pic:pic>
              </a:graphicData>
            </a:graphic>
          </wp:anchor>
        </w:drawing>
      </w:r>
    </w:p>
    <w:p>
      <w:pPr>
        <w:spacing w:after="0" w:line="97" w:lineRule="exact"/>
        <w:rPr>
          <w:sz w:val="20"/>
          <w:szCs w:val="20"/>
          <w:color w:val="auto"/>
        </w:rPr>
      </w:pPr>
    </w:p>
    <w:p>
      <w:pPr>
        <w:ind w:left="1620" w:right="800" w:hanging="360"/>
        <w:spacing w:after="0" w:line="253"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granted to Erez Dagan under the Intel Plan that are subject to both time- and performance-based vesting requirements. The options granted may vest (if at all) in three equal installments on the following dates: February 1, 2021, February 1, 2022, and February 1, 2023, subject to satisfying certain stock price performance hurdles prior to February 1, 2024. The performance-based vesting terms are based on achieving stock price performance hurdles prior to February 1, 2024. The stock price performance hurdle is a period of thirty (30) consecutive trading days in which the closing price of a share of the Intel common stock reported on Nasdaq is at least the greater of (1) 30% over the closing price of the Intel common stock on February 1, 2019, or (2) 15% over the closing price of Intel common stock on the grant date. If the stock price performance hurdles are not achieved prior to February 1, 2024, the option will expire and will be canceled.</w:t>
      </w:r>
    </w:p>
    <w:p>
      <w:pPr>
        <w:spacing w:after="0" w:line="45" w:lineRule="exact"/>
        <w:rPr>
          <w:rFonts w:ascii="Times New Roman" w:cs="Times New Roman" w:eastAsia="Times New Roman" w:hAnsi="Times New Roman"/>
          <w:sz w:val="18"/>
          <w:szCs w:val="18"/>
          <w:color w:val="auto"/>
        </w:rPr>
      </w:pPr>
    </w:p>
    <w:p>
      <w:pPr>
        <w:ind w:left="1620" w:right="980" w:hanging="360"/>
        <w:spacing w:after="0" w:line="282"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units granted under the Intel Plan. Restricted stock units vest in annual installments over three years on each anniversary of the grant date, subject to continued employment.</w:t>
      </w:r>
    </w:p>
    <w:p>
      <w:pPr>
        <w:spacing w:after="0" w:line="13" w:lineRule="exact"/>
        <w:rPr>
          <w:rFonts w:ascii="Times New Roman" w:cs="Times New Roman" w:eastAsia="Times New Roman" w:hAnsi="Times New Roman"/>
          <w:sz w:val="18"/>
          <w:szCs w:val="18"/>
          <w:color w:val="auto"/>
        </w:rPr>
      </w:pPr>
    </w:p>
    <w:p>
      <w:pPr>
        <w:ind w:left="1620" w:right="1160" w:hanging="360"/>
        <w:spacing w:after="0" w:line="282"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with reference to $51.31, the closing price of a share of Intel common stock on the last trading day before December 25, 2021.</w:t>
      </w:r>
    </w:p>
    <w:p>
      <w:pPr>
        <w:spacing w:after="0" w:line="26" w:lineRule="exact"/>
        <w:rPr>
          <w:rFonts w:ascii="Times New Roman" w:cs="Times New Roman" w:eastAsia="Times New Roman" w:hAnsi="Times New Roman"/>
          <w:sz w:val="18"/>
          <w:szCs w:val="18"/>
          <w:color w:val="auto"/>
        </w:rPr>
      </w:pPr>
    </w:p>
    <w:p>
      <w:pPr>
        <w:ind w:left="1620" w:right="840" w:hanging="360"/>
        <w:spacing w:after="0" w:line="253" w:lineRule="auto"/>
        <w:tabs>
          <w:tab w:leader="none" w:pos="1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performance-based restricted stock units granted to Erez Dagan under the Intel Plan on April 9, 2019. Half of the units time vested on February 1, 2022, and the remaining units will time-vest on February 1, 2024, subject to satisfying certain stock price performance hurdles prior to February 1, 2024. The number of restricted stock units that will ultimately vest are subject to satisfying certain stock price performance hurdles with a threshold of 50%, target of 100% and maximum of 200%. The stock price performance hurdle is based on achieving specified hurdles for any consecutive thirty (30) trading days, ending on or prior to February 1, 2024. The stock price performance hurdles are as follows: (i) if the threshold of $63.349 per share of common stock is achieved then 50% of the units will vest and become payable, (ii) if the target of $73.095 is achieved, then 100% of the units will vest and become payable and (iii) if the maximum of $97.460 is achieved, then 200% of the units will vest and become payable.</w:t>
      </w:r>
    </w:p>
    <w:p>
      <w:pPr>
        <w:sectPr>
          <w:pgSz w:w="11900" w:h="16838" w:orient="portrait"/>
          <w:cols w:equalWidth="0" w:num="1">
            <w:col w:w="10260"/>
          </w:cols>
          <w:pgMar w:left="580" w:top="97" w:right="105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39" w:hanging="360"/>
        <w:spacing w:after="0" w:line="266"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17,916 RSUs were granted with the following vesting schedule: October 30, 2021 — 9,853 RSUs; October 30, 2022 — 4,838 RSUs and October 30, 2023 — 3,225 RSUs.</w:t>
      </w:r>
    </w:p>
    <w:p>
      <w:pPr>
        <w:spacing w:after="0" w:line="40" w:lineRule="exact"/>
        <w:rPr>
          <w:rFonts w:ascii="Times New Roman" w:cs="Times New Roman" w:eastAsia="Times New Roman" w:hAnsi="Times New Roman"/>
          <w:sz w:val="18"/>
          <w:szCs w:val="18"/>
          <w:color w:val="auto"/>
        </w:rPr>
      </w:pPr>
    </w:p>
    <w:p>
      <w:pPr>
        <w:ind w:left="1620" w:right="779" w:hanging="360"/>
        <w:spacing w:after="0" w:line="266"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11,121 RSUs were granted with the following vesting schedule: October 30, 2022 — 4,782 RSUs; October 30, 2023 — 3,169 RSUs; and October 30, 2024 — 3,170 RSUs.</w:t>
      </w:r>
    </w:p>
    <w:p>
      <w:pPr>
        <w:spacing w:after="0" w:line="40"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107,495 RSUs were granted with the following vesting schedule: October 30, 2021 — 59,122 RSUs; October 30, 2022 — 29,023 RSUs; and October 30, 2023 — 19,350 RSUs.</w:t>
      </w:r>
    </w:p>
    <w:p>
      <w:pPr>
        <w:spacing w:after="0" w:line="241"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66,724 RSUs were granted with the following vesting schedule: October 30, 2022 — 28,691 RSUs; October 30, 2023 — 19,016 RSUs; and October 30, 2024 — 19,017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67,120 RSUs were granted with the following vesting schedule: October 30, 2021 — 36,916 RSUs; October 30, 2022 — 18,122 RSUs; and October 30, 2023 — 12,082 RSUs</w:t>
      </w:r>
    </w:p>
    <w:p>
      <w:pPr>
        <w:spacing w:after="0" w:line="241"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41,663 RSUs were granted with the following vesting schedule: October 30, 2022 — 17,915 RSUs; October 30, 2023 — 11,874 RSUs; and October 30, 2024 — 11,874 RSUs.</w:t>
      </w:r>
    </w:p>
    <w:p>
      <w:pPr>
        <w:spacing w:after="0" w:line="254" w:lineRule="exact"/>
        <w:rPr>
          <w:rFonts w:ascii="Times New Roman" w:cs="Times New Roman" w:eastAsia="Times New Roman" w:hAnsi="Times New Roman"/>
          <w:sz w:val="18"/>
          <w:szCs w:val="18"/>
          <w:color w:val="auto"/>
        </w:rPr>
      </w:pPr>
    </w:p>
    <w:p>
      <w:pPr>
        <w:ind w:left="1620" w:right="499" w:hanging="360"/>
        <w:spacing w:after="0" w:line="275"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2020, a total of 67,120 RSUs were granted with the following vesting schedule: October 30, 2021 — 36,916 RSUs; October 30, 2022 — 18,122 RSUs; and October 30, 2023 — 12,082 RSUs.</w:t>
      </w:r>
    </w:p>
    <w:p>
      <w:pPr>
        <w:spacing w:after="0" w:line="241" w:lineRule="exact"/>
        <w:rPr>
          <w:rFonts w:ascii="Times New Roman" w:cs="Times New Roman" w:eastAsia="Times New Roman" w:hAnsi="Times New Roman"/>
          <w:sz w:val="18"/>
          <w:szCs w:val="18"/>
          <w:color w:val="auto"/>
        </w:rPr>
      </w:pPr>
    </w:p>
    <w:p>
      <w:pPr>
        <w:ind w:left="1620" w:right="519" w:hanging="360"/>
        <w:spacing w:after="0" w:line="275" w:lineRule="auto"/>
        <w:tabs>
          <w:tab w:leader="none" w:pos="1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30, 2021, a total of 41,663 RSUs were granted with the following vesting schedule: October 30, 2022 — 17,915 RSUs; October 30, 2023 — 11,874 RSUs; and October 30, 2024 — 11,874 RSUs.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Exercises and Stock Vested Table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3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6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Realized on</w:t>
            </w:r>
          </w:p>
        </w:tc>
        <w:tc>
          <w:tcPr>
            <w:tcW w:w="2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Realized on</w:t>
            </w:r>
          </w:p>
        </w:tc>
        <w:tc>
          <w:tcPr>
            <w:tcW w:w="6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2"/>
              </w:rPr>
              <w:t>Vesting</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60" w:type="dxa"/>
            <w:vAlign w:val="bottom"/>
          </w:tcPr>
          <w:p>
            <w:pPr>
              <w:spacing w:after="0"/>
              <w:rPr>
                <w:sz w:val="12"/>
                <w:szCs w:val="12"/>
                <w:color w:val="auto"/>
              </w:rPr>
            </w:pPr>
          </w:p>
        </w:tc>
      </w:tr>
      <w:tr>
        <w:trPr>
          <w:trHeight w:val="227"/>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Amnon Shashua, Chief Executive Officer</w:t>
            </w:r>
          </w:p>
        </w:tc>
        <w:tc>
          <w:tcPr>
            <w:tcW w:w="2320" w:type="dxa"/>
            <w:vAlign w:val="bottom"/>
            <w:gridSpan w:val="8"/>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​​2,666,660​​ ​​78,430,176​​ ​ </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Anat Heller, Chief Financial Officer</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485,753​</w:t>
            </w:r>
          </w:p>
        </w:tc>
      </w:tr>
      <w:tr>
        <w:trPr>
          <w:trHeight w:val="25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 Shai Shalev-Shwartz, Chief Technology Officer</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102,643</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​​5,107,999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Dr. Gaby Hayon, Executive Vice President, Research &amp;</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8"/>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7,244.00​​ ​</w:t>
            </w:r>
            <w:r>
              <w:rPr>
                <w:rFonts w:ascii="Times New Roman" w:cs="Times New Roman" w:eastAsia="Times New Roman" w:hAnsi="Times New Roman"/>
                <w:sz w:val="18"/>
                <w:szCs w:val="18"/>
                <w:b w:val="1"/>
                <w:bCs w:val="1"/>
                <w:color w:val="auto"/>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216,967​​ ​ </w:t>
            </w: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1,819,959​</w:t>
            </w:r>
          </w:p>
        </w:tc>
      </w:tr>
      <w:tr>
        <w:trPr>
          <w:trHeight w:val="238"/>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Erez Dagan, Executive Vice President, Products &amp;</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2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6,974.00​​ ​</w:t>
            </w:r>
            <w:r>
              <w:rPr>
                <w:rFonts w:ascii="Times New Roman" w:cs="Times New Roman" w:eastAsia="Times New Roman" w:hAnsi="Times New Roman"/>
                <w:sz w:val="18"/>
                <w:szCs w:val="18"/>
                <w:b w:val="1"/>
                <w:bCs w:val="1"/>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242,278​​ ​ </w:t>
            </w: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36,916</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1,819,959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-1104900</wp:posOffset>
            </wp:positionV>
            <wp:extent cx="137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-1104900</wp:posOffset>
            </wp:positionV>
            <wp:extent cx="1282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4143375</wp:posOffset>
            </wp:positionH>
            <wp:positionV relativeFrom="paragraph">
              <wp:posOffset>-1104900</wp:posOffset>
            </wp:positionV>
            <wp:extent cx="1200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3534410</wp:posOffset>
            </wp:positionH>
            <wp:positionV relativeFrom="paragraph">
              <wp:posOffset>-1104900</wp:posOffset>
            </wp:positionV>
            <wp:extent cx="1200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539" w:hanging="360"/>
        <w:spacing w:after="0" w:line="266"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has been calculated by multiplying the number of shares acquired upon exercise by the difference between the exercise price and the closing market price of Intel common stock on the date of exercise.</w:t>
      </w:r>
    </w:p>
    <w:p>
      <w:pPr>
        <w:spacing w:after="0" w:line="40" w:lineRule="exact"/>
        <w:rPr>
          <w:rFonts w:ascii="Times New Roman" w:cs="Times New Roman" w:eastAsia="Times New Roman" w:hAnsi="Times New Roman"/>
          <w:sz w:val="18"/>
          <w:szCs w:val="18"/>
          <w:color w:val="auto"/>
        </w:rPr>
      </w:pPr>
    </w:p>
    <w:p>
      <w:pPr>
        <w:ind w:left="1620" w:right="519" w:hanging="360"/>
        <w:spacing w:after="0" w:line="282" w:lineRule="auto"/>
        <w:tabs>
          <w:tab w:leader="none" w:pos="1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reported is the Intel market value (average of high and low price of a share of Intel common stock on the Nasdaq) on the date of release multiplied by the number of shares that vested.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4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The table below quantifies certain compensation and benefits that would have become payable to our CEO if his employment had terminated on December 25, 2021, as a result of each of the termination scenarios set forth in the table.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Cash</w:t>
            </w:r>
          </w:p>
        </w:tc>
      </w:tr>
      <w:tr>
        <w:trPr>
          <w:trHeight w:val="176"/>
        </w:trPr>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4"/>
              </w:rPr>
              <w:t>Severance</w:t>
            </w:r>
            <w:r>
              <w:rPr>
                <w:rFonts w:ascii="Times New Roman" w:cs="Times New Roman" w:eastAsia="Times New Roman" w:hAnsi="Times New Roman"/>
                <w:sz w:val="17"/>
                <w:szCs w:val="17"/>
                <w:b w:val="1"/>
                <w:bCs w:val="1"/>
                <w:color w:val="auto"/>
                <w:w w:val="94"/>
                <w:vertAlign w:val="superscript"/>
              </w:rPr>
              <w:t>(1)</w:t>
            </w: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Termination Scenario</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20"/>
        </w:trPr>
        <w:tc>
          <w:tcPr>
            <w:tcW w:w="3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-7620</wp:posOffset>
            </wp:positionV>
            <wp:extent cx="6180455" cy="3086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18045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RSU</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Option</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6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Acceleration</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Acceleration</w:t>
            </w:r>
          </w:p>
        </w:tc>
        <w:tc>
          <w:tcPr>
            <w:tcW w:w="1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4"/>
                <w:szCs w:val="14"/>
                <w:color w:val="auto"/>
              </w:rPr>
            </w:pPr>
          </w:p>
        </w:tc>
      </w:tr>
      <w:tr>
        <w:trPr>
          <w:trHeight w:val="214"/>
        </w:trPr>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2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2">
            <w:col w:w="6820" w:space="40"/>
            <w:col w:w="3420"/>
          </w:cols>
          <w:pgMar w:left="580" w:top="97" w:right="1039" w:bottom="1440" w:gutter="0" w:footer="0" w:header="0"/>
          <w:type w:val="continuous"/>
        </w:sectPr>
      </w:pPr>
    </w:p>
    <w:p>
      <w:pPr>
        <w:ind w:left="680" w:hanging="179"/>
        <w:spacing w:after="0" w:line="261" w:lineRule="auto"/>
        <w:rPr>
          <w:sz w:val="20"/>
          <w:szCs w:val="20"/>
          <w:color w:val="auto"/>
        </w:rPr>
      </w:pPr>
      <w:r>
        <w:rPr>
          <w:rFonts w:ascii="Times New Roman" w:cs="Times New Roman" w:eastAsia="Times New Roman" w:hAnsi="Times New Roman"/>
          <w:sz w:val="18"/>
          <w:szCs w:val="18"/>
          <w:color w:val="auto"/>
        </w:rPr>
        <w:t>Prof. Amnon Shashua, Chief Executive Officer</w:t>
      </w:r>
    </w:p>
    <w:p>
      <w:pPr>
        <w:ind w:left="5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323215</wp:posOffset>
            </wp:positionV>
            <wp:extent cx="12344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firstLine="61"/>
        <w:spacing w:after="0" w:line="273" w:lineRule="auto"/>
        <w:rPr>
          <w:sz w:val="20"/>
          <w:szCs w:val="20"/>
          <w:color w:val="auto"/>
        </w:rPr>
      </w:pPr>
      <w:r>
        <w:rPr>
          <w:rFonts w:ascii="Times New Roman" w:cs="Times New Roman" w:eastAsia="Times New Roman" w:hAnsi="Times New Roman"/>
          <w:sz w:val="18"/>
          <w:szCs w:val="18"/>
          <w:color w:val="auto"/>
        </w:rPr>
        <w:t>Termination without Cause or ​​a Deemed Dismissal</w:t>
      </w:r>
    </w:p>
    <w:p>
      <w:pPr>
        <w:spacing w:after="0" w:line="2" w:lineRule="exact"/>
        <w:rPr>
          <w:sz w:val="20"/>
          <w:szCs w:val="20"/>
          <w:color w:val="auto"/>
        </w:rPr>
      </w:pPr>
    </w:p>
    <w:p>
      <w:pPr>
        <w:ind w:right="320" w:firstLine="61"/>
        <w:spacing w:after="0" w:line="297" w:lineRule="auto"/>
        <w:rPr>
          <w:sz w:val="20"/>
          <w:szCs w:val="20"/>
          <w:color w:val="auto"/>
        </w:rPr>
      </w:pPr>
      <w:r>
        <w:rPr>
          <w:rFonts w:ascii="Times New Roman" w:cs="Times New Roman" w:eastAsia="Times New Roman" w:hAnsi="Times New Roman"/>
          <w:sz w:val="18"/>
          <w:szCs w:val="18"/>
          <w:color w:val="auto"/>
        </w:rPr>
        <w:t>Termination as a result of ​​Change in Control</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158,705</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80" w:type="dxa"/>
            <w:vAlign w:val="bottom"/>
            <w:gridSpan w:val="2"/>
          </w:tcPr>
          <w:p>
            <w:pPr>
              <w:jc w:val="right"/>
              <w:ind w:right="670"/>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34"/>
        </w:trPr>
        <w:tc>
          <w:tcPr>
            <w:tcW w:w="7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55,395​​</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214,100​</w:t>
            </w:r>
          </w:p>
        </w:tc>
        <w:tc>
          <w:tcPr>
            <w:tcW w:w="0" w:type="dxa"/>
            <w:vAlign w:val="bottom"/>
          </w:tcPr>
          <w:p>
            <w:pPr>
              <w:spacing w:after="0"/>
              <w:rPr>
                <w:sz w:val="1"/>
                <w:szCs w:val="1"/>
                <w:color w:val="auto"/>
              </w:rPr>
            </w:pPr>
          </w:p>
        </w:tc>
      </w:tr>
      <w:tr>
        <w:trPr>
          <w:trHeight w:val="238"/>
        </w:trPr>
        <w:tc>
          <w:tcPr>
            <w:tcW w:w="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158,705</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780" w:type="dxa"/>
            <w:vAlign w:val="bottom"/>
            <w:gridSpan w:val="2"/>
          </w:tcPr>
          <w:p>
            <w:pPr>
              <w:jc w:val="right"/>
              <w:ind w:right="67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34"/>
        </w:trPr>
        <w:tc>
          <w:tcPr>
            <w:tcW w:w="7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480" w:type="dxa"/>
            <w:vAlign w:val="bottom"/>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50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332,369​​</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491,074​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3440" w:space="140"/>
            <w:col w:w="2300" w:space="140"/>
            <w:col w:w="4260"/>
          </w:cols>
          <w:pgMar w:left="580" w:top="97" w:right="1039" w:bottom="1440" w:gutter="0" w:footer="0" w:header="0"/>
          <w:type w:val="continuous"/>
        </w:sectPr>
      </w:pPr>
    </w:p>
    <w:p>
      <w:pPr>
        <w:spacing w:after="0" w:line="60" w:lineRule="exact"/>
        <w:rPr>
          <w:sz w:val="20"/>
          <w:szCs w:val="20"/>
          <w:color w:val="auto"/>
        </w:rPr>
      </w:pPr>
    </w:p>
    <w:p>
      <w:pPr>
        <w:ind w:left="1620" w:right="940" w:hanging="360"/>
        <w:spacing w:after="0" w:line="261"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detailed in this column reflect the supplement payment the Company will be required to pay in case the termination is initiated by the Company. Such supplement amounts, together with the amounts accumulated in the severance funds, reflect the entire severance amount Prof. Shashua would have been entitled to in case of termination on the relevant date.</w:t>
      </w:r>
    </w:p>
    <w:p>
      <w:pPr>
        <w:spacing w:after="0" w:line="31" w:lineRule="exact"/>
        <w:rPr>
          <w:rFonts w:ascii="Times New Roman" w:cs="Times New Roman" w:eastAsia="Times New Roman" w:hAnsi="Times New Roman"/>
          <w:sz w:val="18"/>
          <w:szCs w:val="18"/>
          <w:color w:val="auto"/>
        </w:rPr>
      </w:pPr>
    </w:p>
    <w:p>
      <w:pPr>
        <w:ind w:left="1620" w:right="960" w:hanging="360"/>
        <w:spacing w:after="0" w:line="254"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entitlements for a twelve-month period. This amount reflects Prof. Shashua's salary and other benefits and 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payable under these termination circumstances for a twelve-month period.</w:t>
      </w:r>
    </w:p>
    <w:p>
      <w:pPr>
        <w:spacing w:after="0" w:line="53" w:lineRule="exact"/>
        <w:rPr>
          <w:rFonts w:ascii="Times New Roman" w:cs="Times New Roman" w:eastAsia="Times New Roman" w:hAnsi="Times New Roman"/>
          <w:sz w:val="18"/>
          <w:szCs w:val="18"/>
          <w:color w:val="auto"/>
        </w:rPr>
      </w:pPr>
    </w:p>
    <w:p>
      <w:pPr>
        <w:ind w:left="1620" w:right="880" w:hanging="360"/>
        <w:spacing w:after="0" w:line="254" w:lineRule="auto"/>
        <w:tabs>
          <w:tab w:leader="none" w:pos="1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without Cause or termination in the event of Deemed Dismissal (as defined in 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but payable under these termination circumstances for only the two-month period.</w:t>
      </w:r>
    </w:p>
    <w:p>
      <w:pPr>
        <w:spacing w:after="0" w:line="111" w:lineRule="exact"/>
        <w:rPr>
          <w:sz w:val="20"/>
          <w:szCs w:val="20"/>
          <w:color w:val="auto"/>
        </w:rPr>
      </w:pPr>
    </w:p>
    <w:p>
      <w:pPr>
        <w:ind w:left="1260" w:right="880" w:firstLine="360"/>
        <w:spacing w:after="0" w:line="254" w:lineRule="auto"/>
        <w:rPr>
          <w:sz w:val="20"/>
          <w:szCs w:val="20"/>
          <w:color w:val="auto"/>
        </w:rPr>
      </w:pPr>
      <w:r>
        <w:rPr>
          <w:rFonts w:ascii="Times New Roman" w:cs="Times New Roman" w:eastAsia="Times New Roman" w:hAnsi="Times New Roman"/>
          <w:sz w:val="18"/>
          <w:szCs w:val="18"/>
          <w:color w:val="auto"/>
        </w:rPr>
        <w:t>For our NEOs other than Prof. Shashua (whose notice is as set forth above), if their employment agreement is terminated for any reason, they are entitled to thirty days’ prior written notice or pay in lieu of notice. Additionally, each NEO would be entitled to the transfer of the funds in their severance fund and potentially an additional amount if the specific termination would entitle the executive to severance under the Severance Pay Law 5723-1963 (“Severance Pay Law”). If the employment of Ms. Heller and Messrs. Shalev-Shwartz, Hayon or Dagan had terminated on December 25, 2021, under circumstances that entitle them to severance under the Severance Pay Law, they would have received a payout for severance in the amount of $71,431, $470,549, $186,712 and $104,987, respectively, which amounts do not include those amounts that would be transferred to such NEO from the NEO’s severance and other funds.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840"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we expect to implement a director compensation program, which will be designed to attract and retain the most qualified individuals to serve on our board of directors. We expect our board of directors, through our compensation committee, to be responsible for reviewing and approving any changes to directors’ compensation arrangements. We expect that our outside directors will be compensated with RSUs in the Company on an annual basis, or a combination of cash and RSUs in the Company on an annual basis, in either case, consistent with market practice. Our directors will also be reimbursed for their reasonable out of pocket expenses incurred in connection with their roles as directors. In addition, we do not expect that directors will be entitled to receive compensation for services rendered to us in any other capacity. Directors who are employees of Mobileye and who receive a salary from us as our employees or receive a salary from one of our subsidiaries as their employees, will not be entitled to receive any additional compensation for their services in acting as directors, but would be entitled to reimbursement of their reasonable out of pocket expenses incurred in acting as directors.</w:t>
      </w:r>
    </w:p>
    <w:p>
      <w:pPr>
        <w:sectPr>
          <w:pgSz w:w="11900" w:h="16838" w:orient="portrait"/>
          <w:cols w:equalWidth="0" w:num="1">
            <w:col w:w="10280"/>
          </w:cols>
          <w:pgMar w:left="580" w:top="97" w:right="1039" w:bottom="1440" w:gutter="0" w:footer="0" w:header="0"/>
          <w:type w:val="continuous"/>
        </w:sectPr>
      </w:pPr>
    </w:p>
    <w:p>
      <w:pPr>
        <w:spacing w:after="0" w:line="36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director, director nominee and executive officer compensation arrangements discussed above in the section entitled “Executive and Director Compensation,” this section describes transactions, or series of related transactions, during our last three fiscal years or as currently proposed, to which we were a party or will be a party, in which:</w:t>
      </w:r>
    </w:p>
    <w:p>
      <w:pPr>
        <w:spacing w:after="0" w:line="72" w:lineRule="exact"/>
        <w:rPr>
          <w:sz w:val="20"/>
          <w:szCs w:val="20"/>
          <w:color w:val="auto"/>
        </w:rPr>
      </w:pPr>
    </w:p>
    <w:p>
      <w:pPr>
        <w:ind w:left="1800" w:hanging="180"/>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Historical Related Party Transactions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Prior to this offering, we have operated as part of Intel’s broader corporate organization rather than as a stand-alone public company. Intel has performed or supported various corporate services for us, and we have engaged in various transactions with Intel. The previous arrangements we had with Intel and/or other related persons are described below.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Conversion Arrangements for Purposes of Funding Acquisitions</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For purposes of its acquisition of Mobileye, Intel entered into a loan agreement in 2017 to make available to us up to an aggregate principal amount of $20 billion (the “2017 Loan”). The principal amount of the 2017 Loan was denominated in U.S. dollars and the interest rate was based on the short term quarterly Applicable Federal Rate published by the Internal Revenue Service.</w:t>
      </w:r>
    </w:p>
    <w:p>
      <w:pPr>
        <w:spacing w:after="0" w:line="99"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us, thereby canceling the principal. In 2020, $679 million of accrued interest was converted to equity as a contribution by Intel to us.</w:t>
      </w:r>
    </w:p>
    <w:p>
      <w:pPr>
        <w:spacing w:after="0" w:line="108"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 2020. Interest expense recognized by us totaled $0 million, $1 million, and $257 million for the years ended December 25, 2021, December 26, 2020, and December 28, 2019,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Loan Arrangements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 rate.</w:t>
      </w:r>
    </w:p>
    <w:p>
      <w:pPr>
        <w:spacing w:after="0" w:line="95"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1”) to make available to either party up to an aggregate principal amount of $1.5 billion. Arrangement 1 has a mechanism of automatic renewal for additional periods of one year each. In 2021, Arrangement 1 was amended to increase the capacity from $1.5 billion to $1.8 billion, and the maturity date was extended to December 2022.</w:t>
      </w:r>
    </w:p>
    <w:p>
      <w:pPr>
        <w:spacing w:after="0" w:line="11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2017, we and Intel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 each.</w:t>
      </w:r>
    </w:p>
    <w:p>
      <w:pPr>
        <w:spacing w:after="0" w:line="11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2021, we and Intel entered into a bilateral lending/borrowing arrangement (“Arrangement 3”) to make cash available to either party up to an aggregate principal amount of $100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Intel elects to increase the applicable margin, the spread adjustment would be reflective of the difference between three-month LIBOR and the term Secured Overnight Financing Rate (“SOFR”).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total outstanding balance of the aforementioned loan arrangements is approximately $1.3 billion which is reflected in current assets as a loan due from related party as of December 25, 2021 and December 26, 2020 based on the maturity date as of each balance sheet period. Interest income recognized by us totaled $3 million, $6 million, and $22 million for the years ended December 25, 2021, December 26, 2020, and December 28, 2019, respectively.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Stock Compensation Recharge Agreement</w:t>
      </w:r>
    </w:p>
    <w:p>
      <w:pPr>
        <w:spacing w:after="0" w:line="162" w:lineRule="exact"/>
        <w:rPr>
          <w:sz w:val="20"/>
          <w:szCs w:val="20"/>
          <w:color w:val="auto"/>
        </w:rPr>
      </w:pPr>
    </w:p>
    <w:p>
      <w:pPr>
        <w:jc w:val="both"/>
        <w:ind w:left="1260" w:right="639" w:firstLine="360"/>
        <w:spacing w:after="0" w:line="257" w:lineRule="auto"/>
        <w:rPr>
          <w:sz w:val="20"/>
          <w:szCs w:val="20"/>
          <w:color w:val="auto"/>
        </w:rPr>
      </w:pPr>
      <w:r>
        <w:rPr>
          <w:rFonts w:ascii="Times New Roman" w:cs="Times New Roman" w:eastAsia="Times New Roman" w:hAnsi="Times New Roman"/>
          <w:sz w:val="18"/>
          <w:szCs w:val="18"/>
          <w:color w:val="auto"/>
        </w:rPr>
        <w:t>We entered into a stock compensation recharge agreement with Intel, which requires us to reimburse Intel for certain amounts relating to the value of share-based compensation provided to our employees for RSUs or stock options exercisable in Intel stock. The reimbursement amounts were $162 million,</w:t>
      </w:r>
    </w:p>
    <w:p>
      <w:pPr>
        <w:spacing w:after="0" w:line="1" w:lineRule="exact"/>
        <w:rPr>
          <w:sz w:val="20"/>
          <w:szCs w:val="20"/>
          <w:color w:val="auto"/>
        </w:rPr>
      </w:pPr>
    </w:p>
    <w:p>
      <w:pPr>
        <w:ind w:left="1260" w:right="739"/>
        <w:spacing w:after="0" w:line="260" w:lineRule="auto"/>
        <w:rPr>
          <w:sz w:val="20"/>
          <w:szCs w:val="20"/>
          <w:color w:val="auto"/>
        </w:rPr>
      </w:pPr>
      <w:r>
        <w:rPr>
          <w:rFonts w:ascii="Times New Roman" w:cs="Times New Roman" w:eastAsia="Times New Roman" w:hAnsi="Times New Roman"/>
          <w:sz w:val="18"/>
          <w:szCs w:val="18"/>
          <w:color w:val="auto"/>
        </w:rPr>
        <w:t>$78 million and $75 million for 2021, 2020 and 2019, respectively. The reimbursement amount for 2021 was not yet paid as of the end of 2021.</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Hedging Services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entered into a hedging services agreement with Intel, according to which we are entitled to a certain allocation of the gains and losses arising from the execution of the hedging contracts. The cost associated with these services were immaterial.</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Development Services and Lease</w:t>
      </w:r>
    </w:p>
    <w:p>
      <w:pPr>
        <w:spacing w:after="0" w:line="14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have historically relied on Intel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as part of our combined statements of operations and comprehensive income (loss) primarily on a specific and direct attribution basis, as described in Note 2 of our combined financial statements included elsewhere in this prospectus.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Travel Related Expenses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have reimbursed our Chief Executive Officer for reasonable travel related expenses incurred while conducting business on behalf of our company. For 2021, 2020 and 2019, travel related reimbursements were $1.1 million, $0.5 million and $1.2 million,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to be Entered into in Connection with this Offering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 Note</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the Reorganization, we will distribute to Intel the Dividend Note, in the aggregate principal amount of $            . The Dividend Note is scheduled to mature on                     and will accrue interest at a rate equal to        % per annum.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w:t>
      </w:r>
    </w:p>
    <w:p>
      <w:pPr>
        <w:spacing w:after="0" w:line="148"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an Asset Purchase Agreement with Intel, pursuant to which Intel will transfer certain assets relating to the Mobileye business from Intel to us.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Intercompany Agreements</w:t>
      </w:r>
    </w:p>
    <w:p>
      <w:pPr>
        <w:spacing w:after="0" w:line="162"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the following Intercompany Agreements with Intel that will provide a framework for our ongoing relationship with Intel.</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6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intend to enter into an Administrative Services Agreement with Intel, whereby Intel will continue to provide certain administrative and operational services to us, including information technology service, use of certain equipment and facilities, and other corporate services.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Master Technological Services Agreement</w:t>
      </w:r>
    </w:p>
    <w:p>
      <w:pPr>
        <w:spacing w:after="0" w:line="16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Master Technological Services Agreement with Intel, whereby Intel will supply certain technologies, primarily relating to RADAR and LiDAR, to us.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Procurement Agreement</w:t>
      </w:r>
    </w:p>
    <w:p>
      <w:pPr>
        <w:spacing w:after="0" w:line="160"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Procurement Agreement with Intel, whereby Intel will supply certain products to us.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14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intend to enter into a Tax Sharing Agreement with Intel. The Tax Sharing Agreement will govern Intel’s and our respective rights, responsibilities and obligations with respect to all tax matters (including tax liabilities, tax attributes, tax returns and tax audits).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Prior to the completion of this offering, our board of directors will adopt a written statement of policy regarding transactions with related persons (the “Related Person Policy”). The Related Person Policy requires that a “related person” ​(as defined in Item 404(a) of Regulation S-K) must disclose to our General Counsel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Our General Counsel will then communicate that information to our audit committee or the chair thereof. No related person transaction will be executed without the approval or ratification of our board of directors or a duly authorized committee of our board of directors. In reviewing any such proposal, our board of directors or such committee is to consider the relevant facts of the transaction, including the risks, costs, and benefits to us and whether the transaction is on terms no less favorable than terms generally available to an unaffiliated third party under the same or similar circumstances. It is our policy that directors interested in a related person transaction will recuse themselves from any vote on a related person transaction in which they have an interest.</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will provide that we will indemnify our directors and officers to the fullest extent permitted by the DGCL. In addition, our amended and restated certificate of incorporation will provide that our directors will not be liable for monetary damages for breach of fiduciary duty to the fullest extent permitted by the DGCL. In addition, we expect to enter into an indemnification agreement with each of our directors and executive officers in connection with this offering, which requires us to indemnify them. For more information regarding these agreements, see “Description of Capital Stock — Limitations on Liability and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immediately prior to and following the completion of this offering by:</w:t>
      </w:r>
    </w:p>
    <w:p>
      <w:pPr>
        <w:spacing w:after="0" w:line="54" w:lineRule="exact"/>
        <w:rPr>
          <w:sz w:val="20"/>
          <w:szCs w:val="20"/>
          <w:color w:val="auto"/>
        </w:rPr>
      </w:pPr>
    </w:p>
    <w:p>
      <w:pPr>
        <w:ind w:left="1800" w:right="739" w:hanging="180"/>
        <w:spacing w:after="0" w:line="282"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the outstanding shares of any class of our common stock;</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director nominees and named executive officers individually;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director nominees and executive officers as a group.</w:t>
      </w:r>
    </w:p>
    <w:p>
      <w:pPr>
        <w:spacing w:after="0" w:line="14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number of shares of common stock outstanding before this offering and the corresponding percentage of beneficial ownership are based on          shares of our Class A common stock and          shares of our Class B common stock outstanding as of          , 2022. The number of shares of common stock outstanding after this offering and the corresponding percentage of beneficial ownership are based on the number of shares of common stock issued and outstanding as of          , 2022 after giving effect to the offering, assuming no exercise of the underwriters’ option to purchase additional shares.</w:t>
      </w:r>
    </w:p>
    <w:p>
      <w:pPr>
        <w:spacing w:after="0" w:line="11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w:t>
      </w:r>
    </w:p>
    <w:p>
      <w:pPr>
        <w:spacing w:after="0" w:line="5" w:lineRule="exact"/>
        <w:rPr>
          <w:sz w:val="20"/>
          <w:szCs w:val="20"/>
          <w:color w:val="auto"/>
        </w:rPr>
      </w:pPr>
    </w:p>
    <w:p>
      <w:pPr>
        <w:ind w:left="1260" w:right="519"/>
        <w:spacing w:after="0" w:line="241" w:lineRule="auto"/>
        <w:tabs>
          <w:tab w:leader="none" w:pos="135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2022 are considered outstanding, although these shares are not considered outstanding for purposes of computing the percentage ownership of any other person. The information provided in the table and related footnotes below do not give effect to any potential participation by the stockholders named therein, including any of our directors or executive officers, in the reserve share program with respect to this offering. Each of the stockholders listed has sole voting and investment power with respect to the shares beneficially owned by the stockholder unless noted otherwise, subject to community property laws where applicable.</w:t>
      </w:r>
    </w:p>
    <w:p>
      <w:pPr>
        <w:spacing w:after="0" w:line="343"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2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13"/>
          </w:tcPr>
          <w:p>
            <w:pPr>
              <w:ind w:left="60"/>
              <w:spacing w:after="0"/>
              <w:rPr>
                <w:sz w:val="20"/>
                <w:szCs w:val="20"/>
                <w:color w:val="auto"/>
              </w:rPr>
            </w:pPr>
            <w:r>
              <w:rPr>
                <w:rFonts w:ascii="Times New Roman" w:cs="Times New Roman" w:eastAsia="Times New Roman" w:hAnsi="Times New Roman"/>
                <w:sz w:val="13"/>
                <w:szCs w:val="13"/>
                <w:b w:val="1"/>
                <w:bCs w:val="1"/>
                <w:color w:val="auto"/>
              </w:rPr>
              <w:t>Shares of Common Stock Beneficially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12"/>
          </w:tcPr>
          <w:p>
            <w:pPr>
              <w:ind w:left="80"/>
              <w:spacing w:after="0"/>
              <w:rPr>
                <w:sz w:val="20"/>
                <w:szCs w:val="20"/>
                <w:color w:val="auto"/>
              </w:rPr>
            </w:pPr>
            <w:r>
              <w:rPr>
                <w:rFonts w:ascii="Times New Roman" w:cs="Times New Roman" w:eastAsia="Times New Roman" w:hAnsi="Times New Roman"/>
                <w:sz w:val="13"/>
                <w:szCs w:val="13"/>
                <w:b w:val="1"/>
                <w:bCs w:val="1"/>
                <w:color w:val="auto"/>
              </w:rPr>
              <w:t>Shares of Common Stock Beneficially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11"/>
          </w:tcPr>
          <w:p>
            <w:pPr>
              <w:ind w:left="60"/>
              <w:spacing w:after="0"/>
              <w:rPr>
                <w:sz w:val="20"/>
                <w:szCs w:val="20"/>
                <w:color w:val="auto"/>
              </w:rPr>
            </w:pPr>
            <w:r>
              <w:rPr>
                <w:rFonts w:ascii="Times New Roman" w:cs="Times New Roman" w:eastAsia="Times New Roman" w:hAnsi="Times New Roman"/>
                <w:sz w:val="13"/>
                <w:szCs w:val="13"/>
                <w:b w:val="1"/>
                <w:bCs w:val="1"/>
                <w:color w:val="auto"/>
                <w:w w:val="98"/>
              </w:rPr>
              <w:t>Owned Before this Offering</w:t>
            </w:r>
          </w:p>
        </w:tc>
        <w:tc>
          <w:tcPr>
            <w:tcW w:w="640" w:type="dxa"/>
            <w:vAlign w:val="bottom"/>
          </w:tcPr>
          <w:p>
            <w:pPr>
              <w:spacing w:after="0"/>
              <w:rPr>
                <w:sz w:val="14"/>
                <w:szCs w:val="14"/>
                <w:color w:val="auto"/>
              </w:rPr>
            </w:pP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9"/>
          </w:tcPr>
          <w:p>
            <w:pPr>
              <w:ind w:left="100"/>
              <w:spacing w:after="0"/>
              <w:rPr>
                <w:sz w:val="20"/>
                <w:szCs w:val="20"/>
                <w:color w:val="auto"/>
              </w:rPr>
            </w:pPr>
            <w:r>
              <w:rPr>
                <w:rFonts w:ascii="Times New Roman" w:cs="Times New Roman" w:eastAsia="Times New Roman" w:hAnsi="Times New Roman"/>
                <w:sz w:val="13"/>
                <w:szCs w:val="13"/>
                <w:b w:val="1"/>
                <w:bCs w:val="1"/>
                <w:color w:val="auto"/>
                <w:w w:val="91"/>
              </w:rPr>
              <w:t>Owned After this Offering</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50"/>
        </w:trPr>
        <w:tc>
          <w:tcPr>
            <w:tcW w:w="20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89"/>
              </w:rPr>
              <w:t>Class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2"/>
                <w:szCs w:val="12"/>
                <w:color w:val="auto"/>
              </w:rPr>
            </w:pPr>
          </w:p>
        </w:tc>
        <w:tc>
          <w:tcPr>
            <w:tcW w:w="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Class B</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2"/>
                <w:szCs w:val="12"/>
                <w:color w:val="auto"/>
              </w:rPr>
            </w:pPr>
          </w:p>
        </w:tc>
        <w:tc>
          <w:tcPr>
            <w:tcW w:w="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89"/>
              </w:rPr>
              <w:t>Class A</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2"/>
                <w:szCs w:val="12"/>
                <w:color w:val="auto"/>
              </w:rPr>
            </w:pPr>
          </w:p>
        </w:tc>
        <w:tc>
          <w:tcPr>
            <w:tcW w:w="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300" w:type="dxa"/>
            <w:vAlign w:val="bottom"/>
          </w:tcPr>
          <w:p>
            <w:pPr>
              <w:spacing w:after="0"/>
              <w:rPr>
                <w:sz w:val="12"/>
                <w:szCs w:val="12"/>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40" w:type="dxa"/>
            <w:vAlign w:val="bottom"/>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Voting</w:t>
            </w:r>
          </w:p>
        </w:tc>
        <w:tc>
          <w:tcPr>
            <w:tcW w:w="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68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b w:val="1"/>
                <w:bCs w:val="1"/>
                <w:color w:val="auto"/>
              </w:rPr>
              <w:t>Voting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restart"/>
          </w:tcPr>
          <w:p>
            <w:pPr>
              <w:ind w:left="120"/>
              <w:spacing w:after="0" w:line="122" w:lineRule="exact"/>
              <w:rPr>
                <w:sz w:val="20"/>
                <w:szCs w:val="20"/>
                <w:color w:val="auto"/>
              </w:rPr>
            </w:pPr>
            <w:r>
              <w:rPr>
                <w:rFonts w:ascii="Times New Roman" w:cs="Times New Roman" w:eastAsia="Times New Roman" w:hAnsi="Times New Roman"/>
                <w:sz w:val="13"/>
                <w:szCs w:val="13"/>
                <w:b w:val="1"/>
                <w:bCs w:val="1"/>
                <w:color w:val="auto"/>
              </w:rPr>
              <w:t>Power</w:t>
            </w: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ind w:left="140"/>
              <w:spacing w:after="0" w:line="122" w:lineRule="exact"/>
              <w:rPr>
                <w:sz w:val="20"/>
                <w:szCs w:val="20"/>
                <w:color w:val="auto"/>
              </w:rPr>
            </w:pPr>
            <w:r>
              <w:rPr>
                <w:rFonts w:ascii="Times New Roman" w:cs="Times New Roman" w:eastAsia="Times New Roman" w:hAnsi="Times New Roman"/>
                <w:sz w:val="13"/>
                <w:szCs w:val="13"/>
                <w:b w:val="1"/>
                <w:bCs w:val="1"/>
                <w:color w:val="auto"/>
              </w:rPr>
              <w:t>Power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3060" w:type="dxa"/>
            <w:vAlign w:val="bottom"/>
            <w:gridSpan w:val="18"/>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3"/>
                <w:szCs w:val="13"/>
                <w:b w:val="1"/>
                <w:bCs w:val="1"/>
                <w:color w:val="auto"/>
              </w:rPr>
              <w:t xml:space="preserve"> % of Class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 of Class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Pre-Offering</w:t>
            </w:r>
          </w:p>
        </w:tc>
        <w:tc>
          <w:tcPr>
            <w:tcW w:w="3160" w:type="dxa"/>
            <w:vAlign w:val="bottom"/>
            <w:gridSpan w:val="18"/>
          </w:tcPr>
          <w:p>
            <w:pPr>
              <w:jc w:val="right"/>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 of Class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Shares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of Class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Post-Offering</w:t>
            </w:r>
            <w:r>
              <w:rPr>
                <w:rFonts w:ascii="Times New Roman" w:cs="Times New Roman" w:eastAsia="Times New Roman" w:hAnsi="Times New Roman"/>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5% Stockholders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Intel Corporation</w:t>
            </w:r>
            <w:r>
              <w:rPr>
                <w:rFonts w:ascii="Times New Roman" w:cs="Times New Roman" w:eastAsia="Times New Roman" w:hAnsi="Times New Roman"/>
                <w:sz w:val="17"/>
                <w:szCs w:val="17"/>
                <w:color w:val="auto"/>
                <w:vertAlign w:val="superscript"/>
              </w:rPr>
              <w:t>(1)</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Named Executive Officers,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Directors and Director</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tcBorders>
              <w:righ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Nominees</w:t>
            </w:r>
            <w:r>
              <w:rPr>
                <w:rFonts w:ascii="Times New Roman" w:cs="Times New Roman" w:eastAsia="Times New Roman" w:hAnsi="Times New Roman"/>
                <w:sz w:val="17"/>
                <w:szCs w:val="17"/>
                <w:b w:val="1"/>
                <w:bCs w:val="1"/>
                <w:i w:val="1"/>
                <w:iCs w:val="1"/>
                <w:color w:val="auto"/>
                <w:vertAlign w:val="superscript"/>
              </w:rPr>
              <w:t>(2)</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Amnon Shashua</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P. Gelsinger</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Anat Heller</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Patrick P. Gelsinger</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Erez Dagan</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Gavriel Hayon</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Erez Dagan</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Gavriel Hayon</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Shai Shalev-Shwartz</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Eyal Desheh</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Jon M. Huntsman Jr.</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Claire McCaskill</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Chrsitine Pambianchi</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Frank D. Yeary</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All executive officers, directors,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2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and director nominees</w:t>
            </w:r>
          </w:p>
        </w:tc>
        <w:tc>
          <w:tcPr>
            <w:tcW w:w="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8"/>
        </w:trPr>
        <w:tc>
          <w:tcPr>
            <w:tcW w:w="2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 a group ( persons)</w:t>
            </w:r>
          </w:p>
        </w:tc>
        <w:tc>
          <w:tcPr>
            <w:tcW w:w="16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-3001645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4760595</wp:posOffset>
            </wp:positionH>
            <wp:positionV relativeFrom="paragraph">
              <wp:posOffset>-3001645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-3001645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-3001645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-3001645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2351405</wp:posOffset>
            </wp:positionH>
            <wp:positionV relativeFrom="paragraph">
              <wp:posOffset>-3001645</wp:posOffset>
            </wp:positionV>
            <wp:extent cx="603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-3001645</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-3001645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-3001645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3526155</wp:posOffset>
            </wp:positionH>
            <wp:positionV relativeFrom="paragraph">
              <wp:posOffset>-3001645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620" w:right="519" w:hanging="360"/>
        <w:spacing w:after="0" w:line="258"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Class B common stock held directly by Intel Overseas Funding 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102" w:lineRule="exact"/>
        <w:rPr>
          <w:rFonts w:ascii="Times New Roman" w:cs="Times New Roman" w:eastAsia="Times New Roman" w:hAnsi="Times New Roman"/>
          <w:sz w:val="18"/>
          <w:szCs w:val="18"/>
          <w:color w:val="auto"/>
        </w:rPr>
      </w:pPr>
    </w:p>
    <w:p>
      <w:pPr>
        <w:ind w:left="1620" w:right="779" w:hanging="360"/>
        <w:spacing w:after="0" w:line="282" w:lineRule="auto"/>
        <w:tabs>
          <w:tab w:leader="none" w:pos="1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principal business address of each person is c/o Mobileye Holdings Inc., Har Hotzvim, 13 Hartom Street P.O. Box 45157 Jerusalem 9777513,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0" w:lineRule="exact"/>
        <w:rPr>
          <w:sz w:val="20"/>
          <w:szCs w:val="20"/>
          <w:color w:val="auto"/>
        </w:rPr>
      </w:pPr>
    </w:p>
    <w:p>
      <w:pPr>
        <w:ind w:left="1260" w:right="5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our authorized capital stock will consist of             shares of capital stock, par value $0.01 per share, of which:</w:t>
      </w:r>
    </w:p>
    <w:p>
      <w:pPr>
        <w:spacing w:after="0" w:line="40" w:lineRule="exact"/>
        <w:rPr>
          <w:sz w:val="20"/>
          <w:szCs w:val="20"/>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A common stock;</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Class B common stock;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are designated as preferred stock.</w:t>
      </w:r>
    </w:p>
    <w:p>
      <w:pPr>
        <w:spacing w:after="0" w:line="144"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After the completion of this offering, we will be a “controlled company” within the meaning of the corporate governance standards of                               . See “Management — Controlled Company Exemption.” Unless our board of directors determines otherwise, we will issue all shares of our capital stock in uncertificated form.</w:t>
      </w:r>
    </w:p>
    <w:p>
      <w:pPr>
        <w:spacing w:after="0" w:line="110" w:lineRule="exact"/>
        <w:rPr>
          <w:sz w:val="20"/>
          <w:szCs w:val="20"/>
          <w:color w:val="auto"/>
        </w:rPr>
      </w:pPr>
    </w:p>
    <w:p>
      <w:pPr>
        <w:ind w:left="1260" w:right="8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our amended and restated certificate of incorporation, we will be authorized to issue up to             shares of common stock, including             shares of our Class A common stock and            </w:t>
      </w:r>
    </w:p>
    <w:p>
      <w:pPr>
        <w:ind w:left="1260"/>
        <w:spacing w:after="0"/>
        <w:rPr>
          <w:sz w:val="20"/>
          <w:szCs w:val="20"/>
          <w:color w:val="auto"/>
        </w:rPr>
      </w:pPr>
      <w:r>
        <w:rPr>
          <w:rFonts w:ascii="Times New Roman" w:cs="Times New Roman" w:eastAsia="Times New Roman" w:hAnsi="Times New Roman"/>
          <w:sz w:val="18"/>
          <w:szCs w:val="18"/>
          <w:color w:val="auto"/>
        </w:rPr>
        <w:t>shares of our Class B common stock.</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have two classes of authorized common stock: Class A common stock and Class B common stock. The rights of the holders of our Class A common stock and Class B common stock will be identical, except with respect to voting, transfer, and conversion rights.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4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Holders of our Class A common stock will be entitled to one vote for each share held of record on all matters submitted to a vote of stockholders. Holders of our Class B common stock will be entitled to ten votes for each share held of record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283" w:lineRule="exact"/>
        <w:rPr>
          <w:sz w:val="20"/>
          <w:szCs w:val="20"/>
          <w:color w:val="auto"/>
        </w:rPr>
      </w:pPr>
    </w:p>
    <w:p>
      <w:pPr>
        <w:ind w:left="1800" w:right="839" w:hanging="180"/>
        <w:spacing w:after="0" w:line="266"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9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articles of incorporation that will become effective immediately prior to the completion of this offering will provide that stockholders are not entitled to cumulative voting for the election of directors. As a result, the holders of a majority of our voting shares can elect all of the directors then standing for election.</w:t>
      </w:r>
    </w:p>
    <w:p>
      <w:pPr>
        <w:spacing w:after="0" w:line="11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Immediately following the completion of this offering, investors purchasing shares of our Class A common stock in this offering will hold approximately            % of the voting power of our outstanding common stock (or approximately            % if the underwriters exercise their option to purchase additional</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7" w:lineRule="auto"/>
        <w:rPr>
          <w:sz w:val="20"/>
          <w:szCs w:val="20"/>
          <w:color w:val="auto"/>
        </w:rPr>
      </w:pPr>
      <w:r>
        <w:rPr>
          <w:rFonts w:ascii="Times New Roman" w:cs="Times New Roman" w:eastAsia="Times New Roman" w:hAnsi="Times New Roman"/>
          <w:sz w:val="18"/>
          <w:szCs w:val="18"/>
          <w:color w:val="auto"/>
        </w:rPr>
        <w:t>shares of our Class A common stock in full). Intel, which will beneficially own all of the outstanding shares of our Class B common stock, will beneficially own approximately            % of the voting power our common stock (or approximately            % if the underwriters exercise their option to purchase additional shares of our Class A common stock in full) and, as a result, will have the ability to control the outcome of matters submitted to our stockholders for approval, including the election of our directors and the approval of significant corporate transactions.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Each share of our Class B common stock will be convertible into one share of Class A common stock at the option of the holder, provided that if our Class B common stock is distributed to security holders of Intel Corporation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will be entitled to one vote per share and, subject to applicable law, will vote together as a single class and neither class of common stock will be entitled to a separate class vote. All conversions will be effected on a share-for-share basis.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Holders of our common stock will be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See “Dividend Policy.”</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48"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pro rata our remaining assets available for distribution.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common stock that will be outstanding at the time of the completion of the offering will be fully paid and non- assessable. The rights, preferences, and privileges of the holders of our common stock are subject to, and may be adversely affected by, the rights of the holders of shares of any series of preferred stock that we may issue in the future.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our amended and restated certificate of incorporation, we will be authorized to issue up</w:t>
      </w:r>
    </w:p>
    <w:p>
      <w:pPr>
        <w:spacing w:after="0" w:line="27" w:lineRule="exact"/>
        <w:rPr>
          <w:sz w:val="20"/>
          <w:szCs w:val="20"/>
          <w:color w:val="auto"/>
        </w:rPr>
      </w:pPr>
    </w:p>
    <w:p>
      <w:pPr>
        <w:ind w:left="1260" w:right="619"/>
        <w:spacing w:after="0" w:line="243" w:lineRule="auto"/>
        <w:rPr>
          <w:sz w:val="20"/>
          <w:szCs w:val="20"/>
          <w:color w:val="auto"/>
        </w:rPr>
      </w:pPr>
      <w:r>
        <w:rPr>
          <w:rFonts w:ascii="Times New Roman" w:cs="Times New Roman" w:eastAsia="Times New Roman" w:hAnsi="Times New Roman"/>
          <w:sz w:val="18"/>
          <w:szCs w:val="18"/>
          <w:color w:val="auto"/>
        </w:rPr>
        <w:t>to                     shares of preferred stock. The preferred stock may be issued in one or more series, and our board of directors is expressly authorized to (1) fix the descriptions, powers, preferences, rights, qualifications, limitations, and restrictions with respect to any series of preferred stock and (2) specify the number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presently have no plan to issue any shares of preferred stock.</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DGCL</w:t>
      </w:r>
    </w:p>
    <w:p>
      <w:pPr>
        <w:spacing w:after="0" w:line="162" w:lineRule="exact"/>
        <w:rPr>
          <w:sz w:val="20"/>
          <w:szCs w:val="20"/>
          <w:color w:val="auto"/>
        </w:rPr>
      </w:pPr>
    </w:p>
    <w:p>
      <w:pPr>
        <w:ind w:left="1260" w:right="579" w:firstLine="360"/>
        <w:spacing w:after="0" w:line="274" w:lineRule="auto"/>
        <w:rPr>
          <w:sz w:val="20"/>
          <w:szCs w:val="20"/>
          <w:color w:val="auto"/>
        </w:rPr>
      </w:pPr>
      <w:r>
        <w:rPr>
          <w:rFonts w:ascii="Times New Roman" w:cs="Times New Roman" w:eastAsia="Times New Roman" w:hAnsi="Times New Roman"/>
          <w:sz w:val="18"/>
          <w:szCs w:val="18"/>
          <w:color w:val="auto"/>
        </w:rPr>
        <w:t>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8" w:lineRule="exact"/>
        <w:rPr>
          <w:sz w:val="20"/>
          <w:szCs w:val="20"/>
          <w:color w:val="auto"/>
        </w:rPr>
      </w:pPr>
    </w:p>
    <w:p>
      <w:pPr>
        <w:ind w:left="1800" w:right="53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4" w:lineRule="exact"/>
        <w:rPr>
          <w:rFonts w:ascii="Times New Roman" w:cs="Times New Roman" w:eastAsia="Times New Roman" w:hAnsi="Times New Roman"/>
          <w:sz w:val="18"/>
          <w:szCs w:val="18"/>
          <w:color w:val="auto"/>
        </w:rPr>
      </w:pPr>
    </w:p>
    <w:p>
      <w:pPr>
        <w:ind w:left="1800" w:right="419" w:hanging="180"/>
        <w:spacing w:after="0" w:line="270"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outstanding voting stock that is not owned by the interested stockholder.</w:t>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1800" w:hanging="180"/>
        <w:spacing w:after="0"/>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jc w:val="both"/>
        <w:ind w:left="1800" w:right="559" w:hanging="180"/>
        <w:spacing w:after="0" w:line="275"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29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81"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34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amended and restated certificate of incorporation, we will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below are provisions that will be included in our amended and restated certificate of incorporation and our amended and restated bylaws that could deter hostile takeovers or delay or prevent changes in control of our management team.</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Dual class stock</w:t>
      </w:r>
    </w:p>
    <w:p>
      <w:pPr>
        <w:spacing w:after="0" w:line="160"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As described above in “— Common Stock — Voting Rights,” our amended and restated certificate of incorporation will provide for a dual class common stock structure, which will provide Intel with the ability to control the outcome of matters submitted to our stockholders for approval, including the election of our directors and the approval of significant corporate transactions.</w:t>
      </w:r>
    </w:p>
    <w:p>
      <w:pPr>
        <w:spacing w:after="0" w:line="17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Board of director vacancies</w:t>
      </w:r>
    </w:p>
    <w:p>
      <w:pPr>
        <w:spacing w:after="0" w:line="160"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will authorize only our 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Stockholder action and special meetings of the stockholders</w:t>
      </w:r>
    </w:p>
    <w:p>
      <w:pPr>
        <w:spacing w:after="0" w:line="16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will further provide that special meetings of our stockholders may be called only by a majority of our board of directors, the chairperson of our board of directors, or our chief executive officer, thus prohibiting stockholders from calling a special meeting. These provisions might delay the ability of our stockholders to force consideration of a proposal or for stockholders to take any action, including the removal of directors.</w:t>
      </w:r>
    </w:p>
    <w:p>
      <w:pPr>
        <w:spacing w:after="0" w:line="1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46"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60" w:lineRule="exact"/>
        <w:rPr>
          <w:sz w:val="20"/>
          <w:szCs w:val="20"/>
          <w:color w:val="auto"/>
        </w:rPr>
      </w:pPr>
    </w:p>
    <w:p>
      <w:pPr>
        <w:jc w:val="both"/>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Our amended and restated bylaws, to the fullest extent permitted by law, will provide that, unless we consent in writing to the selection of an alternative forum, the Court of Chancery of the State of Delaware will be the sole and exclusive forum for (1) any derivative action or proceeding brought on behalf of us,</w:t>
      </w:r>
    </w:p>
    <w:p>
      <w:pPr>
        <w:ind w:left="1260" w:right="699"/>
        <w:spacing w:after="0"/>
        <w:tabs>
          <w:tab w:leader="none" w:pos="152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duty (including any fiduciary duty) owed by any of our current or former directors, officers, stockholders, employees or agents to us or our stockholders, (3) any action asserting</w:t>
      </w: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 Our amended and restated bylaws will provide that the federal district courts of the U.S. will, to the fullest extent permitted by law, be the sole and exclusive forum for resolving any complaint asserting a cause of action arising under the Securities Act. Our amended and restated bylaws will provide that neither the exclusive forum provision nor our federal forum provision applies to suits brought to enforce any duty or liability created by the Exchange Act.</w:t>
      </w:r>
    </w:p>
    <w:p>
      <w:pPr>
        <w:spacing w:after="0" w:line="326"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Our amended and restated bylaws will also provide that any person or entity purchasing or otherwise acquiring any interest in shares of our capital stock will be deemed to have notice of and to have consented to the foregoing provision; provided, however, that stockholders will not be deemed to have waived our compliance with the federal securities laws and the rules and regulations thereunder. We recognize that the forum selection clause in our amended and restated bylaws may impose additional litigation costs on stockholders in pursuing any such claims, particularly if the stockholders do not reside in or near the State of Delaware. Additionally, the forum selection clause in our amended and restated bylaws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For more information on the risks associated with our choice of forum provision, see “Risk Factors —  Risks Related to the Offering and Our Class A Common Stock — Our amended and restated bylaws will contain exclusive forum provisions for certain claims, which could limit our stockholders’ ability to obtain a favorable judicial forum for disputes with us or our directors, officers, or employees.”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Directors and Officers</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112"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32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Our amended and restated bylaws will provide that we must generally indemnify, and advance expenses to, our directors and officers appointed by our board of directors to the fullest extent authorized by the DGCL. We also will be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114"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w:t>
      </w: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799"/>
        <w:spacing w:after="0" w:line="266" w:lineRule="auto"/>
        <w:rPr>
          <w:sz w:val="20"/>
          <w:szCs w:val="20"/>
          <w:color w:val="auto"/>
        </w:rPr>
      </w:pPr>
      <w:r>
        <w:rPr>
          <w:rFonts w:ascii="Times New Roman" w:cs="Times New Roman" w:eastAsia="Times New Roman" w:hAnsi="Times New Roman"/>
          <w:sz w:val="18"/>
          <w:szCs w:val="18"/>
          <w:color w:val="auto"/>
        </w:rPr>
        <w:t>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0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employees, or agents for which indemnification is sought.</w:t>
      </w:r>
    </w:p>
    <w:p>
      <w:pPr>
        <w:spacing w:after="0" w:line="94"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Prior to the completion of this offering, we intend to enter into separate indemnification agreements with each of our directors and executive officers pursuant to which we will agree to indemnify them to the fullest extent permitted by Delaware law.</w:t>
      </w:r>
    </w:p>
    <w:p>
      <w:pPr>
        <w:spacing w:after="0" w:line="95"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intend to apply to list our Class A common stock on             under the symbol “              ”.</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the transfer agent and registrar for our common stock will be               . The transfer agent and registrar’s address is 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162" w:lineRule="exact"/>
        <w:rPr>
          <w:sz w:val="20"/>
          <w:szCs w:val="20"/>
          <w:color w:val="auto"/>
        </w:rPr>
      </w:pPr>
    </w:p>
    <w:p>
      <w:pPr>
        <w:ind w:left="1260" w:right="679" w:firstLine="360"/>
        <w:spacing w:after="0" w:line="245"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and we cannot predict the effect, if any, that sales of shares or availability of any shares for sale will have on the market price of our Class A common stock prevailing from time to time. Sales of substantial amounts of our Class A common stock (including shares of Class A common stock issued on the exercise of options, warrants or convertible securities, if any) or the perception that such sales could occur, could adversely affect the market price of our Class A common stock and our ability to raise additional capital through a future sale of securities.</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Upon the completion of this offering, we will have           shares of our Class A common stock issued and outstanding (or           shares if the underwriters exercise their option to purchase additional shares of our Class A common stock in full) and           shares of our Class B common stock issued and outstanding. All of the shares of our Class A common stock sold in this offering will be freely tradable without restriction or further registration under the Securities Act unless such shares are purchased by “affiliates” as that term is defined in Rule 144. Upon the completion of this offering, all of our outstanding Class B common stock will be beneficially owned by Intel. Any shares of our Class A common stock not sold in this offering and all shares of our Class B common stock will be “restricted securities” as that phrase is defined in Rule 144. Subject to certain contractual restrictions, including the lock-up agreements described below, holders of restricted shares will be entitled to sell those shares in the public market if they qualify for an exemption from registration under Rule 144, Rule 701, or any other applicable exemption under the Securities Act.</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“Underwriting” for a description of the lock-up agreements applicable to our shares.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general, under Rule 144 of the Securities Act, persons who became the beneficial owner of shares of our common stock prior to the completion of this offering may not sell their shares until the earlier of</w:t>
      </w:r>
    </w:p>
    <w:p>
      <w:pPr>
        <w:ind w:left="1260" w:right="459"/>
        <w:spacing w:after="0" w:line="239" w:lineRule="auto"/>
        <w:tabs>
          <w:tab w:leader="none" w:pos="152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six-month holding period, if we have been subject to the reporting requirements of the Exchange Act and have filed all required reports for at least 90 days prior to the date of the sale, or (2) a one-year holding period.</w:t>
      </w:r>
    </w:p>
    <w:p>
      <w:pPr>
        <w:spacing w:after="0" w:line="11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56" w:lineRule="exact"/>
        <w:rPr>
          <w:sz w:val="20"/>
          <w:szCs w:val="20"/>
          <w:color w:val="auto"/>
        </w:rPr>
      </w:pPr>
    </w:p>
    <w:p>
      <w:pPr>
        <w:ind w:left="1800" w:right="43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the number of shares of our Class A common stock then outstanding, which will equal approximately           shares immediately after this offering;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during the four calendar weeks preceding the filing of a notice on Form 144 with respect to the sale.</w:t>
      </w:r>
    </w:p>
    <w:p>
      <w:pPr>
        <w:spacing w:after="0" w:line="8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11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In addition, sales under Rule 144 by affiliates or persons who have been affiliates within the previous 90 days are also subject to manner of sale provisions and notice requirements. Upon completion of the lock-up period, subject to any extension of the lock- up period under circumstances described above, approximately           shares of our outstanding restricted securities will be eligible for sale under Rule 144 subject to limitations on sales by affiliates.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 general, under Rule 701, any of our employees, directors, officers, consultants, or advisors who purchased shares from us in connection with a compensatory stock or option plan or other written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under Rule 144 without compliance with that rule’s holding period or current public information requirement. If such a person is an affiliate, the sale may be made under Rule 144 without compliance with that rule’s one-year minimum holding period, but subject to the other Rule 144 requirements.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Statements on Form S-8</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shares of our common stock subject to outstanding stock options and the shares of stock subject to issuance under our equity incentive plan. Any such Form S-8 registration statement will automatically become effective upon filing. Accordingly shares registered under such registration statements will be available for sale in the open market. We expect that the initial registration statement on Form S-8 will cover           shares.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this offering, we will enter into an agreement that will provide that Intel will be entitled to various rights with respect to the registration of the offer and sale of our securities that it holds under the Securities Act, subject to the lock-up agreements described above. If the offer and sale of these shares is registered, these shares will become freely tradable without restriction under the Securities Act immediately upon the effectiveness of the registration,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 U.S. holder in light of that holder’s particular circumstances or that may be applicable to holders subject to special treatment under U.S. federal income tax law (including, for example, banks and other financial institutions, dealers in securities, traders in securities that elect mark-to-market treatment,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holders liable for the alternative minimum tax, certain expatriates and former citizens or former long-term residents of the United States, holders who have a “functional currency” other than the U.S. dollar, and holders who hold shares of our Class A common stock as part of a hedge, straddle, constructive sale or conversion transaction). In addition, this discussion does not address U.S. federal tax laws other than those pertaining to the U.S. federal income tax, nor does it address any aspects of the unearned income Medicare contribution tax or U.S. state, local or non- U.S. taxes. Accordingly, prospective investors should consult with their own tax advisors regarding the U.S. federal, state, local, non-U.S. income and other tax considerations (including any U.S. federal estate or gift tax considerations) of owning and disposing of shares of our Class A common stock.</w:t>
      </w:r>
    </w:p>
    <w:p>
      <w:pPr>
        <w:spacing w:after="0" w:line="328" w:lineRule="exact"/>
        <w:rPr>
          <w:sz w:val="20"/>
          <w:szCs w:val="20"/>
          <w:color w:val="auto"/>
        </w:rPr>
      </w:pPr>
    </w:p>
    <w:p>
      <w:pPr>
        <w:ind w:left="1260" w:right="6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 beneficial owner of our Class A common stock that is not any of the following:</w:t>
      </w:r>
    </w:p>
    <w:p>
      <w:pPr>
        <w:spacing w:after="0" w:line="40" w:lineRule="exact"/>
        <w:rPr>
          <w:sz w:val="20"/>
          <w:szCs w:val="20"/>
          <w:color w:val="auto"/>
        </w:rPr>
      </w:pPr>
    </w:p>
    <w:p>
      <w:pPr>
        <w:ind w:left="1800" w:hanging="180"/>
        <w:spacing w:after="0"/>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53"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9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6" w:lineRule="exact"/>
        <w:rPr>
          <w:sz w:val="20"/>
          <w:szCs w:val="20"/>
          <w:color w:val="auto"/>
        </w:rPr>
      </w:pPr>
    </w:p>
    <w:p>
      <w:pPr>
        <w:ind w:left="1260" w:right="55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 on Our Class A Common Stock</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In general, subject to the discussion below under “— Foreign Account Tax Compliance Act,” any distributions we make to a non-U.S. holder with respect to its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United States (and, if required by an applicable income tax treaty, are attributable to a permanent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establishment of the non-U.S. holder within the U.S.). A distribution generally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and, to the extent such distribution exceeds the adjusted basis in the non-U.S. holder’s shares of our Class A common stock, as gain from the sale or exchange of such shares.</w:t>
      </w:r>
    </w:p>
    <w:p>
      <w:pPr>
        <w:spacing w:after="0" w:line="11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Dividends effectively connected with a U.S. trade or business (and, if required by an applicable income tax treaty, attributable to a U.S. permanent establishment) of a non-U.S. holder generally will not be subject to U.S. withholding tax if the non-U.S. holder complies with applicable certification and disclosure requirements.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Our Class A Common Stock</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on any gain recognized upon the sale or other disposition of our Class A common stock unless:</w:t>
      </w:r>
    </w:p>
    <w:p>
      <w:pPr>
        <w:spacing w:after="0" w:line="40" w:lineRule="exact"/>
        <w:rPr>
          <w:sz w:val="20"/>
          <w:szCs w:val="20"/>
          <w:color w:val="auto"/>
        </w:rPr>
      </w:pPr>
    </w:p>
    <w:p>
      <w:pPr>
        <w:ind w:left="1800" w:right="51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satisfied; or</w:t>
      </w:r>
    </w:p>
    <w:p>
      <w:pPr>
        <w:spacing w:after="0" w:line="40"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the five-year period ending on the date of the disposition and the non-U.S. holder’s holding period and certain other conditions are satisfied.</w:t>
      </w:r>
    </w:p>
    <w:p>
      <w:pPr>
        <w:spacing w:after="0" w:line="108"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Provisions commonly referred to as the Foreign Account Tax Compliance Act (“FATCA”) impose withholding (separate and apart from, but without duplication of, the withholding tax described above) at a rate of 30% on payments of dividends (including constructive dividends) on shares of our Class A common stock to certain foreign financial institutions (which is broadly defined for this purpose and in general includes investment vehicles) and certain non-financial foreign entities unless (1) in the case of a foreign financial institution, such institution enters into, and complies with, an agreement with the U.S. government to withhold on certain payments, and to collect and provide, on an annual basis, to the U.S. tax authorities substantial information regarding U.S. account holders of such institution (which includes certain equity and debt holders of such institution, as well as certain account holders that are foreign entities with U.S. owners), (2) in the case of a non-financial foreign entity, such entity certifies to the withholding agent that it does not have any substantial U.S. owners or provides the withholding agent with a certification identifying</w:t>
      </w: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the direct and indirect substantial U.S. owners of the entity, (3) the foreign financial institution or non-financial foreign entity otherwise qualifies for an exemption from these rules or, if required under an intergovernmental agreement between the United States and an applicable foreign country, reports the information described in clause (1) to its local tax authority, which will exchange such information with the U.S. authorities. If FATCA withholding is imposed, a beneficial owner that is not a foreign financial institution will generally be entitled to a refund of any amounts withheld by filing a U.S. federal income tax return (which may entail significant administrative burden).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Prospective investors should consult their tax advisors regarding the possible implications of FATCA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and the underwriters named below will enter into an underwriting agreement with respect to the shares being offered. Subject to certain conditions, each underwriter will severally agree to purchase the number of shares of our Class A common stock indicated in the following table. Goldman Sachs &amp; Co. LLC and Morgan Stanley &amp; Co. LLC are acting as the representatives of the underwriters.</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4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4"/>
                <w:szCs w:val="14"/>
                <w:color w:val="auto"/>
              </w:rPr>
            </w:pPr>
          </w:p>
        </w:tc>
      </w:tr>
      <w:tr>
        <w:trPr>
          <w:trHeight w:val="214"/>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460" w:type="dxa"/>
            <w:vAlign w:val="bottom"/>
            <w:gridSpan w:val="2"/>
          </w:tcPr>
          <w:p>
            <w:pPr>
              <w:ind w:left="2240"/>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34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46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24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4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60" w:type="dxa"/>
            <w:vAlign w:val="bottom"/>
            <w:tcBorders>
              <w:top w:val="single" w:sz="8" w:color="CCEEFF"/>
              <w:bottom w:val="single" w:sz="8" w:color="CCEEFF"/>
            </w:tcBorders>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bottom w:val="single" w:sz="8" w:color="auto"/>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1165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1650" cy="8255"/>
                    </a:xfrm>
                    <a:prstGeom prst="rect">
                      <a:avLst/>
                    </a:prstGeom>
                    <a:noFill/>
                  </pic:spPr>
                </pic:pic>
              </a:graphicData>
            </a:graphic>
          </wp:anchor>
        </w:drawing>
        <w:drawing>
          <wp:anchor simplePos="0" relativeHeight="251657728" behindDoc="1" locked="0" layoutInCell="0" allowOverlap="1">
            <wp:simplePos x="0" y="0"/>
            <wp:positionH relativeFrom="column">
              <wp:posOffset>5206365</wp:posOffset>
            </wp:positionH>
            <wp:positionV relativeFrom="paragraph">
              <wp:posOffset>-548005</wp:posOffset>
            </wp:positionV>
            <wp:extent cx="137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95"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underwriters will have an option to purchase up to an additional                               shares of our Class A common stock from us. They may exercise that option for 30 days. If any shares are purchased pursuant to this option, the underwriters will severally purchase shares in approximately the same proportion as set forth in the table above.</w:t>
      </w:r>
    </w:p>
    <w:p>
      <w:pPr>
        <w:spacing w:after="0" w:line="110"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following table shows the per share and total underwriting discounts and commissions to be paid to the underwriters by us in connection with this offering. Such amounts are shown assuming both no exercise and full exercise of the underwriters’ option to purchase                               additional shares.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No Exercise</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Full Exercise </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bottom w:val="single" w:sz="8" w:color="auto"/>
            </w:tcBorders>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3"/>
          </w:tcPr>
          <w:p>
            <w:pPr>
              <w:ind w:left="14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b w:val="1"/>
                <w:bCs w:val="1"/>
                <w:color w:val="auto"/>
                <w:vertAlign w:val="subscript"/>
              </w:rPr>
              <w:t>​</w:t>
            </w:r>
          </w:p>
        </w:tc>
      </w:tr>
      <w:tr>
        <w:trPr>
          <w:trHeight w:val="20"/>
        </w:trPr>
        <w:tc>
          <w:tcPr>
            <w:tcW w:w="5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-393700</wp:posOffset>
            </wp:positionV>
            <wp:extent cx="42348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205"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06"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We, all of our directors, executive officers, and holders of our common stock and securities exercisable for or convertible into shares of our common stock outstanding immediately prior to the completion of this offering have agreed, or will agree, with the underwriters that, until the 180th day after the date of this prospectus, subject to certain exceptions, we and they will not, without the prior written consent of Goldman Sachs &amp; Co. LLC and Morgan Stanley &amp; Co. LLC, (1) offer, sell, contract to sell, pledge, grant any option to purchase, lend or otherwise dispose of any shares of our common stock, or any options or warrants to purchase any shares of our common stock, or any securities convertible into, exchangeable for or that represent the right to receive shares of our common stock,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(or instrument provided for thereunder) would be settled by delivery of our common stock or other securities, in cash or otherwise, or</w:t>
      </w:r>
    </w:p>
    <w:p>
      <w:pPr>
        <w:spacing w:after="0" w:line="10" w:lineRule="exact"/>
        <w:rPr>
          <w:sz w:val="20"/>
          <w:szCs w:val="20"/>
          <w:color w:val="auto"/>
        </w:rPr>
      </w:pPr>
    </w:p>
    <w:p>
      <w:pPr>
        <w:ind w:left="1260" w:right="879"/>
        <w:spacing w:after="0" w:line="255" w:lineRule="auto"/>
        <w:tabs>
          <w:tab w:leader="none" w:pos="152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publicly announce any intention to engage in or cause any action or activity described in clauses (1) or (2) above. See “Shares Eligible for Future Sale” for a discussion of certain transfer restrictions.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Goldman Sachs &amp; Co. LLC and Morgan Stanley &amp; Co. LLC may, in their discretion, release any of the securities subject to these lockup agreements at any time, subject to applicable notice requirements.</w:t>
      </w:r>
    </w:p>
    <w:p>
      <w:pPr>
        <w:spacing w:after="0" w:line="94"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Prior to the offering, there has been no public market for the shares. The initial public offering price will be negotiated among us and the representatives. Among the factors to be considered in determining the initial public offering price of our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20"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We intend to apply to have our Class A common stock approved for listing on the                 under the symbol “                     ”.</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342" w:lineRule="exact"/>
        <w:rPr>
          <w:sz w:val="20"/>
          <w:szCs w:val="20"/>
          <w:color w:val="auto"/>
        </w:rPr>
      </w:pPr>
    </w:p>
    <w:p>
      <w:pPr>
        <w:ind w:left="1260" w:right="639" w:firstLine="360"/>
        <w:spacing w:after="0" w:line="263"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33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 in the over-the-counter market, or otherwise.</w:t>
      </w:r>
    </w:p>
    <w:p>
      <w:pPr>
        <w:spacing w:after="0" w:line="108"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and commissions, will be approximately $            million.</w:t>
      </w:r>
    </w:p>
    <w:p>
      <w:pPr>
        <w:spacing w:after="0" w:line="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We will also agree to reimburse the underwriters for expenses in an amount not to exceed</w:t>
      </w:r>
    </w:p>
    <w:p>
      <w:pPr>
        <w:spacing w:after="0" w:line="27" w:lineRule="exact"/>
        <w:rPr>
          <w:sz w:val="20"/>
          <w:szCs w:val="20"/>
          <w:color w:val="auto"/>
        </w:rPr>
      </w:pPr>
    </w:p>
    <w:p>
      <w:pPr>
        <w:ind w:left="1260" w:right="479"/>
        <w:spacing w:after="0" w:line="255" w:lineRule="auto"/>
        <w:rPr>
          <w:sz w:val="20"/>
          <w:szCs w:val="20"/>
          <w:color w:val="auto"/>
        </w:rPr>
      </w:pPr>
      <w:r>
        <w:rPr>
          <w:rFonts w:ascii="Times New Roman" w:cs="Times New Roman" w:eastAsia="Times New Roman" w:hAnsi="Times New Roman"/>
          <w:sz w:val="18"/>
          <w:szCs w:val="18"/>
          <w:color w:val="auto"/>
        </w:rPr>
        <w:t>$            relating to any applicable state securities filings and to clearance of this offering with the Financial Industry Regulatory Authority. We will also agree to indemnify the several underwriters against certain liabilities, including liabilities under the Securities Act.</w:t>
      </w:r>
    </w:p>
    <w:p>
      <w:pPr>
        <w:spacing w:after="0" w:line="11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35"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Member State), no Class A common stock has been offered or will be offered pursuant to the offering to the public in that Member State prior to the publication of a prospectus in relation to our Class A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114" w:lineRule="exact"/>
        <w:rPr>
          <w:sz w:val="20"/>
          <w:szCs w:val="20"/>
          <w:color w:val="auto"/>
        </w:rPr>
      </w:pPr>
    </w:p>
    <w:p>
      <w:pPr>
        <w:ind w:left="2340" w:hanging="360"/>
        <w:spacing w:after="0"/>
        <w:tabs>
          <w:tab w:leader="none" w:pos="2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57" w:lineRule="exact"/>
        <w:rPr>
          <w:rFonts w:ascii="Times New Roman" w:cs="Times New Roman" w:eastAsia="Times New Roman" w:hAnsi="Times New Roman"/>
          <w:sz w:val="18"/>
          <w:szCs w:val="18"/>
          <w:color w:val="auto"/>
        </w:rPr>
      </w:pPr>
    </w:p>
    <w:p>
      <w:pPr>
        <w:ind w:left="1620" w:right="559" w:firstLine="360"/>
        <w:spacing w:after="0" w:line="250" w:lineRule="auto"/>
        <w:tabs>
          <w:tab w:leader="none" w:pos="23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10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1260" w:right="879"/>
        <w:spacing w:after="0" w:line="258" w:lineRule="auto"/>
        <w:rPr>
          <w:sz w:val="20"/>
          <w:szCs w:val="20"/>
          <w:color w:val="auto"/>
        </w:rPr>
      </w:pPr>
      <w:r>
        <w:rPr>
          <w:rFonts w:ascii="Times New Roman" w:cs="Times New Roman" w:eastAsia="Times New Roman" w:hAnsi="Times New Roman"/>
          <w:sz w:val="18"/>
          <w:szCs w:val="18"/>
          <w:color w:val="auto"/>
        </w:rPr>
        <w:t>provided that no such offer of our Class A common stock shall result in a requirement for us or any underwriter to publish a prospectus pursuant to Article 3 of the Prospectus Regulation or supplement a prospectus pursuant to Article 23 of the Prospectus Regulation.</w:t>
      </w:r>
    </w:p>
    <w:p>
      <w:pPr>
        <w:spacing w:after="0" w:line="102"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Each person in a Member State who initially acquires any of our Class A common stock or to whom any offer is made will be deemed to have represented, acknowledged, and agreed with us and the representatives that it is a qualified investor within the meaning of the Prospectus Regulation.</w:t>
      </w:r>
    </w:p>
    <w:p>
      <w:pPr>
        <w:spacing w:after="0" w:line="109"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In the case of any of our Class A common stock being offered to a financial intermediary as that term is used in Article 5(1) of the Prospectus Regulation, each such financial intermediary will be deemed to have represented, acknowledged and agreed that the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14"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We, the underwriters, and their affiliates will rely upon the truth and accuracy of the foregoing representations, acknowledgments, and agreements.</w:t>
      </w:r>
    </w:p>
    <w:p>
      <w:pPr>
        <w:spacing w:after="0" w:line="81"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of our Class A common stock in any Member State means the communication in any form and by any means of sufficient information on the terms of the offer and any of our Class A common stock to be offered so as to enable an investor to decide to purchase or subscribe for our Class A common stock, and the expression “Prospectus Regulation” means Regulation (EU) 2017/1129.</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48"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10" w:lineRule="exact"/>
        <w:rPr>
          <w:sz w:val="20"/>
          <w:szCs w:val="20"/>
          <w:color w:val="auto"/>
        </w:rPr>
      </w:pPr>
    </w:p>
    <w:p>
      <w:pPr>
        <w:ind w:left="1620" w:right="1179" w:firstLine="360"/>
        <w:spacing w:after="0" w:line="266"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58" w:lineRule="auto"/>
        <w:tabs>
          <w:tab w:leader="none" w:pos="23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1" w:lineRule="exact"/>
        <w:rPr>
          <w:rFonts w:ascii="Times New Roman" w:cs="Times New Roman" w:eastAsia="Times New Roman" w:hAnsi="Times New Roman"/>
          <w:sz w:val="18"/>
          <w:szCs w:val="18"/>
          <w:color w:val="auto"/>
        </w:rPr>
      </w:pPr>
    </w:p>
    <w:p>
      <w:pPr>
        <w:ind w:left="1620" w:right="699" w:firstLine="360"/>
        <w:spacing w:after="0" w:line="266" w:lineRule="auto"/>
        <w:tabs>
          <w:tab w:leader="none" w:pos="23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or FSMA;</w:t>
      </w:r>
    </w:p>
    <w:p>
      <w:pPr>
        <w:spacing w:after="0" w:line="9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provided that no such offer of the shares shall require the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48" w:lineRule="exact"/>
        <w:rPr>
          <w:sz w:val="20"/>
          <w:szCs w:val="20"/>
          <w:color w:val="auto"/>
        </w:rPr>
      </w:pPr>
    </w:p>
    <w:p>
      <w:pPr>
        <w:ind w:left="1260" w:right="839" w:firstLine="360"/>
        <w:spacing w:after="0" w:line="247" w:lineRule="auto"/>
        <w:rPr>
          <w:sz w:val="20"/>
          <w:szCs w:val="20"/>
          <w:color w:val="auto"/>
        </w:rPr>
      </w:pPr>
      <w:r>
        <w:rPr>
          <w:rFonts w:ascii="Times New Roman" w:cs="Times New Roman" w:eastAsia="Times New Roman" w:hAnsi="Times New Roman"/>
          <w:sz w:val="18"/>
          <w:szCs w:val="18"/>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(1) a limited number of persons in accordance with the Israeli Securities Law and</w:t>
      </w:r>
    </w:p>
    <w:p>
      <w:pPr>
        <w:spacing w:after="0" w:line="3" w:lineRule="exact"/>
        <w:rPr>
          <w:sz w:val="20"/>
          <w:szCs w:val="20"/>
          <w:color w:val="auto"/>
        </w:rPr>
      </w:pPr>
    </w:p>
    <w:p>
      <w:pPr>
        <w:ind w:left="1260" w:right="479"/>
        <w:spacing w:after="0"/>
        <w:tabs>
          <w:tab w:leader="none" w:pos="152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50 million New Israeli Shekels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21" w:lineRule="exact"/>
        <w:rPr>
          <w:sz w:val="20"/>
          <w:szCs w:val="20"/>
          <w:color w:val="auto"/>
        </w:rPr>
      </w:pPr>
    </w:p>
    <w:p>
      <w:pPr>
        <w:ind w:left="1260" w:right="819" w:firstLine="360"/>
        <w:spacing w:after="0" w:line="25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Our Class A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33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spacing w:after="0" w:line="1" w:lineRule="exact"/>
        <w:rPr>
          <w:sz w:val="20"/>
          <w:szCs w:val="20"/>
          <w:color w:val="auto"/>
        </w:rPr>
      </w:pPr>
    </w:p>
    <w:p>
      <w:pPr>
        <w:ind w:left="1520" w:hanging="260"/>
        <w:spacing w:after="0"/>
        <w:tabs>
          <w:tab w:leader="none" w:pos="1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(4) where the transfer is by operation of law,</w:t>
      </w:r>
    </w:p>
    <w:p>
      <w:pPr>
        <w:spacing w:after="0" w:line="9" w:lineRule="exact"/>
        <w:rPr>
          <w:rFonts w:ascii="Times New Roman" w:cs="Times New Roman" w:eastAsia="Times New Roman" w:hAnsi="Times New Roman"/>
          <w:sz w:val="18"/>
          <w:szCs w:val="18"/>
          <w:color w:val="auto"/>
        </w:rPr>
      </w:pPr>
    </w:p>
    <w:p>
      <w:pPr>
        <w:ind w:left="1260" w:right="499"/>
        <w:spacing w:after="0" w:line="260" w:lineRule="auto"/>
        <w:tabs>
          <w:tab w:leader="none" w:pos="152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 (6) as specified in Regulation 32 of the Securities and Futures (Offers of Investments) (Shares and Debentures) Regulations 2005 of Singapore (“Regulation 32”).</w:t>
      </w:r>
    </w:p>
    <w:p>
      <w:pPr>
        <w:spacing w:after="0" w:line="11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our Class A common stock under Section 275 of the SFA except:</w:t>
      </w:r>
    </w:p>
    <w:p>
      <w:pPr>
        <w:spacing w:after="0" w:line="3" w:lineRule="exact"/>
        <w:rPr>
          <w:sz w:val="20"/>
          <w:szCs w:val="20"/>
          <w:color w:val="auto"/>
        </w:rPr>
      </w:pPr>
    </w:p>
    <w:p>
      <w:pPr>
        <w:ind w:left="1260" w:right="459"/>
        <w:spacing w:after="0" w:line="252" w:lineRule="auto"/>
        <w:tabs>
          <w:tab w:leader="none" w:pos="15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6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Dubai International Financial Centre</w:t>
      </w:r>
    </w:p>
    <w:p>
      <w:pPr>
        <w:spacing w:after="0" w:line="148"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3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35"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our Class A common stock or the offering may be publicly distributed or otherwise made publicly available in Switzerland.</w:t>
      </w:r>
    </w:p>
    <w:p>
      <w:pPr>
        <w:spacing w:after="0" w:line="107" w:lineRule="exact"/>
        <w:rPr>
          <w:sz w:val="20"/>
          <w:szCs w:val="20"/>
          <w:color w:val="auto"/>
        </w:rPr>
      </w:pPr>
    </w:p>
    <w:p>
      <w:pPr>
        <w:ind w:left="1260" w:right="459" w:firstLine="360"/>
        <w:spacing w:after="0" w:line="23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our Class A common stock will not be supervised by, the Swiss Financial Market Supervisory Authority and the offer of our Class A common stock has not been and will not be authorized under the Swiss Federal Act on Collective Investment Schemes (“CISA”). The investor protection afforded to acquirers of interests in collective investment schemes under the CISA does not extend to acquirers of our Class A common stock.</w:t>
      </w:r>
    </w:p>
    <w:p>
      <w:pPr>
        <w:spacing w:after="0" w:line="1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35" w:lineRule="exact"/>
        <w:rPr>
          <w:sz w:val="20"/>
          <w:szCs w:val="20"/>
          <w:color w:val="auto"/>
        </w:rPr>
      </w:pPr>
    </w:p>
    <w:p>
      <w:pPr>
        <w:ind w:left="1260" w:right="539" w:firstLine="360"/>
        <w:spacing w:after="0"/>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3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offer in Australia of our Class A common stock may only be made to persons, or “Exempt</w:t>
      </w:r>
    </w:p>
    <w:p>
      <w:pPr>
        <w:spacing w:after="0" w:line="16" w:lineRule="exact"/>
        <w:rPr>
          <w:sz w:val="20"/>
          <w:szCs w:val="20"/>
          <w:color w:val="auto"/>
        </w:rPr>
      </w:pPr>
    </w:p>
    <w:p>
      <w:pPr>
        <w:ind w:left="1260" w:right="499"/>
        <w:spacing w:after="0" w:line="242" w:lineRule="auto"/>
        <w:rPr>
          <w:sz w:val="20"/>
          <w:szCs w:val="20"/>
          <w:color w:val="auto"/>
        </w:rPr>
      </w:pPr>
      <w:r>
        <w:rPr>
          <w:rFonts w:ascii="Times New Roman" w:cs="Times New Roman" w:eastAsia="Times New Roman" w:hAnsi="Times New Roman"/>
          <w:sz w:val="18"/>
          <w:szCs w:val="18"/>
          <w:color w:val="auto"/>
        </w:rPr>
        <w:t>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1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shares of our Class A common stock applied for by Exempt Investors in Australia must not be</w:t>
      </w:r>
    </w:p>
    <w:p>
      <w:pPr>
        <w:spacing w:after="0" w:line="27" w:lineRule="exact"/>
        <w:rPr>
          <w:sz w:val="20"/>
          <w:szCs w:val="20"/>
          <w:color w:val="auto"/>
        </w:rPr>
      </w:pPr>
    </w:p>
    <w:p>
      <w:pPr>
        <w:ind w:left="1260" w:right="419"/>
        <w:spacing w:after="0" w:line="241" w:lineRule="auto"/>
        <w:rPr>
          <w:sz w:val="20"/>
          <w:szCs w:val="20"/>
          <w:color w:val="auto"/>
        </w:rPr>
      </w:pPr>
      <w:r>
        <w:rPr>
          <w:rFonts w:ascii="Times New Roman" w:cs="Times New Roman" w:eastAsia="Times New Roman" w:hAnsi="Times New Roman"/>
          <w:sz w:val="18"/>
          <w:szCs w:val="18"/>
          <w:color w:val="auto"/>
        </w:rPr>
        <w:t>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117"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VALIDITY OF COMMON STOCK</w:t>
      </w:r>
    </w:p>
    <w:p>
      <w:pPr>
        <w:spacing w:after="0" w:line="162" w:lineRule="exact"/>
        <w:rPr>
          <w:sz w:val="20"/>
          <w:szCs w:val="20"/>
          <w:color w:val="auto"/>
        </w:rPr>
      </w:pPr>
    </w:p>
    <w:p>
      <w:pPr>
        <w:jc w:val="both"/>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shares of our Class A common stock offered by this prospectus will be passed upon for us by Skadden, Arps, Slate, Meagher &amp; Flom LLP, Los Angeles, California, and for the underwriters by Sullivan &amp; Cromwell LLP, Palo Alto, California.</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combined financial statements as of December 25, 2021 and December 26, 2020 and for the years ended December 25, 2021, December 26, 2020 and December 28, 2019 included in this prospectus have been so included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10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25, 2021.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309" w:lineRule="exact"/>
        <w:rPr>
          <w:sz w:val="20"/>
          <w:szCs w:val="20"/>
          <w:color w:val="auto"/>
        </w:rPr>
      </w:pPr>
    </w:p>
    <w:p>
      <w:pPr>
        <w:ind w:left="1800" w:right="419" w:hanging="180"/>
        <w:spacing w:after="0" w:line="255"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80"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July 2020 through December 2021, a PwC member firm provided services pursuant to a contingent fee arrangement.</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16"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PwC provided an overview to our Board of Directors to be updated to the Audit Committee upon formation of an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to be updated to the Audit Committee upon formation of an Audit Committee, Executive Management team and PwC have concluded (1) that the services and relationships do not and would not impair PwC’s application of objective and impartial judgment on any matter encompassed within PwC’s audits of our combined financial statements as of December 25, 2021 and December 26, 2020 and for the years ended December 25, 2021, December 26, 2020 and December 28, 2019 and (2) no reasonable investor would conclude otherwise.</w:t>
      </w: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6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S-1 with the SEC with respect to the registration of our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24"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periodic reporting requirements of the Securities Act, and, in accordance with such requirements, will file periodic reports, proxy statements and other information with the SEC. These periodic reports, proxy statements and other information will be available for inspection and copying at the SEC’s website. We also maintain a website at www.mobileye.com at which, following the completion of this offering,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We intend to furnish our stockholders with annual reports containing combined financial statements audited by our independent registered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Operations and Comprehensive Income (Loss)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Combined Statements of Cash Flows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u w:val="single" w:color="auto"/>
          <w:color w:val="0000EE"/>
        </w:rPr>
        <w:t>F-9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p>
      <w:pPr>
        <w:sectPr>
          <w:pgSz w:w="11900" w:h="16838" w:orient="portrait"/>
          <w:cols w:equalWidth="0" w:num="2">
            <w:col w:w="8200" w:space="720"/>
            <w:col w:w="959"/>
          </w:cols>
          <w:pgMar w:left="580" w:top="97" w:right="1440" w:bottom="1440" w:gutter="0" w:footer="0" w:header="0"/>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1539" w:firstLine="1122"/>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of Intel and the Shareholder of Mobileye Group</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6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Mobileye Group (a business of Intel Corporation) (the “Company”) as of December 25, 2021 and December 26, 2020, and the related combined statements of operations and comprehensive income (loss), of changes in equity and of cash flows for each of the three years in the period ended December 25, 2021, including the related notes (collectively referred to as the “combined financial statements”). In our opinion, the combined financial statements present fairly, in all material respects, the financial position of the Company as of December 25, 2021 and December 26, 2020, and the results of its operations and its cash flows for each of the three years in the period ended December 25, 2021 in conformity with accounting principles generally accepted in the United States of America.</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48"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25"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102"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62"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Attribution of Intangible Assets to the Combined Financial Statements</w:t>
      </w:r>
    </w:p>
    <w:p>
      <w:pPr>
        <w:spacing w:after="0" w:line="160"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As described in Note 11 to the combined financial statements, the Company’s intangible asset balance was $3,071 million at December 25, 2021 and the amortization expense was $509 million for the year ended December 25, 2021. These intangible assets consist primarily of developed technology and customer relationships and brands that were attributed to the Company from Intel Corporation (the “Parent”) as part of the net parent investment in the Company primarily from the acquisition of Mobileye B.V. The recognition of those intangible assets included significant judgment in estimating the fair value of intangible assets, which involved the use of significant estimates and assumptions with respect to the timing and amounts of cash flow projections and discount rate as well as the determination of the estimated useful lives of the intangible assets.</w:t>
      </w: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attributed intangible assets to the Company is a critical audit matter are (i) there was a high degree of auditor judgment and subjectivity in applying procedures relating to the fair value measurement of intangible assets due to the significant amount of judgment by management when developing the estimate; (ii) significant audit effort was required in evaluating the significant assumptions relating to the estimate, such as the cash flow projections, discount rate and estimated useful lives; and (iii) the audit effort involved the use of professionals with specialized skill and knowledge.</w:t>
      </w:r>
    </w:p>
    <w:p>
      <w:pPr>
        <w:spacing w:after="0" w:line="121"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among others</w:t>
      </w:r>
    </w:p>
    <w:p>
      <w:pPr>
        <w:ind w:left="1480" w:hanging="220"/>
        <w:spacing w:after="0"/>
        <w:tabs>
          <w:tab w:leader="none" w:pos="14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estimating the fair value of intangible assets and their useful lives;</w:t>
      </w:r>
    </w:p>
    <w:p>
      <w:pPr>
        <w:spacing w:after="0" w:line="9" w:lineRule="exact"/>
        <w:rPr>
          <w:rFonts w:ascii="Times New Roman" w:cs="Times New Roman" w:eastAsia="Times New Roman" w:hAnsi="Times New Roman"/>
          <w:sz w:val="18"/>
          <w:szCs w:val="18"/>
          <w:color w:val="auto"/>
        </w:rPr>
      </w:pPr>
    </w:p>
    <w:p>
      <w:pPr>
        <w:ind w:left="1260" w:right="519"/>
        <w:spacing w:after="0" w:line="251" w:lineRule="auto"/>
        <w:tabs>
          <w:tab w:leader="none" w:pos="154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appropriateness of the cash flow model and determination of the useful lives, (iii) testing management’s cash flow projections used to estimate the fair value of the intangible assets, using professionals with specialized skill and knowledge to assist in doing so. Testing management’s process included evaluating the appropriateness of the valuation methods and the reasonableness of significant assumptions, including the discount rate for the intangible assets and their useful lives. Evaluating the reasonableness of the cash flow projections, discount rate and estimated useful lives, involved considering the past performance of the businesses, as well as economic and industry forecasts. The discount rate was evaluated by considering the cost of capital of comparable businesses and other industry factors.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Kesselman &amp; Kesselman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Certified Public Accountants (Isr.)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 member firm of PricewaterhouseCoopers International Limited</w:t>
      </w: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Tel-Aviv, Israel</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9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w:t>
            </w:r>
          </w:p>
        </w:tc>
      </w:tr>
      <w:tr>
        <w:trPr>
          <w:trHeight w:val="214"/>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6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loan</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1,326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 1,332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2,270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gridSpan w:val="3"/>
          </w:tcPr>
          <w:p>
            <w:pPr>
              <w:ind w:left="12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 1,692</w:t>
            </w:r>
          </w:p>
        </w:tc>
        <w:tc>
          <w:tcPr>
            <w:tcW w:w="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-1662430</wp:posOffset>
            </wp:positionV>
            <wp:extent cx="137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631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CURRENT LIABILITIES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Employee related accrued expenses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31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acquisition consideration</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Parent net investment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968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EQUITY</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3,071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3,580</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​10,895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​10,895</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16,462</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0"/>
                <w:szCs w:val="20"/>
                <w:color w:val="auto"/>
              </w:rPr>
            </w:pPr>
          </w:p>
        </w:tc>
        <w:tc>
          <w:tcPr>
            <w:tcW w:w="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90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58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820" w:type="dxa"/>
            <w:vAlign w:val="bottom"/>
            <w:gridSpan w:val="2"/>
          </w:tcPr>
          <w:p>
            <w:pPr>
              <w:jc w:val="right"/>
              <w:ind w:right="50"/>
              <w:spacing w:after="0" w:line="247" w:lineRule="exact"/>
              <w:rPr>
                <w:sz w:val="20"/>
                <w:szCs w:val="20"/>
                <w:color w:val="auto"/>
              </w:rPr>
            </w:pPr>
            <w:r>
              <w:rPr>
                <w:rFonts w:ascii="Times New Roman" w:cs="Times New Roman" w:eastAsia="Times New Roman" w:hAnsi="Times New Roman"/>
                <w:sz w:val="28"/>
                <w:szCs w:val="28"/>
                <w:color w:val="auto"/>
                <w:vertAlign w:val="superscript"/>
              </w:rPr>
              <w:t>49</w:t>
            </w:r>
            <w:r>
              <w:rPr>
                <w:rFonts w:ascii="Times New Roman" w:cs="Times New Roman" w:eastAsia="Times New Roman" w:hAnsi="Times New Roman"/>
                <w:sz w:val="15"/>
                <w:szCs w:val="15"/>
                <w:color w:val="auto"/>
              </w:rPr>
              <w:t xml:space="preserve">  ​​ ​</w:t>
            </w:r>
          </w:p>
        </w:tc>
        <w:tc>
          <w:tcPr>
            <w:tcW w:w="22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54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94  ​​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23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line="276" w:lineRule="exact"/>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32"/>
                <w:szCs w:val="32"/>
                <w:b w:val="1"/>
                <w:bCs w:val="1"/>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70"/>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​15,884</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​15,842</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820" w:type="dxa"/>
            <w:vAlign w:val="bottom"/>
            <w:gridSpan w:val="2"/>
          </w:tcPr>
          <w:p>
            <w:pPr>
              <w:jc w:val="right"/>
              <w:ind w:right="50"/>
              <w:spacing w:after="0" w:line="256" w:lineRule="exact"/>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6"/>
                <w:szCs w:val="16"/>
                <w:color w:val="auto"/>
              </w:rPr>
              <w:t xml:space="preserve">  ​​ ​</w:t>
            </w:r>
          </w:p>
        </w:tc>
        <w:tc>
          <w:tcPr>
            <w:tcW w:w="220" w:type="dxa"/>
            <w:vAlign w:val="bottom"/>
          </w:tcPr>
          <w:p>
            <w:pPr>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540" w:type="dxa"/>
            <w:vAlign w:val="bottom"/>
            <w:gridSpan w:val="3"/>
          </w:tcPr>
          <w:p>
            <w:pPr>
              <w:jc w:val="right"/>
              <w:spacing w:after="0" w:line="256"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​15,889</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​15,842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gridSpan w:val="2"/>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16,655</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16,462</w:t>
            </w:r>
          </w:p>
        </w:tc>
        <w:tc>
          <w:tcPr>
            <w:tcW w:w="12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40" w:space="720"/>
            <w:col w:w="25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OPERATIONS AND COMPREHENSIVE INCOME (LOSS)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​$ 967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2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3"/>
                <w:szCs w:val="23"/>
                <w:color w:val="auto"/>
              </w:rPr>
            </w:pPr>
          </w:p>
        </w:tc>
        <w:tc>
          <w:tcPr>
            <w:tcW w:w="62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30"/>
                <w:szCs w:val="30"/>
                <w:b w:val="1"/>
                <w:bCs w:val="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655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​376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​423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​589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xml:space="preserve"> ​509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​(213)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1"/>
                <w:szCs w:val="21"/>
                <w:color w:val="auto"/>
              </w:rPr>
            </w:pPr>
          </w:p>
        </w:tc>
        <w:tc>
          <w:tcPr>
            <w:tcW w:w="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 (86)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with a related party, net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1"/>
                <w:szCs w:val="21"/>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​(325)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auto"/>
                <w:vertAlign w:val="superscript"/>
              </w:rPr>
              <w:t>​</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2"/>
                <w:szCs w:val="22"/>
                <w:color w:val="auto"/>
              </w:rPr>
            </w:pP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-1439545</wp:posOffset>
            </wp:positionV>
            <wp:extent cx="12890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-1439545</wp:posOffset>
            </wp:positionV>
            <wp:extent cx="48088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-2468245</wp:posOffset>
            </wp:positionV>
            <wp:extent cx="1289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-2468245</wp:posOffset>
            </wp:positionV>
            <wp:extent cx="48088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-2965450</wp:posOffset>
            </wp:positionV>
            <wp:extent cx="137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-2965450</wp:posOffset>
            </wp:positionV>
            <wp:extent cx="1371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other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89"/>
              </w:rPr>
              <w:t>Parent Net</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60" w:type="dxa"/>
            <w:vAlign w:val="bottom"/>
          </w:tcPr>
          <w:p>
            <w:pPr>
              <w:spacing w:after="0"/>
              <w:rPr>
                <w:sz w:val="14"/>
                <w:szCs w:val="14"/>
                <w:color w:val="auto"/>
              </w:rPr>
            </w:pPr>
          </w:p>
        </w:tc>
        <w:tc>
          <w:tcPr>
            <w:tcW w:w="64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4"/>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Investment </w:t>
            </w:r>
            <w:r>
              <w:rPr>
                <w:rFonts w:ascii="Times New Roman" w:cs="Times New Roman" w:eastAsia="Times New Roman" w:hAnsi="Times New Roman"/>
                <w:sz w:val="24"/>
                <w:szCs w:val="24"/>
                <w:b w:val="1"/>
                <w:bCs w:val="1"/>
                <w:color w:val="auto"/>
                <w:vertAlign w:val="subscript"/>
              </w:rPr>
              <w:t>​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9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Equity  </w:t>
            </w:r>
            <w:r>
              <w:rPr>
                <w:rFonts w:ascii="Times New Roman" w:cs="Times New Roman" w:eastAsia="Times New Roman" w:hAnsi="Times New Roman"/>
                <w:sz w:val="24"/>
                <w:szCs w:val="24"/>
                <w:b w:val="1"/>
                <w:bCs w:val="1"/>
                <w:color w:val="auto"/>
                <w:vertAlign w:val="subscript"/>
              </w:rPr>
              <w:t>​</w:t>
            </w: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29, 2018</w:t>
            </w:r>
          </w:p>
        </w:tc>
        <w:tc>
          <w:tcPr>
            <w:tcW w:w="460" w:type="dxa"/>
            <w:vAlign w:val="bottom"/>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b w:val="1"/>
                <w:bCs w:val="1"/>
                <w:color w:val="auto"/>
              </w:rPr>
              <w:t>​ ​ ​</w:t>
            </w:r>
            <w:r>
              <w:rPr>
                <w:rFonts w:ascii="Times New Roman" w:cs="Times New Roman" w:eastAsia="Times New Roman" w:hAnsi="Times New Roman"/>
                <w:sz w:val="31"/>
                <w:szCs w:val="31"/>
                <w:b w:val="1"/>
                <w:bCs w:val="1"/>
                <w:color w:val="auto"/>
                <w:vertAlign w:val="superscript"/>
              </w:rPr>
              <w:t>$</w:t>
            </w:r>
          </w:p>
        </w:tc>
        <w:tc>
          <w:tcPr>
            <w:tcW w:w="64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b w:val="1"/>
                <w:bCs w:val="1"/>
                <w:color w:val="auto"/>
              </w:rPr>
              <w:t>(507)</w:t>
            </w:r>
            <w:r>
              <w:rPr>
                <w:rFonts w:ascii="Times New Roman" w:cs="Times New Roman" w:eastAsia="Times New Roman" w:hAnsi="Times New Roman"/>
                <w:sz w:val="31"/>
                <w:szCs w:val="31"/>
                <w:b w:val="1"/>
                <w:bCs w:val="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7"/>
                <w:szCs w:val="17"/>
                <w:color w:val="auto"/>
              </w:rPr>
              <w:t>$—</w:t>
            </w:r>
          </w:p>
        </w:tc>
        <w:tc>
          <w:tcPr>
            <w:tcW w:w="46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31"/>
                <w:szCs w:val="31"/>
                <w:b w:val="1"/>
                <w:bCs w:val="1"/>
                <w:color w:val="auto"/>
                <w:vertAlign w:val="superscript"/>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w:t>
            </w:r>
          </w:p>
        </w:tc>
        <w:tc>
          <w:tcPr>
            <w:tcW w:w="60" w:type="dxa"/>
            <w:vAlign w:val="bottom"/>
          </w:tcPr>
          <w:p>
            <w:pPr>
              <w:jc w:val="right"/>
              <w:spacing w:after="0" w:line="270" w:lineRule="exact"/>
              <w:rPr>
                <w:sz w:val="20"/>
                <w:szCs w:val="20"/>
                <w:color w:val="auto"/>
              </w:rPr>
            </w:pPr>
            <w:r>
              <w:rPr>
                <w:rFonts w:ascii="Times New Roman" w:cs="Times New Roman" w:eastAsia="Times New Roman" w:hAnsi="Times New Roman"/>
                <w:sz w:val="14"/>
                <w:szCs w:val="14"/>
                <w:b w:val="1"/>
                <w:bCs w:val="1"/>
                <w:color w:val="auto"/>
                <w:w w:val="71"/>
              </w:rPr>
              <w:t>​</w:t>
            </w:r>
            <w:r>
              <w:rPr>
                <w:rFonts w:ascii="Times New Roman" w:cs="Times New Roman" w:eastAsia="Times New Roman" w:hAnsi="Times New Roman"/>
                <w:sz w:val="25"/>
                <w:szCs w:val="25"/>
                <w:b w:val="1"/>
                <w:bCs w:val="1"/>
                <w:color w:val="auto"/>
                <w:w w:val="71"/>
                <w:vertAlign w:val="super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5"/>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 </w:t>
            </w:r>
            <w:r>
              <w:rPr>
                <w:rFonts w:ascii="Times New Roman" w:cs="Times New Roman" w:eastAsia="Times New Roman" w:hAnsi="Times New Roman"/>
                <w:sz w:val="31"/>
                <w:szCs w:val="31"/>
                <w:color w:val="auto"/>
                <w:vertAlign w:val="subscript"/>
              </w:rPr>
              <w:t>​​ ​</w:t>
            </w:r>
          </w:p>
        </w:tc>
        <w:tc>
          <w:tcPr>
            <w:tcW w:w="90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84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​15,303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28, 2019</w:t>
            </w:r>
          </w:p>
        </w:tc>
        <w:tc>
          <w:tcPr>
            <w:tcW w:w="1100" w:type="dxa"/>
            <w:vAlign w:val="bottom"/>
            <w:gridSpan w:val="5"/>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​14,468 </w:t>
            </w:r>
            <w:r>
              <w:rPr>
                <w:rFonts w:ascii="Times New Roman" w:cs="Times New Roman" w:eastAsia="Times New Roman" w:hAnsi="Times New Roman"/>
                <w:sz w:val="30"/>
                <w:szCs w:val="30"/>
                <w:color w:val="auto"/>
                <w:vertAlign w:val="subscript"/>
              </w:rPr>
              <w:t>​​ ​</w:t>
            </w:r>
          </w:p>
        </w:tc>
        <w:tc>
          <w:tcPr>
            <w:tcW w:w="900" w:type="dxa"/>
            <w:vAlign w:val="bottom"/>
            <w:gridSpan w:val="3"/>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9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​14,468</w:t>
            </w:r>
            <w:r>
              <w:rPr>
                <w:rFonts w:ascii="Times New Roman" w:cs="Times New Roman" w:eastAsia="Times New Roman" w:hAnsi="Times New Roman"/>
                <w:sz w:val="30"/>
                <w:szCs w:val="30"/>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1100" w:type="dxa"/>
            <w:vAlign w:val="bottom"/>
            <w:gridSpan w:val="5"/>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 1,570</w:t>
            </w:r>
            <w:r>
              <w:rPr>
                <w:rFonts w:ascii="Times New Roman" w:cs="Times New Roman" w:eastAsia="Times New Roman" w:hAnsi="Times New Roman"/>
                <w:sz w:val="17"/>
                <w:szCs w:val="17"/>
                <w:color w:val="auto"/>
              </w:rPr>
              <w:t xml:space="preserve"> ​​ ​</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9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 ​ ​​</w:t>
            </w:r>
            <w:r>
              <w:rPr>
                <w:rFonts w:ascii="Times New Roman" w:cs="Times New Roman" w:eastAsia="Times New Roman" w:hAnsi="Times New Roman"/>
                <w:sz w:val="17"/>
                <w:szCs w:val="17"/>
                <w:color w:val="auto"/>
              </w:rPr>
              <w:t xml:space="preserve"> ​ 1,570</w:t>
            </w:r>
            <w:r>
              <w:rPr>
                <w:rFonts w:ascii="Times New Roman" w:cs="Times New Roman" w:eastAsia="Times New Roman" w:hAnsi="Times New Roman"/>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26, 2020</w:t>
            </w:r>
          </w:p>
        </w:tc>
        <w:tc>
          <w:tcPr>
            <w:tcW w:w="1100" w:type="dxa"/>
            <w:vAlign w:val="bottom"/>
            <w:gridSpan w:val="5"/>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​15,842 </w:t>
            </w:r>
            <w:r>
              <w:rPr>
                <w:rFonts w:ascii="Times New Roman" w:cs="Times New Roman" w:eastAsia="Times New Roman" w:hAnsi="Times New Roman"/>
                <w:sz w:val="30"/>
                <w:szCs w:val="30"/>
                <w:color w:val="auto"/>
                <w:vertAlign w:val="subscript"/>
              </w:rPr>
              <w:t>​​ ​</w:t>
            </w:r>
          </w:p>
        </w:tc>
        <w:tc>
          <w:tcPr>
            <w:tcW w:w="900" w:type="dxa"/>
            <w:vAlign w:val="bottom"/>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840" w:type="dxa"/>
            <w:vAlign w:val="bottom"/>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b w:val="1"/>
                <w:bCs w:val="1"/>
                <w:color w:val="auto"/>
              </w:rPr>
              <w:t xml:space="preserve"> ​15,842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5</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transfer from Parent</w:t>
            </w:r>
          </w:p>
        </w:tc>
        <w:tc>
          <w:tcPr>
            <w:tcW w:w="46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6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31"/>
                <w:szCs w:val="31"/>
                <w:color w:val="auto"/>
                <w:vertAlign w:val="subscript"/>
              </w:rPr>
              <w:t>​​ ​</w:t>
            </w:r>
          </w:p>
        </w:tc>
        <w:tc>
          <w:tcPr>
            <w:tcW w:w="90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4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117</w:t>
            </w:r>
            <w:r>
              <w:rPr>
                <w:rFonts w:ascii="Times New Roman" w:cs="Times New Roman" w:eastAsia="Times New Roman" w:hAnsi="Times New Roman"/>
                <w:sz w:val="31"/>
                <w:szCs w:val="31"/>
                <w:color w:val="auto"/>
                <w:vertAlign w:val="subscript"/>
              </w:rPr>
              <w:t>​</w:t>
            </w: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25, 2021</w:t>
            </w:r>
          </w:p>
        </w:tc>
        <w:tc>
          <w:tcPr>
            <w:tcW w:w="1100" w:type="dxa"/>
            <w:vAlign w:val="bottom"/>
            <w:gridSpan w:val="5"/>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15,884 </w:t>
            </w:r>
            <w:r>
              <w:rPr>
                <w:rFonts w:ascii="Times New Roman" w:cs="Times New Roman" w:eastAsia="Times New Roman" w:hAnsi="Times New Roman"/>
                <w:sz w:val="28"/>
                <w:szCs w:val="28"/>
                <w:b w:val="1"/>
                <w:bCs w:val="1"/>
                <w:color w:val="auto"/>
                <w:vertAlign w:val="subscript"/>
              </w:rPr>
              <w:t>​​ ​</w:t>
            </w:r>
          </w:p>
        </w:tc>
        <w:tc>
          <w:tcPr>
            <w:tcW w:w="90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$ 5</w:t>
            </w:r>
          </w:p>
        </w:tc>
        <w:tc>
          <w:tcPr>
            <w:tcW w:w="840" w:type="dxa"/>
            <w:vAlign w:val="bottom"/>
            <w:gridSpan w:val="3"/>
            <w:shd w:val="clear" w:color="auto" w:fill="CCEEFF"/>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15,889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4834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8348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-899795</wp:posOffset>
            </wp:positionV>
            <wp:extent cx="483489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-1242695</wp:posOffset>
            </wp:positionV>
            <wp:extent cx="483489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834890" cy="8890"/>
                    </a:xfrm>
                    <a:prstGeom prst="rect">
                      <a:avLst/>
                    </a:prstGeom>
                    <a:noFill/>
                  </pic:spPr>
                </pic:pic>
              </a:graphicData>
            </a:graphic>
          </wp:anchor>
        </w:drawing>
        <w:drawing>
          <wp:anchor simplePos="0" relativeHeight="251657728" behindDoc="1" locked="0" layoutInCell="0" allowOverlap="1">
            <wp:simplePos x="0" y="0"/>
            <wp:positionH relativeFrom="column">
              <wp:posOffset>5488940</wp:posOffset>
            </wp:positionH>
            <wp:positionV relativeFrom="paragraph">
              <wp:posOffset>-2099310</wp:posOffset>
            </wp:positionV>
            <wp:extent cx="137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4768850</wp:posOffset>
            </wp:positionH>
            <wp:positionV relativeFrom="paragraph">
              <wp:posOffset>-2099310</wp:posOffset>
            </wp:positionV>
            <wp:extent cx="1371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9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r>
      <w:tr>
        <w:trPr>
          <w:trHeight w:val="214"/>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1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9"/>
              </w:rPr>
              <w:t>(75)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Adjustments to reconcile net loss to net cash provided by operating</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​509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​327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(53)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(32)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​257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2"/>
                <w:szCs w:val="22"/>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(62)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(23)</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 with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(22)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(26)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 (12)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 payables and accrued expenses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(14)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accrued expenses and long-term benefits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​599</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​271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​300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(44)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loan due from related party</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​460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loan due from related party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​(474)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​(135)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​(185)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acquisition of Moovit, net of cash acquired</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​(157)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​(965)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​(225)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deferred consideration payment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transfers from (to) Parent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​181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 ​ (78)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(75)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withholding tax related to employee stock plans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 (15)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08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​732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 ​ (59)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w:t>
            </w:r>
          </w:p>
        </w:tc>
        <w:tc>
          <w:tcPr>
            <w:tcW w:w="1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-316230</wp:posOffset>
            </wp:positionV>
            <wp:extent cx="1289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-316230</wp:posOffset>
            </wp:positionV>
            <wp:extent cx="48088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-1327785</wp:posOffset>
            </wp:positionV>
            <wp:extent cx="1289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-1327785</wp:posOffset>
            </wp:positionV>
            <wp:extent cx="48088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-2339340</wp:posOffset>
            </wp:positionV>
            <wp:extent cx="12890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-2339340</wp:posOffset>
            </wp:positionV>
            <wp:extent cx="48088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808855" cy="8255"/>
                    </a:xfrm>
                    <a:prstGeom prst="rect">
                      <a:avLst/>
                    </a:prstGeom>
                    <a:noFill/>
                  </pic:spPr>
                </pic:pic>
              </a:graphicData>
            </a:graphic>
          </wp:anchor>
        </w:drawing>
        <w:drawing>
          <wp:anchor simplePos="0" relativeHeight="251657728" behindDoc="1" locked="0" layoutInCell="0" allowOverlap="1">
            <wp:simplePos x="0" y="0"/>
            <wp:positionH relativeFrom="column">
              <wp:posOffset>5343525</wp:posOffset>
            </wp:positionH>
            <wp:positionV relativeFrom="paragraph">
              <wp:posOffset>-5905500</wp:posOffset>
            </wp:positionV>
            <wp:extent cx="13716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4674870</wp:posOffset>
            </wp:positionH>
            <wp:positionV relativeFrom="paragraph">
              <wp:posOffset>-5905500</wp:posOffset>
            </wp:positionV>
            <wp:extent cx="137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4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​532</w:t>
            </w:r>
          </w:p>
        </w:tc>
        <w:tc>
          <w:tcPr>
            <w:tcW w:w="0" w:type="dxa"/>
            <w:vAlign w:val="bottom"/>
          </w:tcPr>
          <w:p>
            <w:pPr>
              <w:spacing w:after="0"/>
              <w:rPr>
                <w:sz w:val="1"/>
                <w:szCs w:val="1"/>
                <w:color w:val="auto"/>
              </w:rPr>
            </w:pPr>
          </w:p>
        </w:tc>
      </w:tr>
      <w:tr>
        <w:trPr>
          <w:trHeight w:val="25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w:t>
            </w:r>
          </w:p>
        </w:tc>
        <w:tc>
          <w:tcPr>
            <w:tcW w:w="380" w:type="dxa"/>
            <w:vAlign w:val="bottom"/>
          </w:tcPr>
          <w:p>
            <w:pPr>
              <w:spacing w:after="0"/>
              <w:rPr>
                <w:sz w:val="21"/>
                <w:szCs w:val="21"/>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93</w:t>
            </w:r>
          </w:p>
        </w:tc>
        <w:tc>
          <w:tcPr>
            <w:tcW w:w="0" w:type="dxa"/>
            <w:vAlign w:val="bottom"/>
          </w:tcPr>
          <w:p>
            <w:pPr>
              <w:spacing w:after="0"/>
              <w:rPr>
                <w:sz w:val="1"/>
                <w:szCs w:val="1"/>
                <w:color w:val="auto"/>
              </w:rPr>
            </w:pPr>
          </w:p>
        </w:tc>
      </w:tr>
      <w:tr>
        <w:trPr>
          <w:trHeight w:val="234"/>
        </w:trPr>
        <w:tc>
          <w:tcPr>
            <w:tcW w:w="5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year</w:t>
            </w:r>
          </w:p>
        </w:tc>
        <w:tc>
          <w:tcPr>
            <w:tcW w:w="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Balance of cash, cash equivalents and restricted cash, at end of year</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$ 625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-513715</wp:posOffset>
            </wp:positionV>
            <wp:extent cx="5212080" cy="3086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gridSpan w:val="2"/>
          </w:tcPr>
          <w:p>
            <w:pPr>
              <w:ind w:left="100"/>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93</w:t>
            </w:r>
          </w:p>
        </w:tc>
        <w:tc>
          <w:tcPr>
            <w:tcW w:w="5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8"/>
                <w:szCs w:val="28"/>
                <w:b w:val="1"/>
                <w:bCs w:val="1"/>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-205105</wp:posOffset>
            </wp:positionV>
            <wp:extent cx="39433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7160" w:space="200"/>
            <w:col w:w="2519"/>
          </w:cols>
          <w:pgMar w:left="580" w:top="97" w:right="1440"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COMBINED STATEMENTS OF CASH FLOWS — Continued</w:t>
      </w:r>
    </w:p>
    <w:p>
      <w:pPr>
        <w:sectPr>
          <w:pgSz w:w="11900" w:h="16838" w:orient="portrait"/>
          <w:cols w:equalWidth="0" w:num="1">
            <w:col w:w="9879"/>
          </w:cols>
          <w:pgMar w:left="580" w:top="97" w:right="1440" w:bottom="1440" w:gutter="0" w:footer="0" w:header="0"/>
        </w:sectPr>
      </w:pPr>
    </w:p>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631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4" w:lineRule="exact"/>
        <w:rPr>
          <w:sz w:val="20"/>
          <w:szCs w:val="20"/>
          <w:color w:val="auto"/>
        </w:rPr>
      </w:pPr>
    </w:p>
    <w:p>
      <w:pPr>
        <w:ind w:left="126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Supplementary non-cash investing and financing activities </w:t>
      </w:r>
      <w:r>
        <w:rPr>
          <w:rFonts w:ascii="Times New Roman" w:cs="Times New Roman" w:eastAsia="Times New Roman" w:hAnsi="Times New Roman"/>
          <w:sz w:val="18"/>
          <w:szCs w:val="18"/>
          <w:color w:val="auto"/>
        </w:rPr>
        <w:t>Acquisition of property and equipment included in accounts</w:t>
      </w:r>
    </w:p>
    <w:p>
      <w:pPr>
        <w:ind w:left="1440"/>
        <w:spacing w:after="0"/>
        <w:rPr>
          <w:sz w:val="20"/>
          <w:szCs w:val="20"/>
          <w:color w:val="auto"/>
        </w:rPr>
      </w:pPr>
      <w:r>
        <w:rPr>
          <w:rFonts w:ascii="Times New Roman" w:cs="Times New Roman" w:eastAsia="Times New Roman" w:hAnsi="Times New Roman"/>
          <w:sz w:val="18"/>
          <w:szCs w:val="18"/>
          <w:color w:val="auto"/>
        </w:rPr>
        <w:t>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Conversion to equity of loan due to Parent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Contribution of Moovit previously held shares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Non-cash share-based compensation recharge</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1714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interest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Cash paid for income taxes, net of refunds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1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December 28,</w:t>
            </w: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8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445"/>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​$ 21</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​$ 27</w:t>
            </w:r>
          </w:p>
        </w:tc>
        <w:tc>
          <w:tcPr>
            <w:tcW w:w="2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​679</w:t>
            </w:r>
          </w:p>
        </w:tc>
        <w:tc>
          <w:tcPr>
            <w:tcW w:w="2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​15,303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59</w:t>
            </w:r>
          </w:p>
        </w:tc>
        <w:tc>
          <w:tcPr>
            <w:tcW w:w="2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​162</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4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 ​</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​$ 44</w:t>
            </w:r>
          </w:p>
        </w:tc>
        <w:tc>
          <w:tcPr>
            <w:tcW w:w="22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​$ 42</w:t>
            </w:r>
          </w:p>
        </w:tc>
        <w:tc>
          <w:tcPr>
            <w:tcW w:w="22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1355725</wp:posOffset>
            </wp:positionH>
            <wp:positionV relativeFrom="paragraph">
              <wp:posOffset>-1654175</wp:posOffset>
            </wp:positionV>
            <wp:extent cx="137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-1654175</wp:posOffset>
            </wp:positionV>
            <wp:extent cx="1371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80" w:space="500"/>
            <w:col w:w="35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combined financial statements.</w:t>
      </w:r>
    </w:p>
    <w:p>
      <w:pPr>
        <w:spacing w:after="0" w:line="10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MOBILEYE GROUP</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Notes to the Combined Financial Statements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6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Mobileye Group is a leader in the development and deployment of advanced driver assistance systems (“ADAS”) and autonomous driving technologies and solutions. Mobileye Group combines the operations of Cyclops Holdings Corporation (“Cyclops”), Mobileye B.V. and its subsidiaries (“Mobileye”) GG Acquisition Ltd. and the Moovit App Global Ltd. and its subsidiaries (“Moovit”) and certain Intel employees mainly in research and development (the “Intel Aligned Groups”) (collectively, the “Company”, “we”, and “our”). The Company operates as a combination of wholly-owned businesses of Intel Corporation (“Intel or the “Parent”).</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Mobileye operates as a component of Intel, which acquired a majority stake in Mobileye in</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August 2017 (the “Mobileye Acquisition”). The remaining issued and outstanding shares of Mobileye were acquired by Intel during 2018. The Company is building a robust portfolio of end- to-end ADAS and autonomous driving solutions to provide the capabilities required for the future of autonomous driving, leveraging a comprehensive suite of purpose-built software and hardware technologies.</w:t>
      </w:r>
    </w:p>
    <w:p>
      <w:pPr>
        <w:spacing w:after="0" w:line="117"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Moovit, a leading urban mobility app and mobility-as-a-service (“MaaS”) solutions provider also operates as a component of Intel upon acquisition of the issued and outstanding equity interests of Moovit in May 2020 (the “Moovit Acquisition”).</w:t>
      </w:r>
    </w:p>
    <w:p>
      <w:pPr>
        <w:spacing w:after="0" w:line="102" w:lineRule="exact"/>
        <w:rPr>
          <w:sz w:val="20"/>
          <w:szCs w:val="20"/>
          <w:color w:val="auto"/>
        </w:rPr>
      </w:pPr>
    </w:p>
    <w:p>
      <w:pPr>
        <w:ind w:left="1260" w:right="739" w:firstLine="360"/>
        <w:spacing w:after="0" w:line="246" w:lineRule="auto"/>
        <w:rPr>
          <w:sz w:val="20"/>
          <w:szCs w:val="20"/>
          <w:color w:val="auto"/>
        </w:rPr>
      </w:pPr>
      <w:r>
        <w:rPr>
          <w:rFonts w:ascii="Times New Roman" w:cs="Times New Roman" w:eastAsia="Times New Roman" w:hAnsi="Times New Roman"/>
          <w:sz w:val="18"/>
          <w:szCs w:val="18"/>
          <w:color w:val="auto"/>
        </w:rPr>
        <w:t>In December 2021, Intel announced plans to pursue an initial public offering (“IPO”) of Mobileye Group. In January 2022, Intel incorporated a new legal entity, Mobileye Holdings Inc., with the intent to contribute the Company to Mobileye Holdings Inc. and be able to offer newly issued shares of common stock of Mobileye Holdings Inc. in an IPO. Intel expects to retain majority ownership of the Company following the completion of the IPO.</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These combined financial statements have been prepared in accordance with United States generally accepted accounting principles (“U.S. GAAP”).</w:t>
      </w:r>
    </w:p>
    <w:p>
      <w:pPr>
        <w:spacing w:after="0" w:line="95"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The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combined financial statements on a historical cost basis, as included in the consolidated financial statements of Intel.</w:t>
      </w:r>
    </w:p>
    <w:p>
      <w:pPr>
        <w:spacing w:after="0" w:line="11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utilized the Intel Aligned Groups mainly in research and development activities. The associated costs of the Intel Aligned Groups are reflected on a specific attribution basis in the combined statements of operations and comprehensive income (loss). Intel Aligned Groups also participated in various Intel compensation and benefit plans. Portions of those plans’ costs were based on actual headcount and included in these combined financial statements. These costs are not necessarily indicative of costs that would have been incurred had the Company operated on a stand-alone basis.</w:t>
      </w:r>
    </w:p>
    <w:p>
      <w:pPr>
        <w:spacing w:after="0" w:line="112"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6" w:lineRule="auto"/>
        <w:rPr>
          <w:sz w:val="20"/>
          <w:szCs w:val="20"/>
          <w:color w:val="auto"/>
        </w:rPr>
      </w:pPr>
      <w:r>
        <w:rPr>
          <w:rFonts w:ascii="Times New Roman" w:cs="Times New Roman" w:eastAsia="Times New Roman" w:hAnsi="Times New Roman"/>
          <w:sz w:val="18"/>
          <w:szCs w:val="18"/>
          <w:color w:val="auto"/>
        </w:rPr>
        <w:t>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12"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As Mobileye Group was not historically held by a single legal entity, total parent net investment is shown in lieu of equity in the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combined financial statements at the time the transactions were recorded, unless otherwise noted. The total net effect of the settlement of these transactions was reflected within parent net investment as a component of equity in the combined balance sheets and within net transfers from (to) Parent as a financing activity in the combined statements of cash flows, unless otherwise noted.</w:t>
      </w:r>
    </w:p>
    <w:p>
      <w:pPr>
        <w:spacing w:after="0" w:line="120" w:lineRule="exact"/>
        <w:rPr>
          <w:sz w:val="20"/>
          <w:szCs w:val="20"/>
          <w:color w:val="auto"/>
        </w:rPr>
      </w:pPr>
    </w:p>
    <w:p>
      <w:pPr>
        <w:jc w:val="both"/>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Net loss per share data has not been presented in the combined financial statements because Mobileye Group did not operate as a separate legal entity with its own capital structure during the periods presented.</w:t>
      </w:r>
    </w:p>
    <w:p>
      <w:pPr>
        <w:spacing w:after="0" w:line="81" w:lineRule="exact"/>
        <w:rPr>
          <w:sz w:val="20"/>
          <w:szCs w:val="20"/>
          <w:color w:val="auto"/>
        </w:rPr>
      </w:pPr>
    </w:p>
    <w:p>
      <w:pPr>
        <w:ind w:left="1260" w:right="1259" w:firstLine="360"/>
        <w:spacing w:after="0" w:line="266" w:lineRule="auto"/>
        <w:rPr>
          <w:sz w:val="20"/>
          <w:szCs w:val="20"/>
          <w:color w:val="auto"/>
        </w:rPr>
      </w:pPr>
      <w:r>
        <w:rPr>
          <w:rFonts w:ascii="Times New Roman" w:cs="Times New Roman" w:eastAsia="Times New Roman" w:hAnsi="Times New Roman"/>
          <w:sz w:val="18"/>
          <w:szCs w:val="18"/>
          <w:color w:val="auto"/>
        </w:rPr>
        <w:t>The Company operates on a 52 -week or 53-week fiscal year that ends on the last Saturday in December. Fiscal years 2021, 2020, and 2019 were 52-week fiscal years.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62" w:lineRule="exact"/>
        <w:rPr>
          <w:sz w:val="20"/>
          <w:szCs w:val="20"/>
          <w:color w:val="auto"/>
        </w:rPr>
      </w:pPr>
    </w:p>
    <w:p>
      <w:pPr>
        <w:jc w:val="both"/>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preparation of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1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w:t>
      </w:r>
    </w:p>
    <w:p>
      <w:pPr>
        <w:spacing w:after="0" w:line="16"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significant estimates and assumptions relate to recognition and useful lives of intangible assets, impairment assessment of intangible assets and goodwill, and income taxes.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Functional currency</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majority of the Company’s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1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combined statements of operations and comprehensive income (loss) as other expenses, net.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Cash equivalents are short-term unrestricted highly liquid investments that are readily convertible to cash and with original maturities of three months or less at acquisition.</w:t>
      </w:r>
    </w:p>
    <w:p>
      <w:pPr>
        <w:spacing w:after="0" w:line="95"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Restricted bank deposits are cash amounts related to bank guarantees mainly in connection with lease agreements and import of vehicles. Such deposits are stated at cost, which approximates market values. These amounts are included in other long-term assets on the combined balance sheets.</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Cash and restricted cash managed through bank accounts legally owned by the Parent at the corporate level were not attributable to the Company for any of the periods presented. Only cash and restricted cash legally owned by the Company are reflected on the combined balance sheets.</w:t>
      </w:r>
    </w:p>
    <w:p>
      <w:pPr>
        <w:spacing w:after="0" w:line="102"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for each year presented:</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(within other long-term assets)</w:t>
            </w: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shd w:val="clear" w:color="auto" w:fill="CCEEFF"/>
          </w:tcPr>
          <w:p>
            <w:pPr>
              <w:spacing w:after="0" w:line="20" w:lineRule="exact"/>
              <w:rPr>
                <w:sz w:val="1"/>
                <w:szCs w:val="1"/>
                <w:color w:val="auto"/>
              </w:rPr>
            </w:pPr>
          </w:p>
        </w:tc>
        <w:tc>
          <w:tcPr>
            <w:tcW w:w="60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$625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$55</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-711200</wp:posOffset>
            </wp:positionV>
            <wp:extent cx="1371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-711200</wp:posOffset>
            </wp:positionV>
            <wp:extent cx="137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62"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1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98" w:lineRule="exact"/>
        <w:rPr>
          <w:sz w:val="20"/>
          <w:szCs w:val="20"/>
          <w:color w:val="auto"/>
        </w:rPr>
      </w:pPr>
    </w:p>
    <w:p>
      <w:pPr>
        <w:ind w:left="1620" w:right="67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that are accessible at the measurement date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assets or liabilities. The fair value hierarchy gives the highest priority to Level 1 inputs.</w:t>
      </w:r>
    </w:p>
    <w:p>
      <w:pPr>
        <w:spacing w:after="0" w:line="86" w:lineRule="exact"/>
        <w:rPr>
          <w:sz w:val="20"/>
          <w:szCs w:val="20"/>
          <w:color w:val="auto"/>
        </w:rPr>
      </w:pPr>
    </w:p>
    <w:p>
      <w:pPr>
        <w:ind w:left="1620" w:right="63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are corroborated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market data or active market data for similar, but not identical assets or liabilities.</w:t>
      </w:r>
    </w:p>
    <w:p>
      <w:pPr>
        <w:spacing w:after="0" w:line="86" w:lineRule="exact"/>
        <w:rPr>
          <w:sz w:val="20"/>
          <w:szCs w:val="20"/>
          <w:color w:val="auto"/>
        </w:rPr>
      </w:pPr>
    </w:p>
    <w:p>
      <w:pPr>
        <w:ind w:left="1620" w:right="65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are used when little or no market data is available.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07"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0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$209 million and $59 million as of December 25, 2021 and December 26, 2020, respectively.</w:t>
      </w:r>
    </w:p>
    <w:p>
      <w:pPr>
        <w:spacing w:after="0" w:line="110"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The carrying amounts of the related party loan, trade accounts receivable and accounts payable approximate fair value because of their generally short maturities.</w:t>
      </w:r>
    </w:p>
    <w:p>
      <w:pPr>
        <w:spacing w:after="0" w:line="95"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 also has goodwill and acquisition-related in-process research and development assets that are required to be recorded at fair value only if an impairment is recognized in the current year. As described in further details in Note 10 and Note 11, these assets are evaluated on an ongoing basis for impairment. The fair value of these assets was determined using estimated discounted future cash flows, or cost-replacement and cost-savings methods, which are Level 3 valuation techniques.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4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that considers the Company’s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customer base and an assessment of selling price in relation to product cost. Once written-down, a new lower cost basis for that inventory is established.</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Property and equipment are depreciated on a straight-line basis over their estimated useful lives.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estimated useful lives per asset type are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4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gridSpan w:val="4"/>
          </w:tcPr>
          <w:p>
            <w:pPr>
              <w:ind w:left="20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Years</w:t>
            </w:r>
            <w:r>
              <w:rPr>
                <w:rFonts w:ascii="Times New Roman" w:cs="Times New Roman" w:eastAsia="Times New Roman" w:hAnsi="Times New Roman"/>
                <w:sz w:val="28"/>
                <w:szCs w:val="28"/>
                <w:b w:val="1"/>
                <w:bCs w:val="1"/>
                <w:color w:val="auto"/>
                <w:vertAlign w:val="subscript"/>
              </w:rPr>
              <w:t>​</w:t>
            </w:r>
          </w:p>
        </w:tc>
      </w:tr>
      <w:tr>
        <w:trPr>
          <w:trHeight w:val="20"/>
        </w:trPr>
        <w:tc>
          <w:tcPr>
            <w:tcW w:w="484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software</w:t>
            </w:r>
          </w:p>
        </w:tc>
        <w:tc>
          <w:tcPr>
            <w:tcW w:w="2640" w:type="dxa"/>
            <w:vAlign w:val="bottom"/>
            <w:gridSpan w:val="3"/>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​​3 – 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7"/>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400" w:type="dxa"/>
            <w:vAlign w:val="bottom"/>
            <w:gridSpan w:val="2"/>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Electronic equipment</w:t>
            </w:r>
          </w:p>
        </w:tc>
        <w:tc>
          <w:tcPr>
            <w:tcW w:w="240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5173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517390" cy="8890"/>
                    </a:xfrm>
                    <a:prstGeom prst="rect">
                      <a:avLst/>
                    </a:prstGeom>
                    <a:noFill/>
                  </pic:spPr>
                </pic:pic>
              </a:graphicData>
            </a:graphic>
          </wp:anchor>
        </w:drawing>
      </w:r>
    </w:p>
    <w:p>
      <w:pPr>
        <w:spacing w:after="0" w:line="83"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Leasehold improvements are amortized by the straight-line method over the shorter of the term of the lease and estimated useful life of the improvements. Buildings and any assets in construction are not depreciated until they are put into service.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accounts for business combinations using the acquisition method of accounting. The Company includes the results of operations of the businesses that we acquire in the combined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79" w:lineRule="exact"/>
        <w:rPr>
          <w:sz w:val="20"/>
          <w:szCs w:val="20"/>
          <w:color w:val="auto"/>
        </w:rPr>
      </w:pPr>
    </w:p>
    <w:p>
      <w:pPr>
        <w:ind w:left="1800" w:right="71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estimations of future cash flows, discount rates, and growth rates, as well as the estimated useful life of intangible assets;</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 which are initially estimated as of the acquisition date;</w:t>
      </w:r>
    </w:p>
    <w:p>
      <w:pPr>
        <w:spacing w:after="0" w:line="53"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property and equipment; pre-existing liabilities or legal claims; deferred revenue; and contingent consideration, each as may be applicable;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measured as the excess of consideration transferred over the net of the acquisition date fair values of the assets acquired and the liabilities assumed.</w:t>
      </w:r>
    </w:p>
    <w:p>
      <w:pPr>
        <w:spacing w:after="0" w:line="81"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the Company is permitted to first assess qualitative factors to determine whether a quantitative goodwill impairment test is necessary. Further testing is performed if the Company determines, based on the qualitative assessment, that it is more likely than not that a reporting unit’s fair value is less than its carrying amount.</w:t>
      </w:r>
    </w:p>
    <w:p>
      <w:pPr>
        <w:spacing w:after="0" w:line="33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Qualitative factors include industry and market considerations, overall financial performance, and other relevant events and factors affecting the reporting unit. Additionally, as part of this assessment, the Company may perform a quantitative analysis to support the qualitative factors above by applying sensitivities to assumptions and inputs used in measuring a reporting unit’s fair value.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Company’s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10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The Company performed a quantitative assessment for one of its reporting units in the year ended December 25, 2021. The Company did not record any impairment of goodwill for any of the periods presented. Forecasts and estimates are based on assumptions that are consistent with the plans and estimates used to manage the business. Changes in these estimates could change the conclusion regarding an impairment of goodwill.</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4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Company amortizes acquisition-related intangible assets that are subject to amortization over their estimated useful life.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Long- 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years ended December 25, 2021, December 26, 2020, and December 28, 2019, no impairment indicators were identified.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162"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and consist primarily of personnel, facilities, equipment, and supplies for research and development activities.</w:t>
      </w:r>
    </w:p>
    <w:p>
      <w:pPr>
        <w:spacing w:after="0" w:line="95"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112"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occasionally enters into best- efforts nonrefundable, non- 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14"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Participations in expenses for research and development projects are recognized on the basis of the costs incurred and are netted against research and development expenses in the combined statements of</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19"/>
        <w:spacing w:after="0" w:line="258" w:lineRule="auto"/>
        <w:rPr>
          <w:sz w:val="20"/>
          <w:szCs w:val="20"/>
          <w:color w:val="auto"/>
        </w:rPr>
      </w:pPr>
      <w:r>
        <w:rPr>
          <w:rFonts w:ascii="Times New Roman" w:cs="Times New Roman" w:eastAsia="Times New Roman" w:hAnsi="Times New Roman"/>
          <w:sz w:val="18"/>
          <w:szCs w:val="18"/>
          <w:color w:val="auto"/>
        </w:rPr>
        <w:t>operations and comprehensive income (loss). Research and development reimbursements of $54 million, $48 million, and $42 million were offset against research and development costs in the years ended December 25, 2021, December 26, 2020, and December 28, 2019, respectively.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Gains and losses attributed to these combined financial statements are recorded under accumulated other comprehensive income and reclassified into earnings in the same period or periods during which the hedged transaction affects earnings. The amount of hedging gain that was reclassified to the combined statement of operations and comprehensive income (loss) for the year ended December 25, 2021 was approximately $13 million.</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48"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The Company recognizes net product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shipping terms. Revenue for product sales to resellers and distributors is recognized at the time of delivery of products to the resellers and distributors.</w:t>
      </w:r>
    </w:p>
    <w:p>
      <w:pPr>
        <w:spacing w:after="0" w:line="11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Advertising expenses</w:t>
      </w:r>
    </w:p>
    <w:p>
      <w:pPr>
        <w:spacing w:after="0" w:line="162" w:lineRule="exact"/>
        <w:rPr>
          <w:sz w:val="20"/>
          <w:szCs w:val="20"/>
          <w:color w:val="auto"/>
        </w:rPr>
      </w:pPr>
    </w:p>
    <w:p>
      <w:pPr>
        <w:ind w:left="1260" w:right="479" w:firstLine="360"/>
        <w:spacing w:after="0" w:line="251" w:lineRule="auto"/>
        <w:rPr>
          <w:sz w:val="20"/>
          <w:szCs w:val="20"/>
          <w:color w:val="auto"/>
        </w:rPr>
      </w:pPr>
      <w:r>
        <w:rPr>
          <w:rFonts w:ascii="Times New Roman" w:cs="Times New Roman" w:eastAsia="Times New Roman" w:hAnsi="Times New Roman"/>
          <w:sz w:val="18"/>
          <w:szCs w:val="18"/>
          <w:color w:val="auto"/>
        </w:rPr>
        <w:t>Advertising expenses are charged to sales and marketing on the combined statements of operations and comprehensive income (loss) as incurred. Advertising expenses for the years ended December 25, 2021, December 26, 2020, and December 28, 2019 amounted to $2 million, $3 million, and $2 million, respectively.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Company’s employees participate in Intel’s equity incentive plans. Equity awards granted to employees are accounted for using the estimated grant date fair value. The Company estimates the fair value of employee stock options to purchase shares of Intel common stock at the date of grant using an option pricing model and values restricted stock units (“RSUs”) based on the market value of the underlying share of Intel common stock at the date of grant. The Company recognizes share-based compensation expense over the requisite service period of the award, net of estimated forfeitures.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combined financial statements. Under this method, deferred tax assets and liabilities, resulting from temporary differences between the financial reporting and tax bases of assets</w:t>
      </w:r>
    </w:p>
    <w:p>
      <w:pPr>
        <w:spacing w:after="0" w:line="3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59"/>
        <w:spacing w:after="0" w:line="266" w:lineRule="auto"/>
        <w:rPr>
          <w:sz w:val="20"/>
          <w:szCs w:val="20"/>
          <w:color w:val="auto"/>
        </w:rPr>
      </w:pPr>
      <w:r>
        <w:rPr>
          <w:rFonts w:ascii="Times New Roman" w:cs="Times New Roman" w:eastAsia="Times New Roman" w:hAnsi="Times New Roman"/>
          <w:sz w:val="18"/>
          <w:szCs w:val="18"/>
          <w:color w:val="auto"/>
        </w:rPr>
        <w:t>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10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99"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Income taxes as presented herein attribute certain current and deferred income taxes of the Company’s Parent to the Company’s combined financial statements in a manner that is consistent with the asset and liability method.</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During the years presented in the combined financial statements, certain components of the Company’s business operations were included in the consolidated U.S. domestic and certain foreign income tax returns filed by the Company’s Parent, where applicable. The Company also files certain foreign income tax returns on a separate basis, distinct from its Parent. The income tax provision included in the Company’s combined financial statements has been calculated using the separate return method as if the Company had filed its own tax returns. The Company will present tax loss carry-forward amounts that have not been utilized by the Parent only to the extent such tax attributes can be claimed on a separate income tax return as opposed to a consolidated income tax return filing with its Parent. Use of the separate return method may result in differences when amounts allocated to the Company’s separate income tax provision are compared to the Parent’s income tax provision.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Provision for warranties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06" w:lineRule="exact"/>
        <w:rPr>
          <w:sz w:val="20"/>
          <w:szCs w:val="20"/>
          <w:color w:val="auto"/>
        </w:rPr>
      </w:pPr>
    </w:p>
    <w:p>
      <w:pPr>
        <w:ind w:left="1260" w:right="479" w:firstLine="360"/>
        <w:spacing w:after="0" w:line="263" w:lineRule="auto"/>
        <w:rPr>
          <w:sz w:val="20"/>
          <w:szCs w:val="20"/>
          <w:color w:val="auto"/>
        </w:rPr>
      </w:pPr>
      <w:r>
        <w:rPr>
          <w:rFonts w:ascii="Times New Roman" w:cs="Times New Roman" w:eastAsia="Times New Roman" w:hAnsi="Times New Roman"/>
          <w:sz w:val="18"/>
          <w:szCs w:val="18"/>
          <w:color w:val="auto"/>
        </w:rPr>
        <w:t>Provision for warranties is included in other current liabilities on the combined balance sheets. Provision for warranties as of December 25, 2021 and December 26, 2020, as well as warranty expenses for the each of the years ended December 25, 2021, December 26, 2020, and December 28, 2019, were not material.</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Loss contingencies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24"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no current matters that would have a material effect on the Company’s financial position, results of operations or cash flows. Legal fees are expensed as incurred.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accounts for leases in accordance with ASC 842, Leases, which requires lessees to</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recognize leases on the combined balance sheets and disclose key information about leasing arrangements.</w:t>
      </w:r>
    </w:p>
    <w:p>
      <w:pPr>
        <w:spacing w:after="0" w:line="139"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Leases primarily consist of real property and vehicles and are classified as operating leases with fixed payment terms. The Company determines if an arrangement is a lease, or contains a lease, at inception and records the leases in these combined financial statements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combined balance sheet. Lease expenses for the operating leases are recognized on a straight-line basis over the lease term and are included in operating expenses in the combined statements of operations and comprehensive income (loss). Options to extend or terminate the lease are taken into account when it is reasonably certain at the commencement date that such options will be exercised.</w:t>
      </w:r>
    </w:p>
    <w:p>
      <w:pPr>
        <w:spacing w:after="0" w:line="124"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combined statements of operations and comprehensive income (loss) in the period in which the event or condition that triggers the payment occurs. These variable payment amounts were not material to the combined financial statements for the years ended December 25, 2021, December 26, 2020, and December 28, 2019.</w:t>
      </w:r>
    </w:p>
    <w:p>
      <w:pPr>
        <w:spacing w:after="0" w:line="111" w:lineRule="exact"/>
        <w:rPr>
          <w:sz w:val="20"/>
          <w:szCs w:val="20"/>
          <w:color w:val="auto"/>
        </w:rPr>
      </w:pPr>
    </w:p>
    <w:p>
      <w:pPr>
        <w:ind w:left="1260" w:right="779" w:firstLine="360"/>
        <w:spacing w:after="0" w:line="27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most of its leases is not readily determinable.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trade accounts receivable.</w:t>
      </w:r>
    </w:p>
    <w:p>
      <w:pPr>
        <w:spacing w:after="0" w:line="81"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See Note 12 related to customers that accounted for more than 10% of the Company’s total revenue and accounts receivable balance for each of the years presented in these combined financial statements.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25, 2021 and December 26, 2020, the credit losses accounts receivable, which is determined with respect to specific debts that are doubtful of collection and netted against accounts receivable, was not material. The Company writes off accounts receivable when they are deemed uncollectible. For the years ended December 25, 2021, December 26, 2020, and December 28, 2019, the charge-offs and recoveries in relation to the credit losses accounts were not material.</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related to customers that accounted for more than 10% of the Company’s total revenue and accounts receivable balance for each of the years presented in these combined financial statements.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Dependence on a single supplier risk</w:t>
      </w:r>
    </w:p>
    <w:p>
      <w:pPr>
        <w:spacing w:after="0" w:line="127"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Company purchases all its System on Chip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4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The COVID-19 pandemic has adversely affected significant portions of our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21" w:lineRule="exact"/>
        <w:rPr>
          <w:sz w:val="20"/>
          <w:szCs w:val="20"/>
          <w:color w:val="auto"/>
        </w:rPr>
      </w:pPr>
    </w:p>
    <w:p>
      <w:pPr>
        <w:ind w:left="1260" w:right="439" w:firstLine="360"/>
        <w:spacing w:after="0" w:line="239" w:lineRule="auto"/>
        <w:rPr>
          <w:sz w:val="20"/>
          <w:szCs w:val="20"/>
          <w:color w:val="auto"/>
        </w:rPr>
      </w:pPr>
      <w:r>
        <w:rPr>
          <w:rFonts w:ascii="Times New Roman" w:cs="Times New Roman" w:eastAsia="Times New Roman" w:hAnsi="Times New Roman"/>
          <w:sz w:val="18"/>
          <w:szCs w:val="18"/>
          <w:color w:val="auto"/>
        </w:rPr>
        <w:t>During the year ended December 25, 2021, the Company’s supplier was not able to meet demand of the Company for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causing a significant reduction in the inventory level of the Company, and the Company expects that it may continue to experience a shortfall of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during 2022. As the Company has entered fiscal 2022 with significantly lower inventories of its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resulting from the limited supply during the year ended December 25, 2021, it may be unable to offset future supply constraints through the use of inventory on hand. Since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is the core of the ADAS and AV products, continued shortages in the supply of sufficient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June 2016, the FASB issued ASC 326, Financial Instruments — 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Company adopted ASC 326 in the first quarter of 2020 and there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79"/>
        <w:spacing w:after="0" w:line="297" w:lineRule="auto"/>
        <w:rPr>
          <w:sz w:val="20"/>
          <w:szCs w:val="20"/>
          <w:color w:val="auto"/>
        </w:rPr>
      </w:pPr>
      <w:r>
        <w:rPr>
          <w:rFonts w:ascii="Times New Roman" w:cs="Times New Roman" w:eastAsia="Times New Roman" w:hAnsi="Times New Roman"/>
          <w:sz w:val="18"/>
          <w:szCs w:val="18"/>
          <w:color w:val="auto"/>
        </w:rPr>
        <w:t>was no material impact on the Company’s combined balance sheet and the combined statements of operations and comprehensive income (loss) upon adoption.</w:t>
      </w:r>
    </w:p>
    <w:p>
      <w:pPr>
        <w:spacing w:after="0" w:line="80" w:lineRule="exact"/>
        <w:rPr>
          <w:sz w:val="20"/>
          <w:szCs w:val="20"/>
          <w:color w:val="auto"/>
        </w:rPr>
      </w:pPr>
    </w:p>
    <w:p>
      <w:pPr>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 xml:space="preserve">In January 2017, the FASB issued Accounting Standard Update (“ASU”) No. 2017-04,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(Topic 350): Simplifying the Test for Goodwill Impairment</w:t>
      </w:r>
      <w:r>
        <w:rPr>
          <w:rFonts w:ascii="Times New Roman" w:cs="Times New Roman" w:eastAsia="Times New Roman" w:hAnsi="Times New Roman"/>
          <w:sz w:val="18"/>
          <w:szCs w:val="18"/>
          <w:color w:val="auto"/>
        </w:rPr>
        <w:t>, to simplify the subsequent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carrying amount of goodwill. In addition, the guidance eliminates the requirements for any reporting unit with a zero or negative carrying amount to perform a qualitative assessment and, if it fails that qualitative test, to perform Step 2 of the goodwill impairment test. This standard is effective for annual or any interim goodwill impairment test in years beginning on or after December 15, 2019. The Company adopted this guidance in the first quarter of 2020 with no material impact on these combined financial statements.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Effective:</w:t>
      </w:r>
    </w:p>
    <w:p>
      <w:pPr>
        <w:spacing w:after="0" w:line="162" w:lineRule="exact"/>
        <w:rPr>
          <w:sz w:val="20"/>
          <w:szCs w:val="20"/>
          <w:color w:val="auto"/>
        </w:rPr>
      </w:pPr>
    </w:p>
    <w:p>
      <w:pPr>
        <w:ind w:left="1260" w:right="539" w:firstLine="360"/>
        <w:spacing w:after="0" w:line="262"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through December 31, 2022. The Company will adopt this standard when LIBOR is discontinued, and all contracts will be renegotiated at that point. The Company does not anticipate that the adoption of this new standard will have a material impact on the Company’s combined financial statements and accompanying notes.</w:t>
      </w:r>
    </w:p>
    <w:p>
      <w:pPr>
        <w:spacing w:after="0" w:line="356" w:lineRule="exact"/>
        <w:rPr>
          <w:sz w:val="20"/>
          <w:szCs w:val="20"/>
          <w:color w:val="auto"/>
        </w:rPr>
      </w:pPr>
    </w:p>
    <w:p>
      <w:pPr>
        <w:ind w:left="1260" w:right="499" w:firstLine="360"/>
        <w:spacing w:after="0" w:line="264"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combined financial statements, and any significant terms and conditions of the agreements, including commitments and contingencies. The new standard is effective for the Company on January 1, 2022 and only impacts annual financial statement footnote disclosures. The Company does not anticipate that the adoption of this new standard will have a material impact on the Company’s combined financial statements and accompanying notes.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OTHER FINANCIAL STATEMENT DETAILS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0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180" w:type="dxa"/>
            <w:vAlign w:val="bottom"/>
            <w:gridSpan w:val="2"/>
            <w:shd w:val="clear" w:color="auto" w:fill="CCEEFF"/>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​73</w:t>
            </w:r>
          </w:p>
        </w:tc>
        <w:tc>
          <w:tcPr>
            <w:tcW w:w="260" w:type="dxa"/>
            <w:vAlign w:val="bottom"/>
            <w:shd w:val="clear" w:color="auto" w:fill="CCEEFF"/>
          </w:tcPr>
          <w:p>
            <w:pPr>
              <w:spacing w:after="0"/>
              <w:rPr>
                <w:sz w:val="23"/>
                <w:szCs w:val="23"/>
                <w:color w:val="auto"/>
              </w:rPr>
            </w:pP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jc w:val="right"/>
              <w:ind w:righ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​109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380" w:type="dxa"/>
            <w:vAlign w:val="bottom"/>
            <w:shd w:val="clear" w:color="auto" w:fill="CCEEFF"/>
          </w:tcPr>
          <w:p>
            <w:pPr>
              <w:spacing w:after="0" w:line="20" w:lineRule="exact"/>
              <w:rPr>
                <w:sz w:val="1"/>
                <w:szCs w:val="1"/>
                <w:color w:val="auto"/>
              </w:rPr>
            </w:pPr>
          </w:p>
        </w:tc>
        <w:tc>
          <w:tcPr>
            <w:tcW w:w="218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60" w:type="dxa"/>
            <w:vAlign w:val="bottom"/>
          </w:tcPr>
          <w:p>
            <w:pPr>
              <w:spacing w:after="0"/>
              <w:rPr>
                <w:sz w:val="22"/>
                <w:szCs w:val="22"/>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jc w:val="right"/>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$128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8"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were not material for all years presented in these combined financial statements.</w:t>
      </w: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4"/>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85</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11</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 15</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14</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​249</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​145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​362</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1"/>
                <w:szCs w:val="21"/>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​(58)</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​(44)</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54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$304</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$187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-1542415</wp:posOffset>
            </wp:positionV>
            <wp:extent cx="1371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1" w:lineRule="exact"/>
        <w:rPr>
          <w:sz w:val="20"/>
          <w:szCs w:val="20"/>
          <w:color w:val="auto"/>
        </w:rPr>
      </w:pPr>
    </w:p>
    <w:p>
      <w:pPr>
        <w:ind w:left="1260" w:right="1339" w:firstLine="360"/>
        <w:spacing w:after="0" w:line="266" w:lineRule="auto"/>
        <w:rPr>
          <w:sz w:val="20"/>
          <w:szCs w:val="20"/>
          <w:color w:val="auto"/>
        </w:rPr>
      </w:pPr>
      <w:r>
        <w:rPr>
          <w:rFonts w:ascii="Times New Roman" w:cs="Times New Roman" w:eastAsia="Times New Roman" w:hAnsi="Times New Roman"/>
          <w:sz w:val="18"/>
          <w:szCs w:val="18"/>
          <w:color w:val="auto"/>
        </w:rPr>
        <w:t>Depreciation expenses totaled $17 million, $13 million, and $ 11 million for the years ended December 25, 2021, December 26, 2020, and December 28, 2019, respectively.</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property and equipment and long-lived assets were located in Israel as of December 25, 2021 and December 26, 2020.</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Royalty bearing agreements</w:t>
      </w:r>
    </w:p>
    <w:p>
      <w:pPr>
        <w:spacing w:after="0" w:line="148"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25, 2021, December 26, 2020, and December 28, 2019, the Company recorded expenses of approximately $ 7 million, $5 million, and $6 million, respectively. These expenses were classified as a component of cost of revenue.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EMPLOYEE BENEFITS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Israel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Severance</w:t>
      </w:r>
    </w:p>
    <w:p>
      <w:pPr>
        <w:spacing w:after="0" w:line="148" w:lineRule="exact"/>
        <w:rPr>
          <w:sz w:val="20"/>
          <w:szCs w:val="20"/>
          <w:color w:val="auto"/>
        </w:rPr>
      </w:pPr>
    </w:p>
    <w:p>
      <w:pPr>
        <w:jc w:val="both"/>
        <w:ind w:left="1260" w:right="979" w:firstLine="360"/>
        <w:spacing w:after="0" w:line="258" w:lineRule="auto"/>
        <w:rPr>
          <w:sz w:val="20"/>
          <w:szCs w:val="20"/>
          <w:color w:val="auto"/>
        </w:rPr>
      </w:pPr>
      <w:r>
        <w:rPr>
          <w:rFonts w:ascii="Times New Roman" w:cs="Times New Roman" w:eastAsia="Times New Roman" w:hAnsi="Times New Roman"/>
          <w:sz w:val="18"/>
          <w:szCs w:val="18"/>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0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combined balance sheets as a long-term employee benefit. Severance pay liabilities as of December 25, 2021 and December 26, 2020 were $68 million and $59 million, respectively.</w:t>
      </w:r>
    </w:p>
    <w:p>
      <w:pPr>
        <w:spacing w:after="0" w:line="12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$58 million and $48 million as of December 25, 2021 and December 26, 2020, respectively.</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Part of the Company’s liability for severance pay is covered by the provisions of Section 14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Israeli Severance Pay Law (“Section 14”). Under Section 14, employees are entitled to monthly deposits, at</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70" w:lineRule="auto"/>
        <w:rPr>
          <w:sz w:val="20"/>
          <w:szCs w:val="20"/>
          <w:color w:val="auto"/>
        </w:rPr>
      </w:pPr>
      <w:r>
        <w:rPr>
          <w:rFonts w:ascii="Times New Roman" w:cs="Times New Roman" w:eastAsia="Times New Roman" w:hAnsi="Times New Roman"/>
          <w:sz w:val="18"/>
          <w:szCs w:val="18"/>
          <w:color w:val="auto"/>
        </w:rPr>
        <w:t>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combined balance sheets.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employee benefits</w:t>
      </w:r>
    </w:p>
    <w:p>
      <w:pPr>
        <w:spacing w:after="0" w:line="148" w:lineRule="exact"/>
        <w:rPr>
          <w:sz w:val="20"/>
          <w:szCs w:val="20"/>
          <w:color w:val="auto"/>
        </w:rPr>
      </w:pPr>
    </w:p>
    <w:p>
      <w:pPr>
        <w:ind w:left="1260" w:right="579" w:firstLine="360"/>
        <w:spacing w:after="0" w:line="270" w:lineRule="auto"/>
        <w:rPr>
          <w:sz w:val="20"/>
          <w:szCs w:val="20"/>
          <w:color w:val="auto"/>
        </w:rPr>
      </w:pPr>
      <w:r>
        <w:rPr>
          <w:rFonts w:ascii="Times New Roman" w:cs="Times New Roman" w:eastAsia="Times New Roman" w:hAnsi="Times New Roman"/>
          <w:sz w:val="18"/>
          <w:szCs w:val="18"/>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334"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For the years ended December 25, 2021, December 26, 2020, and December 28, 2019, the periodic benefit costs were $2 million, $1 million, and $1 million, respectively, the discount rates were 3.1%, 2.9%, and 2.6%, respectively, and the assumed rates of compensation increase were 4.0%, 4.2%, and 3.9%, respectively.</w:t>
      </w:r>
    </w:p>
    <w:p>
      <w:pPr>
        <w:spacing w:after="0" w:line="328" w:lineRule="exact"/>
        <w:rPr>
          <w:sz w:val="20"/>
          <w:szCs w:val="20"/>
          <w:color w:val="auto"/>
        </w:rPr>
      </w:pPr>
    </w:p>
    <w:p>
      <w:pPr>
        <w:ind w:left="1260" w:right="659" w:firstLine="360"/>
        <w:spacing w:after="0" w:line="274" w:lineRule="auto"/>
        <w:rPr>
          <w:sz w:val="20"/>
          <w:szCs w:val="20"/>
          <w:color w:val="auto"/>
        </w:rPr>
      </w:pPr>
      <w:r>
        <w:rPr>
          <w:rFonts w:ascii="Times New Roman" w:cs="Times New Roman" w:eastAsia="Times New Roman" w:hAnsi="Times New Roman"/>
          <w:sz w:val="18"/>
          <w:szCs w:val="18"/>
          <w:color w:val="auto"/>
        </w:rPr>
        <w:t>Projected benefit obligations as of December 25, 2021 and December 26, 2020 were $23 million and $18 million, respectively. The accumulated other comprehensive income related to this benefit was not material for all periods presented.</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Non-Israeli Defined Contribution Plans</w:t>
      </w:r>
    </w:p>
    <w:p>
      <w:pPr>
        <w:spacing w:after="0" w:line="162" w:lineRule="exact"/>
        <w:rPr>
          <w:sz w:val="20"/>
          <w:szCs w:val="20"/>
          <w:color w:val="auto"/>
        </w:rPr>
      </w:pPr>
    </w:p>
    <w:p>
      <w:pPr>
        <w:ind w:left="1260" w:right="479" w:firstLine="360"/>
        <w:spacing w:after="0" w:line="271" w:lineRule="auto"/>
        <w:rPr>
          <w:sz w:val="20"/>
          <w:szCs w:val="20"/>
          <w:color w:val="auto"/>
        </w:rPr>
      </w:pPr>
      <w:r>
        <w:rPr>
          <w:rFonts w:ascii="Times New Roman" w:cs="Times New Roman" w:eastAsia="Times New Roman" w:hAnsi="Times New Roman"/>
          <w:sz w:val="18"/>
          <w:szCs w:val="18"/>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25, 2021, December 26, 2020, and December 28, 2019 under such plans were not material.</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LEASES</w:t>
      </w:r>
    </w:p>
    <w:p>
      <w:pPr>
        <w:spacing w:after="0" w:line="162" w:lineRule="exact"/>
        <w:rPr>
          <w:sz w:val="20"/>
          <w:szCs w:val="20"/>
          <w:color w:val="auto"/>
        </w:rPr>
      </w:pPr>
    </w:p>
    <w:p>
      <w:pPr>
        <w:ind w:left="1260" w:right="539" w:firstLine="360"/>
        <w:spacing w:after="0" w:line="297" w:lineRule="auto"/>
        <w:rPr>
          <w:sz w:val="20"/>
          <w:szCs w:val="20"/>
          <w:color w:val="auto"/>
        </w:rPr>
      </w:pPr>
      <w:r>
        <w:rPr>
          <w:rFonts w:ascii="Times New Roman" w:cs="Times New Roman" w:eastAsia="Times New Roman" w:hAnsi="Times New Roman"/>
          <w:sz w:val="18"/>
          <w:szCs w:val="18"/>
          <w:color w:val="auto"/>
        </w:rPr>
        <w:t>The Company has entered into various non-cancellable operating lease agreements for its main offices and vehicles.</w:t>
      </w:r>
    </w:p>
    <w:p>
      <w:pPr>
        <w:spacing w:after="0" w:line="82"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The lease term of the majority of the Company’s operating leases varies from three to five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05"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for new leases commencing after January 1, 2019.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25, 2021, December 26, 2020, and December 28, 2019 were $11 million, $9 million, and $8 million, respectively, and operating cash outflows from operating leases were $12 million, $10 million, and $9 million, respectively.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97" w:lineRule="auto"/>
        <w:rPr>
          <w:sz w:val="20"/>
          <w:szCs w:val="20"/>
          <w:color w:val="auto"/>
        </w:rPr>
      </w:pPr>
      <w:r>
        <w:rPr>
          <w:rFonts w:ascii="Times New Roman" w:cs="Times New Roman" w:eastAsia="Times New Roman" w:hAnsi="Times New Roman"/>
          <w:sz w:val="18"/>
          <w:szCs w:val="18"/>
          <w:color w:val="auto"/>
        </w:rPr>
        <w:t>The balances for the operating leases are presented on the combined balance sheets in other long-term assets, other current liabilities and long-term liabilities were as follows:</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bottom w:val="single" w:sz="8" w:color="auto"/>
            </w:tcBorders>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60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1060" w:type="dxa"/>
            <w:vAlign w:val="bottom"/>
            <w:gridSpan w:val="2"/>
          </w:tcPr>
          <w:p>
            <w:pPr>
              <w:jc w:val="center"/>
              <w:ind w:left="108"/>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3"/>
                <w:szCs w:val="13"/>
                <w:color w:val="auto"/>
              </w:rPr>
            </w:pPr>
          </w:p>
        </w:tc>
      </w:tr>
      <w:tr>
        <w:trPr>
          <w:trHeight w:val="20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3"/>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6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3716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-147320</wp:posOffset>
            </wp:positionV>
            <wp:extent cx="1371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0</wp:posOffset>
            </wp:positionV>
            <wp:extent cx="4749165" cy="13716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Current portion of lease liabilities</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5715</wp:posOffset>
            </wp:positionV>
            <wp:extent cx="4749165" cy="1797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0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​12</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​12</w:t>
            </w:r>
          </w:p>
        </w:tc>
        <w:tc>
          <w:tcPr>
            <w:tcW w:w="160" w:type="dxa"/>
            <w:vAlign w:val="bottom"/>
          </w:tcPr>
          <w:p>
            <w:pPr>
              <w:spacing w:after="0"/>
              <w:rPr>
                <w:sz w:val="20"/>
                <w:szCs w:val="20"/>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​18</w:t>
            </w:r>
          </w:p>
        </w:tc>
        <w:tc>
          <w:tcPr>
            <w:tcW w:w="160" w:type="dxa"/>
            <w:vAlign w:val="bottom"/>
          </w:tcPr>
          <w:p>
            <w:pPr>
              <w:spacing w:after="0"/>
              <w:rPr>
                <w:sz w:val="20"/>
                <w:szCs w:val="20"/>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14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28</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00" w:space="720"/>
            <w:col w:w="2859"/>
          </w:cols>
          <w:pgMar w:left="580" w:top="97" w:right="1440" w:bottom="1440" w:gutter="0" w:footer="0" w:header="0"/>
          <w:type w:val="continuous"/>
        </w:sectPr>
      </w:pPr>
    </w:p>
    <w:p>
      <w:pPr>
        <w:spacing w:after="0" w:line="38" w:lineRule="exact"/>
        <w:rPr>
          <w:sz w:val="20"/>
          <w:szCs w:val="20"/>
          <w:color w:val="auto"/>
        </w:rPr>
      </w:pPr>
    </w:p>
    <w:p>
      <w:pPr>
        <w:jc w:val="both"/>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As of December 25, 2021 and December 26, 2020, the weighted average remaining lease term was 2.44 years and 2.99 years, respectively, and the weighted average discount rate was 1.77% and 1.58%, respectively.</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Maturities of future minimum lease payments as of December 25, 2021 were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gridSpan w:val="19"/>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w:t>
            </w:r>
            <w:r>
              <w:rPr>
                <w:rFonts w:ascii="Times New Roman" w:cs="Times New Roman" w:eastAsia="Times New Roman" w:hAnsi="Times New Roman"/>
                <w:sz w:val="28"/>
                <w:szCs w:val="28"/>
                <w:b w:val="1"/>
                <w:bCs w:val="1"/>
                <w:color w:val="auto"/>
                <w:vertAlign w:val="subscript"/>
              </w:rPr>
              <w:t>​</w:t>
            </w:r>
          </w:p>
        </w:tc>
      </w:tr>
      <w:tr>
        <w:trPr>
          <w:trHeight w:val="23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12</w:t>
            </w: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8</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w:t>
            </w:r>
          </w:p>
        </w:tc>
        <w:tc>
          <w:tcPr>
            <w:tcW w:w="1160" w:type="dxa"/>
            <w:vAlign w:val="bottom"/>
            <w:gridSpan w:val="6"/>
            <w:shd w:val="clear" w:color="auto" w:fill="CCEEFF"/>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b w:val="1"/>
                <w:bCs w:val="1"/>
                <w:color w:val="auto"/>
              </w:rPr>
              <w:t>$24</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-368300</wp:posOffset>
            </wp:positionV>
            <wp:extent cx="13716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-368300</wp:posOffset>
            </wp:positionV>
            <wp:extent cx="137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-368300</wp:posOffset>
            </wp:positionV>
            <wp:extent cx="137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-368300</wp:posOffset>
            </wp:positionV>
            <wp:extent cx="137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-368300</wp:posOffset>
            </wp:positionV>
            <wp:extent cx="137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-368300</wp:posOffset>
            </wp:positionV>
            <wp:extent cx="137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Company obtained the right to use land in Jerusalem from the Israeli government for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construction of a new research and development and innovation center that will also host the Company’s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headquarters. This land lease was fully prepaid and no leases liabilities were recorded. This operating lease</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right of use asset is carried at cost and depreciated using the straight-line method. This operating lease right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use asset, net of depreciation, was $11 million and $11 million as of December, 25, 2021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26, 2020, respectively, and is included in other long-term assets on the combined balance sheets.</w:t>
      </w:r>
    </w:p>
    <w:p>
      <w:pPr>
        <w:spacing w:after="0" w:line="2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EQUITY AWARDS</w:t>
      </w:r>
    </w:p>
    <w:p>
      <w:pPr>
        <w:spacing w:after="0" w:line="148" w:lineRule="exact"/>
        <w:rPr>
          <w:sz w:val="20"/>
          <w:szCs w:val="20"/>
          <w:color w:val="auto"/>
        </w:rPr>
      </w:pPr>
    </w:p>
    <w:p>
      <w:pPr>
        <w:ind w:left="1260" w:right="779" w:firstLine="360"/>
        <w:spacing w:after="0" w:line="281" w:lineRule="auto"/>
        <w:rPr>
          <w:sz w:val="20"/>
          <w:szCs w:val="20"/>
          <w:color w:val="auto"/>
        </w:rPr>
      </w:pPr>
      <w:r>
        <w:rPr>
          <w:rFonts w:ascii="Times New Roman" w:cs="Times New Roman" w:eastAsia="Times New Roman" w:hAnsi="Times New Roman"/>
          <w:sz w:val="18"/>
          <w:szCs w:val="18"/>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96" w:lineRule="exact"/>
        <w:rPr>
          <w:sz w:val="20"/>
          <w:szCs w:val="20"/>
          <w:color w:val="auto"/>
        </w:rPr>
      </w:pPr>
    </w:p>
    <w:p>
      <w:pPr>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The Intel Corporation 2006 Equity Incentive Plan (“2006 Plan”) provides for the grant of equity awards covering Intel common stock to eligible employees of the business and contain only a service condition. The equity awards granted generally vest over the course of three years from the grant date. The Company expenses the equity compensation costs according to the shorter of the vesting schedule or on a straight-line basis over the requisite service period.</w:t>
      </w:r>
    </w:p>
    <w:p>
      <w:pPr>
        <w:spacing w:after="0" w:line="10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combined financial statements, in respect of equity granted to employees under the plan, with the exception of the benefit component, if any,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Outstanding and exercisable options for Intel’s common stock under Intel’s plan as of December 25,</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2021 were as follows:</w:t>
      </w:r>
    </w:p>
    <w:p>
      <w:pPr>
        <w:spacing w:after="0" w:line="146"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exercise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dollars)</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w w:val="97"/>
                <w:vertAlign w:val="subscript"/>
              </w:rPr>
              <w:t>​</w:t>
            </w:r>
            <w:r>
              <w:rPr>
                <w:rFonts w:ascii="Times New Roman" w:cs="Times New Roman" w:eastAsia="Times New Roman" w:hAnsi="Times New Roman"/>
                <w:sz w:val="14"/>
                <w:szCs w:val="14"/>
                <w:b w:val="1"/>
                <w:bCs w:val="1"/>
                <w:color w:val="auto"/>
                <w:w w:val="97"/>
              </w:rPr>
              <w:t xml:space="preserve"> contractual life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0"/>
                <w:szCs w:val="20"/>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5"/>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720" w:type="dxa"/>
            <w:vAlign w:val="bottom"/>
            <w:gridSpan w:val="6"/>
          </w:tcPr>
          <w:p>
            <w:pPr>
              <w:jc w:val="cente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 – 22.6</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​$13.0 ​​</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​$21.6</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23.9 – 26.9</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2,122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9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5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​26.9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2,119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​26.9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31.9 – 34.0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900" w:type="dxa"/>
            <w:vAlign w:val="bottom"/>
            <w:tcBorders>
              <w:right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​33.0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1,280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​33.0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90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580" w:type="dxa"/>
            <w:vAlign w:val="bottom"/>
            <w:gridSpan w:val="3"/>
          </w:tcPr>
          <w:p>
            <w:pPr>
              <w:jc w:val="center"/>
              <w:ind w:righ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​55.2</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4"/>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​3,578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900" w:type="dxa"/>
            <w:vAlign w:val="bottom"/>
            <w:tcBorders>
              <w:right w:val="single" w:sz="8" w:color="CCEEFF"/>
            </w:tcBorders>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4"/>
                <w:szCs w:val="24"/>
                <w:color w:val="auto"/>
              </w:rPr>
            </w:pPr>
          </w:p>
        </w:tc>
        <w:tc>
          <w:tcPr>
            <w:tcW w:w="580" w:type="dxa"/>
            <w:vAlign w:val="bottom"/>
            <w:gridSpan w:val="3"/>
            <w:shd w:val="clear" w:color="auto" w:fill="CCEEFF"/>
          </w:tcPr>
          <w:p>
            <w:pPr>
              <w:jc w:val="center"/>
              <w:ind w:right="2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4"/>
            <w:shd w:val="clear" w:color="auto" w:fill="CCEEFF"/>
          </w:tcPr>
          <w:p>
            <w:pPr>
              <w:jc w:val="right"/>
              <w:ind w:right="140"/>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color w:val="auto"/>
              </w:rPr>
              <w:t>​3,463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29.3</w:t>
            </w:r>
          </w:p>
        </w:tc>
        <w:tc>
          <w:tcPr>
            <w:tcW w:w="2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-213995</wp:posOffset>
            </wp:positionV>
            <wp:extent cx="603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5146040</wp:posOffset>
            </wp:positionH>
            <wp:positionV relativeFrom="paragraph">
              <wp:posOffset>-213995</wp:posOffset>
            </wp:positionV>
            <wp:extent cx="30861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-213995</wp:posOffset>
            </wp:positionV>
            <wp:extent cx="30861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328295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18" w:lineRule="exact"/>
        <w:rPr>
          <w:sz w:val="20"/>
          <w:szCs w:val="20"/>
          <w:color w:val="auto"/>
        </w:rPr>
      </w:pPr>
    </w:p>
    <w:p>
      <w:pPr>
        <w:ind w:left="1260" w:right="779" w:firstLine="360"/>
        <w:spacing w:after="0" w:line="297" w:lineRule="auto"/>
        <w:rPr>
          <w:sz w:val="20"/>
          <w:szCs w:val="20"/>
          <w:color w:val="auto"/>
        </w:rPr>
      </w:pPr>
      <w:r>
        <w:rPr>
          <w:rFonts w:ascii="Times New Roman" w:cs="Times New Roman" w:eastAsia="Times New Roman" w:hAnsi="Times New Roman"/>
          <w:sz w:val="18"/>
          <w:szCs w:val="18"/>
          <w:color w:val="auto"/>
        </w:rPr>
        <w:t>The option activity for the years ended December 25, 2021, December 26, 2020, and December 28, 2019 for options granted to Company’s employees for Intel’s common stock was as follows: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Aggregated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contractual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8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7"/>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7"/>
                <w:szCs w:val="27"/>
                <w:b w:val="1"/>
                <w:bCs w:val="1"/>
                <w:color w:val="auto"/>
                <w:vertAlign w:val="subscript"/>
              </w:rPr>
              <w:t>​</w:t>
            </w:r>
          </w:p>
        </w:tc>
        <w:tc>
          <w:tcPr>
            <w:tcW w:w="820" w:type="dxa"/>
            <w:vAlign w:val="bottom"/>
            <w:gridSpan w:val="5"/>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dollars </w:t>
            </w:r>
            <w:r>
              <w:rPr>
                <w:rFonts w:ascii="Times New Roman" w:cs="Times New Roman" w:eastAsia="Times New Roman" w:hAnsi="Times New Roman"/>
                <w:sz w:val="27"/>
                <w:szCs w:val="27"/>
                <w:b w:val="1"/>
                <w:bCs w:val="1"/>
                <w:color w:val="auto"/>
                <w:vertAlign w:val="subscript"/>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0" w:type="dxa"/>
            <w:vAlign w:val="bottom"/>
          </w:tcPr>
          <w:p>
            <w:pPr>
              <w:spacing w:after="0"/>
              <w:rPr>
                <w:sz w:val="20"/>
                <w:szCs w:val="20"/>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6"/>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In millions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29, 2018</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6,642</w:t>
            </w:r>
          </w:p>
        </w:tc>
        <w:tc>
          <w:tcPr>
            <w:tcW w:w="10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​$28.5 ​​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​55.2</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2"/>
                <w:szCs w:val="22"/>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​20.3</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28, 2019</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​6,594</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29.1</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Borders>
              <w:right w:val="single" w:sz="8" w:color="CCEEFF"/>
            </w:tcBorders>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​23.4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​19.5</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outstanding as of December 26, 2020</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​6,391</w:t>
            </w:r>
          </w:p>
        </w:tc>
        <w:tc>
          <w:tcPr>
            <w:tcW w:w="106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​2.4</w:t>
            </w:r>
          </w:p>
        </w:tc>
        <w:tc>
          <w:tcPr>
            <w:tcW w:w="2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114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(2,807)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​24.5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3"/>
                <w:szCs w:val="23"/>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gridSpan w:val="3"/>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​3,578</w:t>
            </w:r>
          </w:p>
        </w:tc>
        <w:tc>
          <w:tcPr>
            <w:tcW w:w="1060" w:type="dxa"/>
            <w:vAlign w:val="bottom"/>
            <w:gridSpan w:val="8"/>
            <w:shd w:val="clear" w:color="auto" w:fill="CCEEFF"/>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29.2</w:t>
            </w:r>
            <w:r>
              <w:rPr>
                <w:rFonts w:ascii="Times New Roman" w:cs="Times New Roman" w:eastAsia="Times New Roman" w:hAnsi="Times New Roman"/>
                <w:sz w:val="15"/>
                <w:szCs w:val="15"/>
                <w:color w:val="auto"/>
              </w:rPr>
              <w:t xml:space="preserve"> ​​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​1.5</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w:t>
            </w: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40" w:type="dxa"/>
            <w:vAlign w:val="bottom"/>
            <w:gridSpan w:val="2"/>
            <w:vMerge w:val="continue"/>
          </w:tcPr>
          <w:p>
            <w:pPr>
              <w:spacing w:after="0"/>
              <w:rPr>
                <w:sz w:val="16"/>
                <w:szCs w:val="16"/>
                <w:color w:val="auto"/>
              </w:rPr>
            </w:pPr>
          </w:p>
        </w:tc>
        <w:tc>
          <w:tcPr>
            <w:tcW w:w="22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6"/>
                <w:szCs w:val="16"/>
                <w:color w:val="auto"/>
              </w:rPr>
            </w:pPr>
          </w:p>
        </w:tc>
        <w:tc>
          <w:tcPr>
            <w:tcW w:w="1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 ​</w:t>
            </w:r>
          </w:p>
        </w:tc>
        <w:tc>
          <w:tcPr>
            <w:tcW w:w="480" w:type="dxa"/>
            <w:vAlign w:val="bottom"/>
            <w:gridSpan w:val="2"/>
          </w:tcPr>
          <w:p>
            <w:pPr>
              <w:ind w:left="22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line="190" w:lineRule="exact"/>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line="190"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6"/>
                <w:szCs w:val="16"/>
                <w:color w:val="auto"/>
              </w:rPr>
            </w:pPr>
          </w:p>
        </w:tc>
        <w:tc>
          <w:tcPr>
            <w:tcW w:w="16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0"/>
        </w:trPr>
        <w:tc>
          <w:tcPr>
            <w:tcW w:w="4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25, 2021</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ind w:lef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​3,463</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29.3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​1.3</w:t>
            </w:r>
          </w:p>
        </w:tc>
        <w:tc>
          <w:tcPr>
            <w:tcW w:w="220" w:type="dxa"/>
            <w:vAlign w:val="bottom"/>
            <w:shd w:val="clear" w:color="auto" w:fill="CCEEFF"/>
          </w:tcPr>
          <w:p>
            <w:pPr>
              <w:spacing w:after="0"/>
              <w:rPr>
                <w:sz w:val="24"/>
                <w:szCs w:val="2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76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94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-641985</wp:posOffset>
            </wp:positionV>
            <wp:extent cx="1111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-641985</wp:posOffset>
            </wp:positionV>
            <wp:extent cx="48691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869180" cy="8255"/>
                    </a:xfrm>
                    <a:prstGeom prst="rect">
                      <a:avLst/>
                    </a:prstGeom>
                    <a:noFill/>
                  </pic:spPr>
                </pic:pic>
              </a:graphicData>
            </a:graphic>
          </wp:anchor>
        </w:drawing>
        <w:drawing>
          <wp:anchor simplePos="0" relativeHeight="251657728" behindDoc="1" locked="0" layoutInCell="0" allowOverlap="1">
            <wp:simplePos x="0" y="0"/>
            <wp:positionH relativeFrom="column">
              <wp:posOffset>5900420</wp:posOffset>
            </wp:positionH>
            <wp:positionV relativeFrom="paragraph">
              <wp:posOffset>-1722120</wp:posOffset>
            </wp:positionV>
            <wp:extent cx="1111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-1722120</wp:posOffset>
            </wp:positionV>
            <wp:extent cx="48691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124" w:lineRule="exact"/>
        <w:rPr>
          <w:sz w:val="20"/>
          <w:szCs w:val="20"/>
          <w:color w:val="auto"/>
        </w:rPr>
      </w:pPr>
    </w:p>
    <w:p>
      <w:pPr>
        <w:ind w:left="1620" w:right="759" w:hanging="360"/>
        <w:spacing w:after="0" w:line="258" w:lineRule="auto"/>
        <w:tabs>
          <w:tab w:leader="none" w:pos="1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awards and the closing stock price of the Intel’s ordinary share. On December 25, 2021, December 26, 2020, and December 28, 2019, the share prices were $51.31, $47.07, and $60.08, respectively. This represents the potential pre-tax amount receivable by the option holders had all option holders exercised their options as of such date.</w:t>
      </w:r>
    </w:p>
    <w:p>
      <w:pPr>
        <w:spacing w:after="0" w:line="61"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options expected to vest as of December 25, 2021 was 115 options with an average weighted exercise price of $26.8.</w:t>
      </w:r>
    </w:p>
    <w:p>
      <w:pPr>
        <w:spacing w:after="0" w:line="200" w:lineRule="exact"/>
        <w:rPr>
          <w:sz w:val="20"/>
          <w:szCs w:val="20"/>
          <w:color w:val="auto"/>
        </w:rPr>
      </w:pPr>
    </w:p>
    <w:p>
      <w:pPr>
        <w:spacing w:after="0" w:line="23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162"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The RSU activity for the years ended December 25, 2021, December 26, 2020, and December 28, 2019 for RSUs granted to Company’s employees for Intel’s common stock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4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40" w:type="dxa"/>
            <w:vAlign w:val="bottom"/>
          </w:tcPr>
          <w:p>
            <w:pPr>
              <w:spacing w:after="0"/>
              <w:rPr>
                <w:sz w:val="14"/>
                <w:szCs w:val="14"/>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RSUs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9"/>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80" w:type="dxa"/>
            <w:vAlign w:val="bottom"/>
          </w:tcPr>
          <w:p>
            <w:pPr>
              <w:ind w:left="26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tcPr>
          <w:p>
            <w:pPr>
              <w:jc w:val="right"/>
              <w:spacing w:after="0" w:line="278"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In thousands </w:t>
            </w:r>
            <w:r>
              <w:rPr>
                <w:rFonts w:ascii="Times New Roman" w:cs="Times New Roman" w:eastAsia="Times New Roman" w:hAnsi="Times New Roman"/>
                <w:sz w:val="28"/>
                <w:szCs w:val="28"/>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6319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tbl>
      <w:tblPr>
        <w:tblLayout w:type="fixed"/>
        <w:tblInd w:w="1620" w:type="dxa"/>
        <w:tblCellMar>
          <w:top w:w="0" w:type="dxa"/>
          <w:left w:w="0" w:type="dxa"/>
          <w:bottom w:w="0" w:type="dxa"/>
          <w:right w:w="0" w:type="dxa"/>
        </w:tblCellMar>
      </w:tblPr>
      <w:tr>
        <w:trPr>
          <w:trHeight w:val="23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29, 2018</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3,174</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​$41.15</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2"/>
                <w:szCs w:val="22"/>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​49.22</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(1,396)</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​41.28</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​43.64</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28, 2019</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2,371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​$43.24</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3,628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​44.44</w:t>
            </w:r>
          </w:p>
        </w:tc>
      </w:tr>
      <w:tr>
        <w:trPr>
          <w:trHeight w:val="25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​41.98</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​47.36</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72"/>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26, 2020</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4,339</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​$44.63</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​47.76</w:t>
            </w: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(1,761)</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​44.05</w:t>
            </w:r>
          </w:p>
        </w:tc>
      </w:tr>
      <w:tr>
        <w:trPr>
          <w:trHeight w:val="248"/>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​46.38</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r>
      <w:tr>
        <w:trPr>
          <w:trHeight w:val="26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25, 2021</w:t>
            </w:r>
          </w:p>
        </w:tc>
        <w:tc>
          <w:tcPr>
            <w:tcW w:w="14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4"/>
          </w:tcPr>
          <w:p>
            <w:pPr>
              <w:jc w:val="right"/>
              <w:ind w:right="1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​5,278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$46.49</w:t>
            </w:r>
          </w:p>
        </w:tc>
      </w:tr>
      <w:tr>
        <w:trPr>
          <w:trHeight w:val="20"/>
        </w:trPr>
        <w:tc>
          <w:tcPr>
            <w:tcW w:w="4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-1885315</wp:posOffset>
            </wp:positionV>
            <wp:extent cx="4749165" cy="16256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-1216660</wp:posOffset>
            </wp:positionV>
            <wp:extent cx="4749165" cy="1631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-548005</wp:posOffset>
            </wp:positionV>
            <wp:extent cx="4749165" cy="1625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-213995</wp:posOffset>
            </wp:positionV>
            <wp:extent cx="4749165" cy="1974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749165" cy="1714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-1550670</wp:posOffset>
            </wp:positionV>
            <wp:extent cx="4749165" cy="1714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146" w:lineRule="exact"/>
        <w:rPr>
          <w:sz w:val="20"/>
          <w:szCs w:val="20"/>
          <w:color w:val="auto"/>
        </w:rPr>
      </w:pPr>
    </w:p>
    <w:p>
      <w:pPr>
        <w:ind w:left="1260" w:right="280" w:firstLine="360"/>
        <w:spacing w:after="0" w:line="297" w:lineRule="auto"/>
        <w:rPr>
          <w:sz w:val="20"/>
          <w:szCs w:val="20"/>
          <w:color w:val="auto"/>
        </w:rPr>
      </w:pPr>
      <w:r>
        <w:rPr>
          <w:rFonts w:ascii="Times New Roman" w:cs="Times New Roman" w:eastAsia="Times New Roman" w:hAnsi="Times New Roman"/>
          <w:sz w:val="18"/>
          <w:szCs w:val="18"/>
          <w:color w:val="auto"/>
        </w:rPr>
        <w:t>Share-based compensation expenses included in the combined statements of operations and comprehensive income (loss) was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743" w:lineRule="exact"/>
        <w:rPr>
          <w:sz w:val="20"/>
          <w:szCs w:val="20"/>
          <w:color w:val="auto"/>
        </w:rPr>
      </w:pPr>
    </w:p>
    <w:p>
      <w:pPr>
        <w:sectPr>
          <w:pgSz w:w="11900" w:h="16838" w:orient="portrait"/>
          <w:cols w:equalWidth="0" w:num="2">
            <w:col w:w="8800" w:space="280"/>
            <w:col w:w="799"/>
          </w:cols>
          <w:pgMar w:left="580" w:top="97" w:right="1440" w:bottom="1440" w:gutter="0" w:footer="0" w:header="0"/>
          <w:type w:val="continuous"/>
        </w:sectPr>
      </w:pP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net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90"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Total share-based compensation</w:t>
      </w:r>
    </w:p>
    <w:p>
      <w:pPr>
        <w:spacing w:after="0" w:line="3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Unrecognized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​60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 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 2</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560" w:type="dxa"/>
            <w:vAlign w:val="bottom"/>
            <w:gridSpan w:val="3"/>
          </w:tcPr>
          <w:p>
            <w:pPr>
              <w:jc w:val="right"/>
              <w:ind w:righ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$97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56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$76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-873760</wp:posOffset>
            </wp:positionV>
            <wp:extent cx="4749165" cy="1631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-548005</wp:posOffset>
            </wp:positionV>
            <wp:extent cx="4749165" cy="16256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-213995</wp:posOffset>
            </wp:positionV>
            <wp:extent cx="4749165" cy="1968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749165" cy="19685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-1036320</wp:posOffset>
            </wp:positionV>
            <wp:extent cx="13716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-1036320</wp:posOffset>
            </wp:positionV>
            <wp:extent cx="137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ind w:left="1260" w:right="519" w:firstLine="360"/>
        <w:spacing w:after="0" w:line="285" w:lineRule="auto"/>
        <w:rPr>
          <w:sz w:val="20"/>
          <w:szCs w:val="20"/>
          <w:color w:val="auto"/>
        </w:rPr>
      </w:pPr>
      <w:r>
        <w:rPr>
          <w:rFonts w:ascii="Times New Roman" w:cs="Times New Roman" w:eastAsia="Times New Roman" w:hAnsi="Times New Roman"/>
          <w:sz w:val="18"/>
          <w:szCs w:val="18"/>
          <w:color w:val="auto"/>
        </w:rPr>
        <w:t>As of December 25, 2021, the unrecognized compensation costs related to stock options and RSUs granted under the 2006 Plan was $196 million, which will be recognized over a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7 INCOME TAXES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Loss before income taxes included in the combined statements of operations and comprehensive income (loss)</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Loss before income taxes was comprised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(58)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110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ind w:left="2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​39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CCEEFF"/>
            </w:tcBorders>
            <w:shd w:val="clear" w:color="auto" w:fill="CCEEFF"/>
          </w:tcPr>
          <w:p>
            <w:pPr>
              <w:spacing w:after="0"/>
              <w:rPr>
                <w:sz w:val="23"/>
                <w:szCs w:val="23"/>
                <w:color w:val="auto"/>
              </w:rPr>
            </w:pPr>
          </w:p>
        </w:tc>
        <w:tc>
          <w:tcPr>
            <w:tcW w:w="62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​(267)</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2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110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(212)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62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3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right="1279"/>
        <w:spacing w:after="0" w:line="286" w:lineRule="auto"/>
        <w:rPr>
          <w:sz w:val="20"/>
          <w:szCs w:val="20"/>
          <w:color w:val="auto"/>
        </w:rPr>
      </w:pPr>
      <w:r>
        <w:rPr>
          <w:rFonts w:ascii="Times New Roman" w:cs="Times New Roman" w:eastAsia="Times New Roman" w:hAnsi="Times New Roman"/>
          <w:sz w:val="18"/>
          <w:szCs w:val="18"/>
          <w:b w:val="1"/>
          <w:bCs w:val="1"/>
          <w:color w:val="auto"/>
        </w:rPr>
        <w:t>Benefit (provision) on income included in the combined statements of operations and comprehensive income (loss)</w:t>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Benefit (provision) for income taxes for the years ended December 25, 2021, December 26, 2020,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28, 2019 was comprised of the following:</w:t>
      </w:r>
    </w:p>
    <w:p>
      <w:pPr>
        <w:sectPr>
          <w:pgSz w:w="11900" w:h="16838" w:orient="portrait"/>
          <w:cols w:equalWidth="0" w:num="1">
            <w:col w:w="9879"/>
          </w:cols>
          <w:pgMar w:left="580" w:top="97" w:right="1440" w:bottom="1440" w:gutter="0" w:footer="0" w:header="0"/>
        </w:sectPr>
      </w:pPr>
    </w:p>
    <w:p>
      <w:pPr>
        <w:spacing w:after="0" w:line="2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Current taxes:</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U.S.</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Non-U.S.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current provision for income taxes</w:t>
      </w:r>
    </w:p>
    <w:p>
      <w:pPr>
        <w:spacing w:after="0" w:line="3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9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Deferred taxes:</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U.S.</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Non-U.S.</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provision for income taxes</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benefit (provision) for income taxes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r>
      <w:tr>
        <w:trPr>
          <w:trHeight w:val="214"/>
        </w:trPr>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-1905</wp:posOffset>
            </wp:positionV>
            <wp:extent cx="4749165" cy="1631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-164465</wp:posOffset>
            </wp:positionV>
            <wp:extent cx="1371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-164465</wp:posOffset>
            </wp:positionV>
            <wp:extent cx="13716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ind w:left="26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ind w:lef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40" w:type="dxa"/>
            <w:vAlign w:val="bottom"/>
          </w:tcPr>
          <w:p>
            <w:pPr>
              <w:spacing w:after="0"/>
              <w:rPr>
                <w:sz w:val="14"/>
                <w:szCs w:val="14"/>
                <w:color w:val="auto"/>
              </w:rPr>
            </w:pPr>
          </w:p>
        </w:tc>
      </w:tr>
      <w:tr>
        <w:trPr>
          <w:trHeight w:val="214"/>
        </w:trPr>
        <w:tc>
          <w:tcPr>
            <w:tcW w:w="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5"/>
        </w:trPr>
        <w:tc>
          <w:tcPr>
            <w:tcW w:w="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3"/>
                <w:szCs w:val="23"/>
                <w:color w:val="auto"/>
              </w:rPr>
            </w:pPr>
          </w:p>
        </w:tc>
        <w:tc>
          <w:tcPr>
            <w:tcW w:w="3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3"/>
                <w:szCs w:val="2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4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40"/>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​59</w:t>
            </w:r>
          </w:p>
        </w:tc>
        <w:tc>
          <w:tcPr>
            <w:tcW w:w="2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300" w:type="dxa"/>
            <w:vAlign w:val="bottom"/>
          </w:tcPr>
          <w:p>
            <w:pPr>
              <w:jc w:val="right"/>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​53</w:t>
            </w:r>
          </w:p>
        </w:tc>
        <w:tc>
          <w:tcPr>
            <w:tcW w:w="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300" w:type="dxa"/>
            <w:vAlign w:val="bottom"/>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​32</w:t>
            </w:r>
          </w:p>
        </w:tc>
        <w:tc>
          <w:tcPr>
            <w:tcW w:w="26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$ 29</w:t>
            </w:r>
          </w:p>
        </w:tc>
        <w:tc>
          <w:tcPr>
            <w:tcW w:w="22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2"/>
                <w:szCs w:val="22"/>
                <w:color w:val="auto"/>
              </w:rPr>
            </w:pPr>
          </w:p>
        </w:tc>
        <w:tc>
          <w:tcPr>
            <w:tcW w:w="300" w:type="dxa"/>
            <w:vAlign w:val="bottom"/>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$53</w:t>
            </w:r>
          </w:p>
        </w:tc>
        <w:tc>
          <w:tcPr>
            <w:tcW w:w="2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00" w:type="dxa"/>
            <w:vAlign w:val="bottom"/>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$32</w:t>
            </w:r>
          </w:p>
        </w:tc>
        <w:tc>
          <w:tcPr>
            <w:tcW w:w="26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300" w:type="dxa"/>
            <w:vAlign w:val="bottom"/>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$16</w:t>
            </w:r>
          </w:p>
        </w:tc>
        <w:tc>
          <w:tcPr>
            <w:tcW w:w="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560" w:type="dxa"/>
            <w:vAlign w:val="bottom"/>
            <w:gridSpan w:val="2"/>
          </w:tcPr>
          <w:p>
            <w:pP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-2005330</wp:posOffset>
            </wp:positionV>
            <wp:extent cx="4749165" cy="1803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-908050</wp:posOffset>
            </wp:positionV>
            <wp:extent cx="4749165" cy="16319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-213995</wp:posOffset>
            </wp:positionV>
            <wp:extent cx="4749165" cy="1974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749165" cy="19748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-582295</wp:posOffset>
            </wp:positionV>
            <wp:extent cx="4749165" cy="1803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749165" cy="180340"/>
                    </a:xfrm>
                    <a:prstGeom prst="rect">
                      <a:avLst/>
                    </a:prstGeom>
                    <a:noFill/>
                  </pic:spPr>
                </pic:pic>
              </a:graphicData>
            </a:graphic>
          </wp:anchor>
        </w:drawing>
        <w:drawing>
          <wp:anchor simplePos="0" relativeHeight="251657728" behindDoc="1" locked="0" layoutInCell="0" allowOverlap="1">
            <wp:simplePos x="0" y="0"/>
            <wp:positionH relativeFrom="column">
              <wp:posOffset>1356995</wp:posOffset>
            </wp:positionH>
            <wp:positionV relativeFrom="paragraph">
              <wp:posOffset>-1070610</wp:posOffset>
            </wp:positionV>
            <wp:extent cx="1371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-1070610</wp:posOffset>
            </wp:positionV>
            <wp:extent cx="137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39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taxes reconciliation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difference between the tax provision at the statutory federal income tax rate and the benefit</w:t>
      </w:r>
    </w:p>
    <w:p>
      <w:pPr>
        <w:spacing w:after="0" w:line="27" w:lineRule="exact"/>
        <w:rPr>
          <w:sz w:val="20"/>
          <w:szCs w:val="20"/>
          <w:color w:val="auto"/>
        </w:rPr>
      </w:pPr>
    </w:p>
    <w:p>
      <w:pPr>
        <w:ind w:left="1260" w:right="679"/>
        <w:spacing w:after="0" w:line="276" w:lineRule="auto"/>
        <w:rPr>
          <w:sz w:val="20"/>
          <w:szCs w:val="20"/>
          <w:color w:val="auto"/>
        </w:rPr>
      </w:pPr>
      <w:r>
        <w:rPr>
          <w:rFonts w:ascii="Times New Roman" w:cs="Times New Roman" w:eastAsia="Times New Roman" w:hAnsi="Times New Roman"/>
          <w:sz w:val="18"/>
          <w:szCs w:val="18"/>
          <w:color w:val="auto"/>
        </w:rPr>
        <w:t>(provision) for income taxes as a percentage of loss before income taxes (effective tax rate) for each year was as follows:</w:t>
      </w:r>
    </w:p>
    <w:p>
      <w:pPr>
        <w:spacing w:after="0" w:line="13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(reduction) in rate resulting from:</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current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​183.1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Technology incentives – deferred</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U.S. branch taxation of foreign operations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uncertain tax position, net</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22"/>
                <w:szCs w:val="22"/>
                <w:color w:val="auto"/>
              </w:rPr>
            </w:pP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related adjustments</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(13.7)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(1.5)</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(50.0)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(7.7)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(3.7)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8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5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820" w:type="dxa"/>
            <w:vAlign w:val="bottom"/>
            <w:gridSpan w:val="4"/>
          </w:tcPr>
          <w:p>
            <w:pPr>
              <w:ind w:left="18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(31.6)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220"/>
              <w:spacing w:after="0" w:line="264"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30"/>
                <w:szCs w:val="30"/>
                <w:b w:val="1"/>
                <w:bCs w:val="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40" w:type="dxa"/>
            <w:vAlign w:val="bottom"/>
            <w:gridSpan w:val="4"/>
          </w:tcPr>
          <w:p>
            <w:pPr>
              <w:ind w:left="240"/>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 (0.9)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-1859280</wp:posOffset>
            </wp:positionV>
            <wp:extent cx="4749165" cy="16319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-1533525</wp:posOffset>
            </wp:positionV>
            <wp:extent cx="4749165" cy="16319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-1207770</wp:posOffset>
            </wp:positionV>
            <wp:extent cx="4749165" cy="16319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-882015</wp:posOffset>
            </wp:positionV>
            <wp:extent cx="4749165" cy="16319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-556260</wp:posOffset>
            </wp:positionV>
            <wp:extent cx="4749165" cy="1625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-222250</wp:posOffset>
            </wp:positionV>
            <wp:extent cx="4749165" cy="2057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749165" cy="20574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-2022475</wp:posOffset>
            </wp:positionV>
            <wp:extent cx="1371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-2022475</wp:posOffset>
            </wp:positionV>
            <wp:extent cx="1371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18" w:lineRule="exact"/>
        <w:rPr>
          <w:sz w:val="20"/>
          <w:szCs w:val="20"/>
          <w:color w:val="auto"/>
        </w:rPr>
      </w:pPr>
    </w:p>
    <w:p>
      <w:pPr>
        <w:ind w:left="1260" w:right="439" w:firstLine="360"/>
        <w:spacing w:after="0" w:line="272" w:lineRule="auto"/>
        <w:rPr>
          <w:sz w:val="20"/>
          <w:szCs w:val="20"/>
          <w:color w:val="auto"/>
        </w:rPr>
      </w:pPr>
      <w:r>
        <w:rPr>
          <w:rFonts w:ascii="Times New Roman" w:cs="Times New Roman" w:eastAsia="Times New Roman" w:hAnsi="Times New Roman"/>
          <w:sz w:val="18"/>
          <w:szCs w:val="18"/>
          <w:color w:val="auto"/>
        </w:rPr>
        <w:t>In the tax year ended December 25, 2021, Mobileye’s Israeli operations became taxable in the U.S. as a branch entity. As a result, certain operations are taxed both in the U.S. and locally in Israel. For U.S. tax purposes, there were favorable current tax deductions that could not be benefited due to a valuation allowance position. This resulted in a residual tax expense associated with a deferred tax liability recorded for goodwill.</w:t>
      </w:r>
    </w:p>
    <w:p>
      <w:pPr>
        <w:spacing w:after="0" w:line="331" w:lineRule="exact"/>
        <w:rPr>
          <w:sz w:val="20"/>
          <w:szCs w:val="20"/>
          <w:color w:val="auto"/>
        </w:rPr>
      </w:pPr>
    </w:p>
    <w:p>
      <w:pPr>
        <w:jc w:val="both"/>
        <w:ind w:left="1260" w:right="819" w:firstLine="360"/>
        <w:spacing w:after="0" w:line="274" w:lineRule="auto"/>
        <w:rPr>
          <w:sz w:val="20"/>
          <w:szCs w:val="20"/>
          <w:color w:val="auto"/>
        </w:rPr>
      </w:pPr>
      <w:r>
        <w:rPr>
          <w:rFonts w:ascii="Times New Roman" w:cs="Times New Roman" w:eastAsia="Times New Roman" w:hAnsi="Times New Roman"/>
          <w:sz w:val="18"/>
          <w:szCs w:val="18"/>
          <w:color w:val="auto"/>
        </w:rPr>
        <w:t>In Israel, the Company benefits from a reduced tax rate under the Special Preferred Technological Enterprise status under the Law for the Encouragement of Capital Investments, 1959, or the Investment Law.</w:t>
      </w:r>
    </w:p>
    <w:p>
      <w:pPr>
        <w:spacing w:after="0" w:line="11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162" w:lineRule="exact"/>
        <w:rPr>
          <w:sz w:val="20"/>
          <w:szCs w:val="20"/>
          <w:color w:val="auto"/>
        </w:rPr>
      </w:pPr>
    </w:p>
    <w:p>
      <w:pPr>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deferred tax liabilities were as follows:</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0"/>
        </w:trPr>
        <w:tc>
          <w:tcPr>
            <w:tcW w:w="2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Pr>
          <w:p>
            <w:pPr>
              <w:ind w:left="26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-1905</wp:posOffset>
            </wp:positionV>
            <wp:extent cx="4749165" cy="16319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-164465</wp:posOffset>
            </wp:positionV>
            <wp:extent cx="13716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Provisions for employee benefits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operating losses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Valuation allowance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Net deferred tax liabilities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80</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2"/>
                <w:szCs w:val="22"/>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​198</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440" w:type="dxa"/>
            <w:vAlign w:val="bottom"/>
            <w:gridSpan w:val="2"/>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​105</w:t>
            </w:r>
          </w:p>
        </w:tc>
        <w:tc>
          <w:tcPr>
            <w:tcW w:w="14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3"/>
                <w:szCs w:val="2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​391</w:t>
            </w:r>
          </w:p>
        </w:tc>
        <w:tc>
          <w:tcPr>
            <w:tcW w:w="14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​(229)</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​162</w:t>
            </w:r>
          </w:p>
        </w:tc>
        <w:tc>
          <w:tcPr>
            <w:tcW w:w="140" w:type="dxa"/>
            <w:vAlign w:val="bottom"/>
          </w:tcPr>
          <w:p>
            <w:pPr>
              <w:spacing w:after="0"/>
              <w:rPr>
                <w:sz w:val="24"/>
                <w:szCs w:val="24"/>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​(181)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​(152)</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8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​(333)</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​(264)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2"/>
                <w:szCs w:val="22"/>
                <w:color w:val="auto"/>
              </w:rPr>
            </w:pP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(171)</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60" w:space="720"/>
            <w:col w:w="2899"/>
          </w:cols>
          <w:pgMar w:left="580" w:top="97" w:right="1440" w:bottom="1440" w:gutter="0" w:footer="0" w:header="0"/>
          <w:type w:val="continuous"/>
        </w:sectPr>
      </w:pPr>
    </w:p>
    <w:p>
      <w:pPr>
        <w:spacing w:after="0" w:line="11"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In the tax year ending December 25, 2021, Mobileye’s Israeli operations became taxable in the U.S. as a branch entity. As a result, the Company recognized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Change in valuation allowance for deferred tax assets were as follows:</w:t>
      </w:r>
    </w:p>
    <w:p>
      <w:pPr>
        <w:spacing w:after="0" w:line="16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beginning of year</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2"/>
                <w:szCs w:val="22"/>
                <w:color w:val="auto"/>
              </w:rPr>
            </w:pP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right w:val="single" w:sz="8" w:color="CCEEFF"/>
            </w:tcBorders>
            <w:shd w:val="clear" w:color="auto" w:fill="CCEEFF"/>
          </w:tcPr>
          <w:p>
            <w:pPr>
              <w:spacing w:after="0"/>
              <w:rPr>
                <w:sz w:val="23"/>
                <w:szCs w:val="23"/>
                <w:color w:val="auto"/>
              </w:rPr>
            </w:pPr>
          </w:p>
        </w:tc>
        <w:tc>
          <w:tcPr>
            <w:tcW w:w="58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at end of year</w:t>
            </w:r>
          </w:p>
        </w:tc>
        <w:tc>
          <w:tcPr>
            <w:tcW w:w="8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$229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2"/>
                <w:szCs w:val="22"/>
                <w:color w:val="auto"/>
              </w:rPr>
            </w:pP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purposes of these combined financial statements, the income tax expense and deferred tax balances have been prepared as if the Company filed income tax returns on the separate return method. Net operating losses generated by the Company that have been utilized as part of the Intel consolidated tax return filing have not been reflected in these combined financial statements based on a return reality methodology since they will not be available to offset taxable income of the Company in future periods. The Company had U.S. net operating loss carryforwards of $275 million for the year ended December 25, 2021, which were generated in a separate tax return years before becoming eligible for consolidation with Intel (separate return losses) on July 17, 2021.</w:t>
      </w:r>
    </w:p>
    <w:p>
      <w:pPr>
        <w:spacing w:after="0" w:line="324"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Company has generated a non-U.S. net operating loss carryforward of $131 million for the year ended December 25, 2021. This net operating loss carryforward amount relates primarily to operations in Israel and has an indefinite carry-forward period.</w:t>
      </w:r>
    </w:p>
    <w:p>
      <w:pPr>
        <w:spacing w:after="0" w:line="95" w:lineRule="exact"/>
        <w:rPr>
          <w:sz w:val="20"/>
          <w:szCs w:val="20"/>
          <w:color w:val="auto"/>
        </w:rPr>
      </w:pPr>
    </w:p>
    <w:p>
      <w:pPr>
        <w:ind w:left="1260" w:right="579" w:firstLine="360"/>
        <w:spacing w:after="0" w:line="263" w:lineRule="auto"/>
        <w:rPr>
          <w:sz w:val="20"/>
          <w:szCs w:val="20"/>
          <w:color w:val="auto"/>
        </w:rPr>
      </w:pPr>
      <w:r>
        <w:rPr>
          <w:rFonts w:ascii="Times New Roman" w:cs="Times New Roman" w:eastAsia="Times New Roman" w:hAnsi="Times New Roman"/>
          <w:sz w:val="18"/>
          <w:szCs w:val="18"/>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39"/>
        <w:spacing w:after="0" w:line="258" w:lineRule="auto"/>
        <w:rPr>
          <w:sz w:val="20"/>
          <w:szCs w:val="20"/>
          <w:color w:val="auto"/>
        </w:rPr>
      </w:pPr>
      <w:r>
        <w:rPr>
          <w:rFonts w:ascii="Times New Roman" w:cs="Times New Roman" w:eastAsia="Times New Roman" w:hAnsi="Times New Roman"/>
          <w:sz w:val="18"/>
          <w:szCs w:val="18"/>
          <w:color w:val="auto"/>
        </w:rPr>
        <w:t>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102"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combined balance sheets dates presented.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related to uncertain tax positions was as follows:</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3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5"/>
              </w:rPr>
              <w:t>December 25,</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right"/>
              <w:ind w:right="2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2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right w:val="single" w:sz="8" w:color="CCEEFF"/>
            </w:tcBorders>
            <w:shd w:val="clear" w:color="auto" w:fill="CCEEFF"/>
          </w:tcPr>
          <w:p>
            <w:pPr>
              <w:spacing w:after="0"/>
              <w:rPr>
                <w:sz w:val="23"/>
                <w:szCs w:val="23"/>
                <w:color w:val="auto"/>
              </w:rPr>
            </w:pPr>
          </w:p>
        </w:tc>
        <w:tc>
          <w:tcPr>
            <w:tcW w:w="540" w:type="dxa"/>
            <w:vAlign w:val="bottom"/>
            <w:gridSpan w:val="2"/>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100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right"/>
              <w:ind w:right="2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2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54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-873760</wp:posOffset>
            </wp:positionV>
            <wp:extent cx="13716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-873760</wp:posOffset>
            </wp:positionV>
            <wp:extent cx="13716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December 25, 2021 and December 26, 2020, the Company had accrued $1 million and</w:t>
      </w:r>
    </w:p>
    <w:p>
      <w:pPr>
        <w:spacing w:after="0" w:line="16" w:lineRule="exact"/>
        <w:rPr>
          <w:sz w:val="20"/>
          <w:szCs w:val="20"/>
          <w:color w:val="auto"/>
        </w:rPr>
      </w:pPr>
    </w:p>
    <w:p>
      <w:pPr>
        <w:ind w:left="1260" w:right="519"/>
        <w:spacing w:after="0" w:line="242" w:lineRule="auto"/>
        <w:rPr>
          <w:sz w:val="20"/>
          <w:szCs w:val="20"/>
          <w:color w:val="auto"/>
        </w:rPr>
      </w:pPr>
      <w:r>
        <w:rPr>
          <w:rFonts w:ascii="Times New Roman" w:cs="Times New Roman" w:eastAsia="Times New Roman" w:hAnsi="Times New Roman"/>
          <w:sz w:val="18"/>
          <w:szCs w:val="18"/>
          <w:color w:val="auto"/>
        </w:rPr>
        <w:t>$1 million, respectively, for interest and penalties payable related to uncertain tax positions. The allowance for uncertain tax positions is included in other current and long-term liabilities on the combined balance sheets. The tax expenses related to uncertain tax positions included penalties and interest for the years ended December 25, 2021, December 26, 2020, and December 28, 2019, were not material.</w:t>
      </w:r>
    </w:p>
    <w:p>
      <w:pPr>
        <w:spacing w:after="0" w:line="117"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All the balance of unrecognized tax benefits, if recognized, would reduce the Company’s annual effective tax rate.</w:t>
      </w:r>
    </w:p>
    <w:p>
      <w:pPr>
        <w:spacing w:after="0" w:line="95" w:lineRule="exact"/>
        <w:rPr>
          <w:sz w:val="20"/>
          <w:szCs w:val="20"/>
          <w:color w:val="auto"/>
        </w:rPr>
      </w:pPr>
    </w:p>
    <w:p>
      <w:pPr>
        <w:ind w:left="1260" w:right="779" w:firstLine="360"/>
        <w:spacing w:after="0" w:line="246" w:lineRule="auto"/>
        <w:rPr>
          <w:sz w:val="20"/>
          <w:szCs w:val="20"/>
          <w:color w:val="auto"/>
        </w:rPr>
      </w:pPr>
      <w:r>
        <w:rPr>
          <w:rFonts w:ascii="Times New Roman" w:cs="Times New Roman" w:eastAsia="Times New Roman" w:hAnsi="Times New Roman"/>
          <w:sz w:val="18"/>
          <w:szCs w:val="18"/>
          <w:color w:val="auto"/>
        </w:rPr>
        <w:t>There are no material changes anticipated in the uncertain tax positions in the next twelve months, except in the case of settlements with tax authorities, the likelihood and timing of which is difficult to estimate, and in the lapse of statutes of limitations. The Company estimates that the unrecognized tax benefits as of December 25, 2021 could decrease by as much as $2 million in the next 12 months due to lapses in statutes of limitations.</w:t>
      </w:r>
    </w:p>
    <w:p>
      <w:pPr>
        <w:spacing w:after="0" w:line="114"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The Company files income tax returns in the U.S., Israel, and in other certain foreign jurisdictions. The Company is no longer subject to U.S. and Israeli tax examinations for years prior to 2018 and 2016, respectively.</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8 RELATED PARTY TRANSACTIONS</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The arrangements were as follows: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Equity Conversion Arrangements for Purposes of Funding Acquisitions</w:t>
      </w:r>
    </w:p>
    <w:p>
      <w:pPr>
        <w:spacing w:after="0" w:line="146"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the Mobileye Acquisition, Intel entered into a loan agreement in 2017 to make available to the Company up to an aggregate principal amount of $20 billion (the “2017 Loan”). The amount of the 2017 Loan was denominated in U.S. dollars and the interest rate was based on the short term quarterly Applicable Federal Rate published by the Internal Revenue Service.</w:t>
      </w:r>
    </w:p>
    <w:p>
      <w:pPr>
        <w:spacing w:after="0" w:line="110"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2019, the outstanding principal balance of $15.3 billion on the 2017 Loan was converted to equity as a contribution by Intel to the Company, thereby canceling the principal. In 2020, $679 million of accrued interest was converted to equity as a contribution by Intel to the Company.</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There was no outstanding principal or interest balance as of December 25, 2021 and December 26, 2020. Interest expense recognized by the Company totaled $0 million, $1 million, and $257 million for the years ended December 25, 2021, December 26, 2020, and December 28, 2019, respectively.</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Loan arrangements</w:t>
      </w:r>
    </w:p>
    <w:p>
      <w:pPr>
        <w:spacing w:after="0" w:line="160"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Company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w:t>
      </w:r>
    </w:p>
    <w:p>
      <w:pPr>
        <w:spacing w:after="0" w:line="10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the maturity date was extended to December 2022.</w:t>
      </w:r>
    </w:p>
    <w:p>
      <w:pPr>
        <w:spacing w:after="0" w:line="102" w:lineRule="exact"/>
        <w:rPr>
          <w:sz w:val="20"/>
          <w:szCs w:val="20"/>
          <w:color w:val="auto"/>
        </w:rPr>
      </w:pPr>
    </w:p>
    <w:p>
      <w:pPr>
        <w:ind w:left="1260" w:right="1119" w:firstLine="360"/>
        <w:spacing w:after="0" w:line="261" w:lineRule="auto"/>
        <w:rPr>
          <w:sz w:val="20"/>
          <w:szCs w:val="20"/>
          <w:color w:val="auto"/>
        </w:rPr>
      </w:pPr>
      <w:r>
        <w:rPr>
          <w:rFonts w:ascii="Times New Roman" w:cs="Times New Roman" w:eastAsia="Times New Roman" w:hAnsi="Times New Roman"/>
          <w:sz w:val="18"/>
          <w:szCs w:val="18"/>
          <w:color w:val="auto"/>
        </w:rPr>
        <w:t>In 2017, Intel along with the Company,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2021, the Company and Intel entered into a bilateral lending/borrowing arrangement</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(“Arrangement 3”) to make cash available to either party up to an aggregate principal amount of</w:t>
      </w:r>
    </w:p>
    <w:p>
      <w:pPr>
        <w:spacing w:after="0" w:line="9" w:lineRule="exact"/>
        <w:rPr>
          <w:sz w:val="20"/>
          <w:szCs w:val="20"/>
          <w:color w:val="auto"/>
        </w:rPr>
      </w:pPr>
    </w:p>
    <w:p>
      <w:pPr>
        <w:ind w:left="1260" w:right="559"/>
        <w:spacing w:after="0" w:line="253" w:lineRule="auto"/>
        <w:rPr>
          <w:sz w:val="20"/>
          <w:szCs w:val="20"/>
          <w:color w:val="auto"/>
        </w:rPr>
      </w:pPr>
      <w:r>
        <w:rPr>
          <w:rFonts w:ascii="Times New Roman" w:cs="Times New Roman" w:eastAsia="Times New Roman" w:hAnsi="Times New Roman"/>
          <w:sz w:val="18"/>
          <w:szCs w:val="18"/>
          <w:color w:val="auto"/>
        </w:rPr>
        <w:t>$100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1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total outstanding balance of the aforementioned loan arrangements is approximately $1.3 billion, which is reflected in current assets as a related party loan as of December 25, 2021 and December 26, 2020 based on the maturity date as of each balance sheet period. Interest income recognized by the Company totaled $3 million, $6 million, and $22 million for the years ended December 25, 2021, December 26, 2020, and December 28, 2019, respectively.</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14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combined balance sheets, under related party payable was approximately $162 million and $0 million as of December 25, 2021 and December 26, 2020, respectively. As for the inclusion of the Company’s employees in Intel’s equity incentive plan, see Note 6.</w:t>
      </w:r>
    </w:p>
    <w:p>
      <w:pPr>
        <w:spacing w:after="0" w:line="200" w:lineRule="exact"/>
        <w:rPr>
          <w:sz w:val="20"/>
          <w:szCs w:val="20"/>
          <w:color w:val="auto"/>
        </w:rPr>
      </w:pPr>
    </w:p>
    <w:p>
      <w:pPr>
        <w:spacing w:after="0" w:line="2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Hedging services</w:t>
      </w:r>
    </w:p>
    <w:p>
      <w:pPr>
        <w:spacing w:after="0" w:line="16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Intel centrally hedges its exposure to changes in foreign exchange rates. The Company entered into a hedging services agreement with Intel, to which, the Company is entitled to a certain allocation of the gains and losses arising from the execution of the hedging contracts.</w:t>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Development Services and Lease</w:t>
      </w:r>
    </w:p>
    <w:p>
      <w:pPr>
        <w:spacing w:after="0" w:line="160"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combined statements of operations and comprehensive income (loss) primarily on a specific and direct attribution basis, as described in Note 2.</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146" w:lineRule="exact"/>
        <w:rPr>
          <w:sz w:val="20"/>
          <w:szCs w:val="20"/>
          <w:color w:val="auto"/>
        </w:rPr>
      </w:pPr>
    </w:p>
    <w:p>
      <w:pPr>
        <w:jc w:val="both"/>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For the years ended December 25, 2021, December 26, 2020, and December 28, 2019, travel related reimbursements were $1.1 million, $0.5 million and $1.2 million, respectively.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9 BUSINESS COMBINATION</w:t>
      </w:r>
    </w:p>
    <w:p>
      <w:pPr>
        <w:spacing w:after="0" w:line="1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In May 2020, Moovit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19"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The goodwill arising from the Moovit Acquisition is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combined financial statements.</w:t>
      </w:r>
    </w:p>
    <w:p>
      <w:pPr>
        <w:spacing w:after="0" w:line="32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Pro forma information has not been included for the Moovit Acquisition given the insignificant impact on the Company’s results of operation for the years ended December 26, 2020 and December 28, 2019.</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10 GOODWILL</w:t>
      </w:r>
    </w:p>
    <w:p>
      <w:pPr>
        <w:spacing w:after="0" w:line="135" w:lineRule="exact"/>
        <w:rPr>
          <w:sz w:val="20"/>
          <w:szCs w:val="20"/>
          <w:color w:val="auto"/>
        </w:rPr>
      </w:pPr>
    </w:p>
    <w:p>
      <w:pPr>
        <w:jc w:val="both"/>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presents the changes in the carrying amount of goodwill by segment for the years ended December 25, 2021 and December 26, 2020. The balance attributed to Mobileye as of December 28, 2019 represents the goodwill arising from the Mobileye Acquisition as described in Note 1. The Company did not record any impairment of goodwill for any of the periods presented.</w:t>
      </w:r>
    </w:p>
    <w:p>
      <w:pPr>
        <w:spacing w:after="0" w:line="13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2"/>
              </w:rPr>
              <w:t>Year ended</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6"/>
          </w:tcPr>
          <w:p>
            <w:pPr>
              <w:jc w:val="center"/>
              <w:ind w:left="92"/>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Acquisitions </w:t>
            </w:r>
            <w:r>
              <w:rPr>
                <w:rFonts w:ascii="Times New Roman" w:cs="Times New Roman" w:eastAsia="Times New Roman" w:hAnsi="Times New Roman"/>
                <w:sz w:val="24"/>
                <w:szCs w:val="24"/>
                <w:b w:val="1"/>
                <w:bCs w:val="1"/>
                <w:color w:val="auto"/>
                <w:vertAlign w:val="subscript"/>
              </w:rPr>
              <w:t>​ ​</w:t>
            </w:r>
          </w:p>
        </w:tc>
        <w:tc>
          <w:tcPr>
            <w:tcW w:w="660" w:type="dxa"/>
            <w:vAlign w:val="bottom"/>
            <w:tcBorders>
              <w:bottom w:val="single" w:sz="8" w:color="auto"/>
            </w:tcBorders>
            <w:gridSpan w:val="3"/>
          </w:tcPr>
          <w:p>
            <w:pPr>
              <w:jc w:val="center"/>
              <w:ind w:left="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p>
        </w:tc>
        <w:tc>
          <w:tcPr>
            <w:tcW w:w="3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Mobileye</w:t>
            </w:r>
          </w:p>
        </w:tc>
        <w:tc>
          <w:tcPr>
            <w:tcW w:w="200" w:type="dxa"/>
            <w:vAlign w:val="bottom"/>
            <w:tcBorders>
              <w:right w:val="single" w:sz="8" w:color="CCEEFF"/>
            </w:tcBorders>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2"/>
                <w:szCs w:val="22"/>
                <w:color w:val="auto"/>
              </w:rPr>
            </w:pPr>
          </w:p>
        </w:tc>
        <w:tc>
          <w:tcPr>
            <w:tcW w:w="80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​$10,291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4"/>
              </w:rPr>
              <w:t>​$493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right w:val="single" w:sz="8" w:color="CCEEFF"/>
            </w:tcBorders>
            <w:shd w:val="clear" w:color="auto" w:fill="CCEEFF"/>
          </w:tcPr>
          <w:p>
            <w:pPr>
              <w:spacing w:after="0"/>
              <w:rPr>
                <w:sz w:val="22"/>
                <w:szCs w:val="22"/>
                <w:color w:val="auto"/>
              </w:rPr>
            </w:pPr>
          </w:p>
        </w:tc>
        <w:tc>
          <w:tcPr>
            <w:tcW w:w="700" w:type="dxa"/>
            <w:vAlign w:val="bottom"/>
            <w:gridSpan w:val="7"/>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​$10,784</w:t>
            </w:r>
          </w:p>
        </w:tc>
        <w:tc>
          <w:tcPr>
            <w:tcW w:w="340" w:type="dxa"/>
            <w:vAlign w:val="bottom"/>
            <w:tcBorders>
              <w:right w:val="single" w:sz="8" w:color="CCEEFF"/>
            </w:tcBorders>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​$10,784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3"/>
                <w:szCs w:val="23"/>
                <w:color w:val="auto"/>
              </w:rPr>
            </w:pPr>
          </w:p>
        </w:tc>
        <w:tc>
          <w:tcPr>
            <w:tcW w:w="1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111</w:t>
            </w:r>
          </w:p>
        </w:tc>
        <w:tc>
          <w:tcPr>
            <w:tcW w:w="40" w:type="dxa"/>
            <w:vAlign w:val="bottom"/>
          </w:tcPr>
          <w:p>
            <w:pPr>
              <w:spacing w:after="0"/>
              <w:rPr>
                <w:sz w:val="23"/>
                <w:szCs w:val="23"/>
                <w:color w:val="auto"/>
              </w:rPr>
            </w:pP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4"/>
          </w:tcPr>
          <w:p>
            <w:pPr>
              <w:jc w:val="right"/>
              <w:ind w:righ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gridSpan w:val="5"/>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10,291</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604</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7"/>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5"/>
            <w:shd w:val="clear" w:color="auto" w:fill="CCEEFF"/>
          </w:tcPr>
          <w:p>
            <w:pPr>
              <w:jc w:val="right"/>
              <w:ind w:right="1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10,895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8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NOTE 11 IDENTIFIED INTANGIBLE ASSETS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1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25, 2021</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26, 2020</w:t>
            </w: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2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40" w:type="dxa"/>
            <w:vAlign w:val="bottom"/>
          </w:tcPr>
          <w:p>
            <w:pPr>
              <w:spacing w:after="0"/>
              <w:rPr>
                <w:sz w:val="14"/>
                <w:szCs w:val="14"/>
                <w:color w:val="auto"/>
              </w:rPr>
            </w:pPr>
          </w:p>
        </w:tc>
        <w:tc>
          <w:tcPr>
            <w:tcW w:w="8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Assets</w:t>
            </w:r>
          </w:p>
        </w:tc>
        <w:tc>
          <w:tcPr>
            <w:tcW w:w="40" w:type="dxa"/>
            <w:vAlign w:val="bottom"/>
          </w:tcPr>
          <w:p>
            <w:pPr>
              <w:spacing w:after="0"/>
              <w:rPr>
                <w:sz w:val="18"/>
                <w:szCs w:val="18"/>
                <w:color w:val="auto"/>
              </w:rPr>
            </w:pPr>
          </w:p>
        </w:tc>
        <w:tc>
          <w:tcPr>
            <w:tcW w:w="1000" w:type="dxa"/>
            <w:vAlign w:val="bottom"/>
            <w:gridSpan w:val="8"/>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w:t>
            </w:r>
          </w:p>
        </w:tc>
        <w:tc>
          <w:tcPr>
            <w:tcW w:w="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5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20" w:type="dxa"/>
            <w:vAlign w:val="bottom"/>
            <w:gridSpan w:val="7"/>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Amortization </w:t>
            </w:r>
            <w:r>
              <w:rPr>
                <w:rFonts w:ascii="Times New Roman" w:cs="Times New Roman" w:eastAsia="Times New Roman" w:hAnsi="Times New Roman"/>
                <w:sz w:val="24"/>
                <w:szCs w:val="24"/>
                <w:b w:val="1"/>
                <w:bCs w:val="1"/>
                <w:color w:val="auto"/>
                <w:vertAlign w:val="subscript"/>
              </w:rPr>
              <w:t>​ ​</w:t>
            </w:r>
          </w:p>
        </w:tc>
        <w:tc>
          <w:tcPr>
            <w:tcW w:w="160" w:type="dxa"/>
            <w:vAlign w:val="bottom"/>
          </w:tcPr>
          <w:p>
            <w:pPr>
              <w:spacing w:after="0"/>
              <w:rPr>
                <w:sz w:val="18"/>
                <w:szCs w:val="18"/>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10"/>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9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​​$3,991​​ ​</w:t>
            </w:r>
          </w:p>
        </w:tc>
        <w:tc>
          <w:tcPr>
            <w:tcW w:w="760" w:type="dxa"/>
            <w:vAlign w:val="bottom"/>
            <w:gridSpan w:val="6"/>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​$1,419</w:t>
            </w: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80" w:type="dxa"/>
            <w:vAlign w:val="bottom"/>
            <w:shd w:val="clear" w:color="auto" w:fill="CCEEFF"/>
          </w:tcPr>
          <w:p>
            <w:pPr>
              <w:spacing w:after="0"/>
              <w:rPr>
                <w:sz w:val="19"/>
                <w:szCs w:val="19"/>
                <w:color w:val="auto"/>
              </w:rPr>
            </w:pPr>
          </w:p>
        </w:tc>
        <w:tc>
          <w:tcPr>
            <w:tcW w:w="1000" w:type="dxa"/>
            <w:vAlign w:val="bottom"/>
            <w:gridSpan w:val="9"/>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​​$3,091​​ ​</w:t>
            </w:r>
          </w:p>
        </w:tc>
        <w:tc>
          <w:tcPr>
            <w:tcW w:w="160" w:type="dxa"/>
            <w:vAlign w:val="bottom"/>
            <w:tcBorders>
              <w:right w:val="single" w:sz="8" w:color="CCEEFF"/>
            </w:tcBorders>
            <w:shd w:val="clear" w:color="auto" w:fill="CCEEFF"/>
          </w:tcPr>
          <w:p>
            <w:pPr>
              <w:spacing w:after="0"/>
              <w:rPr>
                <w:sz w:val="19"/>
                <w:szCs w:val="19"/>
                <w:color w:val="auto"/>
              </w:rPr>
            </w:pPr>
          </w:p>
        </w:tc>
        <w:tc>
          <w:tcPr>
            <w:tcW w:w="6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​$1,000</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19"/>
                <w:szCs w:val="19"/>
                <w:color w:val="auto"/>
              </w:rPr>
            </w:pPr>
          </w:p>
        </w:tc>
        <w:tc>
          <w:tcPr>
            <w:tcW w:w="6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​$2,091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development</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6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and</w:t>
            </w:r>
          </w:p>
        </w:tc>
        <w:tc>
          <w:tcPr>
            <w:tcW w:w="940" w:type="dxa"/>
            <w:vAlign w:val="bottom"/>
            <w:gridSpan w:val="6"/>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 831​​ ​</w:t>
            </w:r>
          </w:p>
        </w:tc>
        <w:tc>
          <w:tcPr>
            <w:tcW w:w="2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4"/>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tcBorders>
              <w:right w:val="single" w:sz="8" w:color="CCEEFF"/>
            </w:tcBorders>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19"/>
                <w:szCs w:val="19"/>
                <w:color w:val="auto"/>
              </w:rPr>
            </w:pPr>
          </w:p>
        </w:tc>
        <w:tc>
          <w:tcPr>
            <w:tcW w:w="44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w:t>
            </w:r>
          </w:p>
        </w:tc>
        <w:tc>
          <w:tcPr>
            <w:tcW w:w="2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brands</w:t>
            </w:r>
          </w:p>
        </w:tc>
        <w:tc>
          <w:tcPr>
            <w:tcW w:w="940" w:type="dxa"/>
            <w:vAlign w:val="bottom"/>
            <w:gridSpan w:val="6"/>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500" w:type="dxa"/>
            <w:vAlign w:val="bottom"/>
            <w:gridSpan w:val="4"/>
            <w:vMerge w:val="continue"/>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gridSpan w:val="2"/>
            <w:vMerge w:val="continue"/>
            <w:shd w:val="clear" w:color="auto" w:fill="CCEEFF"/>
          </w:tcPr>
          <w:p>
            <w:pPr>
              <w:spacing w:after="0"/>
              <w:rPr>
                <w:sz w:val="20"/>
                <w:szCs w:val="20"/>
                <w:color w:val="auto"/>
              </w:rPr>
            </w:pPr>
          </w:p>
        </w:tc>
        <w:tc>
          <w:tcPr>
            <w:tcW w:w="320" w:type="dxa"/>
            <w:vAlign w:val="bottom"/>
            <w:tcBorders>
              <w:right w:val="single" w:sz="8" w:color="CCEEFF"/>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gridSpan w:val="5"/>
            <w:vMerge w:val="continue"/>
            <w:shd w:val="clear" w:color="auto" w:fill="CCEEFF"/>
          </w:tcPr>
          <w:p>
            <w:pPr>
              <w:spacing w:after="0"/>
              <w:rPr>
                <w:sz w:val="20"/>
                <w:szCs w:val="20"/>
                <w:color w:val="auto"/>
              </w:rPr>
            </w:pPr>
          </w:p>
        </w:tc>
        <w:tc>
          <w:tcPr>
            <w:tcW w:w="560" w:type="dxa"/>
            <w:vAlign w:val="bottom"/>
            <w:gridSpan w:val="4"/>
            <w:vMerge w:val="continue"/>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44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340" w:type="dxa"/>
            <w:vAlign w:val="bottom"/>
            <w:tcBorders>
              <w:right w:val="single" w:sz="8" w:color="CCEEFF"/>
            </w:tcBorders>
            <w:gridSpan w:val="2"/>
            <w:vMerge w:val="continue"/>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gridSpan w:val="3"/>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6"/>
          </w:tcPr>
          <w:p>
            <w:pPr>
              <w:ind w:left="40"/>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760" w:type="dxa"/>
            <w:vAlign w:val="bottom"/>
            <w:gridSpan w:val="6"/>
          </w:tcPr>
          <w:p>
            <w:pPr>
              <w:jc w:val="right"/>
              <w:ind w:right="75"/>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1,751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3,071</w:t>
            </w:r>
          </w:p>
        </w:tc>
        <w:tc>
          <w:tcPr>
            <w:tcW w:w="80" w:type="dxa"/>
            <w:vAlign w:val="bottom"/>
          </w:tcPr>
          <w:p>
            <w:pPr>
              <w:spacing w:after="0"/>
              <w:rPr>
                <w:sz w:val="22"/>
                <w:szCs w:val="22"/>
                <w:color w:val="auto"/>
              </w:rPr>
            </w:pPr>
          </w:p>
        </w:tc>
        <w:tc>
          <w:tcPr>
            <w:tcW w:w="1000" w:type="dxa"/>
            <w:vAlign w:val="bottom"/>
            <w:gridSpan w:val="9"/>
          </w:tcPr>
          <w:p>
            <w:pPr>
              <w:jc w:val="right"/>
              <w:spacing w:after="0" w:line="250"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4,822</w:t>
            </w:r>
            <w:r>
              <w:rPr>
                <w:rFonts w:ascii="Times New Roman" w:cs="Times New Roman" w:eastAsia="Times New Roman" w:hAnsi="Times New Roman"/>
                <w:sz w:val="15"/>
                <w:szCs w:val="15"/>
                <w:color w:val="auto"/>
              </w:rPr>
              <w:t>​​ ​</w:t>
            </w:r>
          </w:p>
        </w:tc>
        <w:tc>
          <w:tcPr>
            <w:tcW w:w="160" w:type="dxa"/>
            <w:vAlign w:val="bottom"/>
          </w:tcPr>
          <w:p>
            <w:pPr>
              <w:spacing w:after="0"/>
              <w:rPr>
                <w:sz w:val="22"/>
                <w:szCs w:val="22"/>
                <w:color w:val="auto"/>
              </w:rPr>
            </w:pPr>
          </w:p>
        </w:tc>
        <w:tc>
          <w:tcPr>
            <w:tcW w:w="640" w:type="dxa"/>
            <w:vAlign w:val="bottom"/>
            <w:gridSpan w:val="4"/>
          </w:tcPr>
          <w:p>
            <w:pPr>
              <w:jc w:val="right"/>
              <w:ind w:right="14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1,242</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2"/>
                <w:szCs w:val="22"/>
                <w:color w:val="auto"/>
              </w:rPr>
            </w:pPr>
          </w:p>
        </w:tc>
        <w:tc>
          <w:tcPr>
            <w:tcW w:w="660" w:type="dxa"/>
            <w:vAlign w:val="bottom"/>
            <w:gridSpan w:val="4"/>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3,580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5926455</wp:posOffset>
            </wp:positionH>
            <wp:positionV relativeFrom="paragraph">
              <wp:posOffset>-2125345</wp:posOffset>
            </wp:positionV>
            <wp:extent cx="8572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-2125345</wp:posOffset>
            </wp:positionV>
            <wp:extent cx="474916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-2622550</wp:posOffset>
            </wp:positionV>
            <wp:extent cx="1371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-2622550</wp:posOffset>
            </wp:positionV>
            <wp:extent cx="13716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-2622550</wp:posOffset>
            </wp:positionV>
            <wp:extent cx="1371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-2622550</wp:posOffset>
            </wp:positionV>
            <wp:extent cx="1371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5351780</wp:posOffset>
            </wp:positionH>
            <wp:positionV relativeFrom="paragraph">
              <wp:posOffset>-1104900</wp:posOffset>
            </wp:positionV>
            <wp:extent cx="13716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-1104900</wp:posOffset>
            </wp:positionV>
            <wp:extent cx="13716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-1104900</wp:posOffset>
            </wp:positionV>
            <wp:extent cx="137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-1104900</wp:posOffset>
            </wp:positionV>
            <wp:extent cx="13716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-1104900</wp:posOffset>
            </wp:positionV>
            <wp:extent cx="12890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70" w:lineRule="auto"/>
        <w:rPr>
          <w:sz w:val="20"/>
          <w:szCs w:val="20"/>
          <w:color w:val="auto"/>
        </w:rPr>
      </w:pPr>
      <w:r>
        <w:rPr>
          <w:rFonts w:ascii="Times New Roman" w:cs="Times New Roman" w:eastAsia="Times New Roman" w:hAnsi="Times New Roman"/>
          <w:sz w:val="18"/>
          <w:szCs w:val="18"/>
          <w:color w:val="auto"/>
        </w:rPr>
        <w:t>Amortization expenses recorded for developed technology and customer relationships and brands were recorded in cost of revenue and sales and marketing, respectively, in the combined statements of operations and comprehensive income (loss) for each year presented. In process research and development was completed during 2021 and reclassified to developed technology. The Company did not record any impairment of intangible assets for any of the periods presented.</w:t>
      </w:r>
    </w:p>
    <w:p>
      <w:pPr>
        <w:spacing w:after="0" w:line="105" w:lineRule="exact"/>
        <w:rPr>
          <w:sz w:val="20"/>
          <w:szCs w:val="20"/>
          <w:color w:val="auto"/>
        </w:rPr>
      </w:pPr>
    </w:p>
    <w:p>
      <w:pPr>
        <w:ind w:left="1260" w:right="619" w:firstLine="360"/>
        <w:spacing w:after="0" w:line="297"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60" w:type="dxa"/>
            <w:vAlign w:val="bottom"/>
          </w:tcPr>
          <w:p>
            <w:pPr>
              <w:spacing w:after="0"/>
              <w:rPr>
                <w:sz w:val="19"/>
                <w:szCs w:val="19"/>
                <w:color w:val="auto"/>
              </w:rPr>
            </w:pPr>
          </w:p>
        </w:tc>
      </w:tr>
      <w:tr>
        <w:trPr>
          <w:trHeight w:val="158"/>
        </w:trPr>
        <w:tc>
          <w:tcPr>
            <w:tcW w:w="3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240" w:type="dxa"/>
            <w:vAlign w:val="bottom"/>
          </w:tcPr>
          <w:p>
            <w:pPr>
              <w:spacing w:after="0"/>
              <w:rPr>
                <w:sz w:val="13"/>
                <w:szCs w:val="13"/>
                <w:color w:val="auto"/>
              </w:rPr>
            </w:pPr>
          </w:p>
        </w:tc>
        <w:tc>
          <w:tcPr>
            <w:tcW w:w="8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26,</w:t>
            </w:r>
          </w:p>
        </w:tc>
        <w:tc>
          <w:tcPr>
            <w:tcW w:w="240" w:type="dxa"/>
            <w:vAlign w:val="bottom"/>
          </w:tcPr>
          <w:p>
            <w:pPr>
              <w:spacing w:after="0"/>
              <w:rPr>
                <w:sz w:val="13"/>
                <w:szCs w:val="13"/>
                <w:color w:val="auto"/>
              </w:rPr>
            </w:pPr>
          </w:p>
        </w:tc>
        <w:tc>
          <w:tcPr>
            <w:tcW w:w="820" w:type="dxa"/>
            <w:vAlign w:val="bottom"/>
            <w:gridSpan w:val="3"/>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Useful Life</w:t>
            </w:r>
          </w:p>
        </w:tc>
        <w:tc>
          <w:tcPr>
            <w:tcW w:w="60" w:type="dxa"/>
            <w:vAlign w:val="bottom"/>
          </w:tcPr>
          <w:p>
            <w:pPr>
              <w:spacing w:after="0"/>
              <w:rPr>
                <w:sz w:val="13"/>
                <w:szCs w:val="13"/>
                <w:color w:val="auto"/>
              </w:rPr>
            </w:pPr>
          </w:p>
        </w:tc>
      </w:tr>
      <w:tr>
        <w:trPr>
          <w:trHeight w:val="22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tcBorders>
              <w:bottom w:val="single" w:sz="8" w:color="auto"/>
            </w:tcBorders>
            <w:gridSpan w:val="2"/>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and brands</w:t>
            </w:r>
          </w:p>
        </w:tc>
        <w:tc>
          <w:tcPr>
            <w:tcW w:w="7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82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66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ind w:left="4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7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450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327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-213995</wp:posOffset>
            </wp:positionV>
            <wp:extent cx="52120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-711200</wp:posOffset>
            </wp:positionV>
            <wp:extent cx="1371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-711200</wp:posOffset>
            </wp:positionV>
            <wp:extent cx="13716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-711200</wp:posOffset>
            </wp:positionV>
            <wp:extent cx="13716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18" w:lineRule="exact"/>
        <w:rPr>
          <w:sz w:val="20"/>
          <w:szCs w:val="20"/>
          <w:color w:val="auto"/>
        </w:rPr>
      </w:pPr>
    </w:p>
    <w:p>
      <w:pPr>
        <w:ind w:left="1260" w:right="919" w:firstLine="360"/>
        <w:spacing w:after="0" w:line="261" w:lineRule="auto"/>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tbl>
      <w:tblPr>
        <w:tblLayout w:type="fixed"/>
        <w:tblInd w:w="1260" w:type="dxa"/>
        <w:tblCellMar>
          <w:top w:w="0" w:type="dxa"/>
          <w:left w:w="0" w:type="dxa"/>
          <w:bottom w:w="0" w:type="dxa"/>
          <w:right w:w="0" w:type="dxa"/>
        </w:tblCellMar>
      </w:tblPr>
      <w:tr>
        <w:trPr>
          <w:trHeight w:val="378"/>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c>
          <w:tcPr>
            <w:tcW w:w="4480" w:type="dxa"/>
            <w:vAlign w:val="bottom"/>
            <w:gridSpan w:val="17"/>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2025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Thereafter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Total  </w:t>
            </w:r>
            <w:r>
              <w:rPr>
                <w:rFonts w:ascii="Times New Roman" w:cs="Times New Roman" w:eastAsia="Times New Roman" w:hAnsi="Times New Roman"/>
                <w:sz w:val="28"/>
                <w:szCs w:val="28"/>
                <w:b w:val="1"/>
                <w:bCs w:val="1"/>
                <w:color w:val="auto"/>
                <w:vertAlign w:val="subscript"/>
              </w:rPr>
              <w:t>​</w:t>
            </w:r>
          </w:p>
        </w:tc>
      </w:tr>
      <w:tr>
        <w:trPr>
          <w:trHeight w:val="236"/>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9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amortization expenses</w:t>
            </w:r>
          </w:p>
        </w:tc>
        <w:tc>
          <w:tcPr>
            <w:tcW w:w="8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1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544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474</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445</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443</w:t>
            </w: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332</w:t>
            </w:r>
            <w:r>
              <w:rPr>
                <w:rFonts w:ascii="Times New Roman" w:cs="Times New Roman" w:eastAsia="Times New Roman" w:hAnsi="Times New Roman"/>
                <w:sz w:val="15"/>
                <w:szCs w:val="15"/>
                <w:color w:val="auto"/>
              </w:rPr>
              <w:t>​​ ​</w:t>
            </w:r>
          </w:p>
        </w:tc>
        <w:tc>
          <w:tcPr>
            <w:tcW w:w="1320" w:type="dxa"/>
            <w:vAlign w:val="bottom"/>
            <w:gridSpan w:val="4"/>
            <w:shd w:val="clear" w:color="auto" w:fill="CCEEFF"/>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833  </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3,071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-367665</wp:posOffset>
            </wp:positionV>
            <wp:extent cx="13716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4991735</wp:posOffset>
            </wp:positionH>
            <wp:positionV relativeFrom="paragraph">
              <wp:posOffset>-367665</wp:posOffset>
            </wp:positionV>
            <wp:extent cx="13716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-367665</wp:posOffset>
            </wp:positionV>
            <wp:extent cx="1371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-367665</wp:posOffset>
            </wp:positionV>
            <wp:extent cx="1371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-367665</wp:posOffset>
            </wp:positionV>
            <wp:extent cx="1371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-367665</wp:posOffset>
            </wp:positionV>
            <wp:extent cx="13716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48" w:lineRule="exact"/>
        <w:rPr>
          <w:sz w:val="20"/>
          <w:szCs w:val="20"/>
          <w:color w:val="auto"/>
        </w:rPr>
      </w:pPr>
    </w:p>
    <w:p>
      <w:pPr>
        <w:ind w:left="1260" w:right="439" w:firstLine="360"/>
        <w:spacing w:after="0" w:line="271"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18"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05" w:lineRule="exact"/>
        <w:rPr>
          <w:sz w:val="20"/>
          <w:szCs w:val="20"/>
          <w:color w:val="auto"/>
        </w:rPr>
      </w:pPr>
    </w:p>
    <w:p>
      <w:pPr>
        <w:ind w:left="1260" w:right="519" w:firstLine="360"/>
        <w:spacing w:after="0" w:line="271" w:lineRule="auto"/>
        <w:rPr>
          <w:sz w:val="20"/>
          <w:szCs w:val="20"/>
          <w:color w:val="auto"/>
        </w:rPr>
      </w:pPr>
      <w:r>
        <w:rPr>
          <w:rFonts w:ascii="Times New Roman" w:cs="Times New Roman" w:eastAsia="Times New Roman" w:hAnsi="Times New Roman"/>
          <w:sz w:val="18"/>
          <w:szCs w:val="18"/>
          <w:color w:val="auto"/>
        </w:rPr>
        <w:t>Mobileye is the Company’s only reportable operating segment and Moovit is presented within “Other” as per ASC 280, Segment Reporting. Segment performance (which is the operating income reported) excludes the amortization of acquisition-related intangible assets. The measure of assets has not been disclosed for each segment as it is not regularly reviewed by the CODM.</w:t>
      </w:r>
    </w:p>
    <w:p>
      <w:pPr>
        <w:spacing w:after="0" w:line="105"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is segment results for each year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25, 2021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7"/>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tcBorders>
              <w:right w:val="single" w:sz="8" w:color="CCEEFF"/>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​$1,363</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​$1,386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419</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731 </w:t>
            </w: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505</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​39​​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​14​​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gridSpan w:val="4"/>
            <w:shd w:val="clear" w:color="auto" w:fill="CCEEFF"/>
          </w:tcPr>
          <w:p>
            <w:pPr>
              <w:ind w:left="6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0" w:type="dxa"/>
            <w:vAlign w:val="bottom"/>
            <w:gridSpan w:val="4"/>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​13</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480" w:type="dxa"/>
            <w:vAlign w:val="bottom"/>
            <w:gridSpan w:val="4"/>
          </w:tcPr>
          <w:p>
            <w:pPr>
              <w:ind w:left="6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499</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(47)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(509)</w:t>
            </w:r>
          </w:p>
        </w:tc>
        <w:tc>
          <w:tcPr>
            <w:tcW w:w="5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w:t>
            </w:r>
          </w:p>
        </w:tc>
        <w:tc>
          <w:tcPr>
            <w:tcW w:w="4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15"/>
                <w:szCs w:val="15"/>
                <w:color w:val="auto"/>
              </w:rPr>
              <w:t>(57)</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4"/>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1"/>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80" w:type="dxa"/>
            <w:vAlign w:val="bottom"/>
            <w:gridSpan w:val="4"/>
          </w:tcPr>
          <w:p>
            <w:pPr>
              <w:ind w:left="6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0" w:type="dxa"/>
            <w:vAlign w:val="bottom"/>
            <w:gridSpan w:val="4"/>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2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42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15"/>
                <w:szCs w:val="15"/>
                <w:color w:val="auto"/>
              </w:rPr>
              <w:t xml:space="preserve">97 </w:t>
            </w:r>
            <w:r>
              <w:rPr>
                <w:rFonts w:ascii="Times New Roman" w:cs="Times New Roman" w:eastAsia="Times New Roman" w:hAnsi="Times New Roman"/>
                <w:sz w:val="26"/>
                <w:szCs w:val="26"/>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gridSpan w:val="4"/>
            <w:shd w:val="clear" w:color="auto" w:fill="CCEEFF"/>
          </w:tcPr>
          <w:p>
            <w:pPr>
              <w:ind w:left="6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26, 2020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w:t>
            </w:r>
          </w:p>
        </w:tc>
        <w:tc>
          <w:tcPr>
            <w:tcW w:w="8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r>
      <w:tr>
        <w:trPr>
          <w:trHeight w:val="236"/>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5"/>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​$956</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​​$ 11​​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​221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368</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​591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​417</w:t>
            </w: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​23​​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26</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116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28</w:t>
            </w:r>
          </w:p>
        </w:tc>
        <w:tc>
          <w:tcPr>
            <w:tcW w:w="420" w:type="dxa"/>
            <w:vAlign w:val="bottom"/>
            <w:gridSpan w:val="2"/>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80" w:type="dxa"/>
            <w:vAlign w:val="bottom"/>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5</w:t>
            </w:r>
            <w:r>
              <w:rPr>
                <w:rFonts w:ascii="Times New Roman" w:cs="Times New Roman" w:eastAsia="Times New Roman" w:hAnsi="Times New Roman"/>
                <w:sz w:val="17"/>
                <w:szCs w:val="17"/>
                <w:color w:val="auto"/>
              </w:rPr>
              <w:t>​​ ​</w:t>
            </w:r>
          </w:p>
        </w:tc>
        <w:tc>
          <w:tcPr>
            <w:tcW w:w="380" w:type="dxa"/>
            <w:vAlign w:val="bottom"/>
            <w:gridSpan w:val="2"/>
            <w:shd w:val="clear" w:color="auto" w:fill="CCEEFF"/>
          </w:tcPr>
          <w:p>
            <w:pPr>
              <w:ind w:left="1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264</w:t>
            </w:r>
          </w:p>
        </w:tc>
        <w:tc>
          <w:tcPr>
            <w:tcW w:w="8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(27)</w:t>
            </w:r>
            <w:r>
              <w:rPr>
                <w:rFonts w:ascii="Times New Roman" w:cs="Times New Roman" w:eastAsia="Times New Roman" w:hAnsi="Times New Roman"/>
                <w:sz w:val="15"/>
                <w:szCs w:val="15"/>
                <w:color w:val="auto"/>
              </w:rPr>
              <w:t>​​ ​</w:t>
            </w:r>
          </w:p>
        </w:tc>
        <w:tc>
          <w:tcPr>
            <w:tcW w:w="780" w:type="dxa"/>
            <w:vAlign w:val="bottom"/>
            <w:gridSpan w:val="4"/>
          </w:tcPr>
          <w:p>
            <w:pPr>
              <w:ind w:left="1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 (450)</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(213) </w:t>
            </w:r>
            <w:r>
              <w:rPr>
                <w:rFonts w:ascii="Times New Roman" w:cs="Times New Roman" w:eastAsia="Times New Roman" w:hAnsi="Times New Roman"/>
                <w:sz w:val="28"/>
                <w:szCs w:val="28"/>
                <w:b w:val="1"/>
                <w:bCs w:val="1"/>
                <w:color w:val="auto"/>
                <w:vertAlign w:val="subscript"/>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with a related party</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0"/>
                <w:szCs w:val="20"/>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 xml:space="preserve">(5) </w:t>
            </w:r>
            <w:r>
              <w:rPr>
                <w:rFonts w:ascii="Times New Roman" w:cs="Times New Roman" w:eastAsia="Times New Roman" w:hAnsi="Times New Roman"/>
                <w:sz w:val="31"/>
                <w:szCs w:val="31"/>
                <w:b w:val="1"/>
                <w:bCs w:val="1"/>
                <w:color w:val="auto"/>
                <w:vertAlign w:val="subscript"/>
              </w:rPr>
              <w:t>​</w:t>
            </w:r>
          </w:p>
        </w:tc>
      </w:tr>
      <w:tr>
        <w:trPr>
          <w:trHeight w:val="20"/>
        </w:trPr>
        <w:tc>
          <w:tcPr>
            <w:tcW w:w="49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3"/>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shd w:val="clear" w:color="auto" w:fill="CCEEFF"/>
          </w:tcPr>
          <w:p>
            <w:pPr>
              <w:spacing w:after="0"/>
              <w:rPr>
                <w:sz w:val="24"/>
                <w:szCs w:val="24"/>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w:t>
            </w: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​(212)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gridSpan w:val="3"/>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3"/>
          </w:tcPr>
          <w:p>
            <w:pPr>
              <w:ind w:left="6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xml:space="preserve"> ​ 82</w:t>
            </w:r>
          </w:p>
        </w:tc>
        <w:tc>
          <w:tcPr>
            <w:tcW w:w="420" w:type="dxa"/>
            <w:vAlign w:val="bottom"/>
            <w:gridSpan w:val="2"/>
          </w:tcPr>
          <w:p>
            <w:pPr>
              <w:jc w:val="right"/>
              <w:ind w:right="40"/>
              <w:spacing w:after="0" w:line="231"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6"/>
                <w:szCs w:val="26"/>
                <w:color w:val="auto"/>
                <w:vertAlign w:val="superscript"/>
              </w:rPr>
              <w:t>​</w:t>
            </w:r>
          </w:p>
        </w:tc>
        <w:tc>
          <w:tcPr>
            <w:tcW w:w="380" w:type="dxa"/>
            <w:vAlign w:val="bottom"/>
            <w:gridSpan w:val="2"/>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5"/>
                <w:szCs w:val="15"/>
                <w:color w:val="auto"/>
              </w:rPr>
              <w:t>​​ ​</w:t>
            </w:r>
          </w:p>
        </w:tc>
        <w:tc>
          <w:tcPr>
            <w:tcW w:w="380" w:type="dxa"/>
            <w:vAlign w:val="bottom"/>
            <w:gridSpan w:val="2"/>
          </w:tcPr>
          <w:p>
            <w:pPr>
              <w:ind w:left="180"/>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31"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60" w:type="dxa"/>
            <w:vAlign w:val="bottom"/>
            <w:tcBorders>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Borders>
              <w:right w:val="single" w:sz="8" w:color="CCEEFF"/>
            </w:tcBorders>
            <w:gridSpan w:val="3"/>
            <w:shd w:val="clear" w:color="auto" w:fill="CCEEFF"/>
          </w:tcPr>
          <w:p>
            <w:pPr>
              <w:ind w:left="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13</w:t>
            </w:r>
          </w:p>
        </w:tc>
        <w:tc>
          <w:tcPr>
            <w:tcW w:w="800" w:type="dxa"/>
            <w:vAlign w:val="bottom"/>
            <w:gridSpan w:val="4"/>
            <w:shd w:val="clear" w:color="auto" w:fill="CCEEFF"/>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w:t>
            </w:r>
          </w:p>
        </w:tc>
        <w:tc>
          <w:tcPr>
            <w:tcW w:w="380" w:type="dxa"/>
            <w:vAlign w:val="bottom"/>
            <w:gridSpan w:val="2"/>
            <w:shd w:val="clear" w:color="auto" w:fill="CCEEFF"/>
          </w:tcPr>
          <w:p>
            <w:pPr>
              <w:ind w:left="180"/>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7"/>
                <w:szCs w:val="27"/>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-3394075</wp:posOffset>
            </wp:positionV>
            <wp:extent cx="52120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-4919980</wp:posOffset>
            </wp:positionV>
            <wp:extent cx="13716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-4919980</wp:posOffset>
            </wp:positionV>
            <wp:extent cx="1371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-4919980</wp:posOffset>
            </wp:positionV>
            <wp:extent cx="1371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-607695</wp:posOffset>
            </wp:positionV>
            <wp:extent cx="52120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-2133600</wp:posOffset>
            </wp:positionV>
            <wp:extent cx="13716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-2133600</wp:posOffset>
            </wp:positionV>
            <wp:extent cx="1371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-2133600</wp:posOffset>
            </wp:positionV>
            <wp:extent cx="1371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 December 28, 2019</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not</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allocated to</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Mobileye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Other </w:t>
            </w:r>
            <w:r>
              <w:rPr>
                <w:rFonts w:ascii="Times New Roman" w:cs="Times New Roman" w:eastAsia="Times New Roman" w:hAnsi="Times New Roman"/>
                <w:sz w:val="24"/>
                <w:szCs w:val="24"/>
                <w:b w:val="1"/>
                <w:bCs w:val="1"/>
                <w:color w:val="auto"/>
                <w:vertAlign w:val="subscript"/>
              </w:rPr>
              <w:t>​ ​</w:t>
            </w: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segments</w:t>
            </w:r>
          </w:p>
        </w:tc>
        <w:tc>
          <w:tcPr>
            <w:tcW w:w="920" w:type="dxa"/>
            <w:vAlign w:val="bottom"/>
            <w:gridSpan w:val="5"/>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Combined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4"/>
              </w:rPr>
              <w:t>​$879</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​$ 879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​195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7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 ​ 261</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​456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​384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​384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 34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 ​100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 25</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 ​​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Segment performance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241</w:t>
            </w:r>
          </w:p>
        </w:tc>
        <w:tc>
          <w:tcPr>
            <w:tcW w:w="940" w:type="dxa"/>
            <w:vAlign w:val="bottom"/>
            <w:gridSpan w:val="3"/>
          </w:tcPr>
          <w:p>
            <w:pPr>
              <w:jc w:val="right"/>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 ​</w:t>
            </w:r>
          </w:p>
        </w:tc>
        <w:tc>
          <w:tcPr>
            <w:tcW w:w="780" w:type="dxa"/>
            <w:vAlign w:val="bottom"/>
            <w:gridSpan w:val="4"/>
          </w:tcPr>
          <w:p>
            <w:pPr>
              <w:ind w:left="18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 xml:space="preserve"> (327)</w:t>
            </w:r>
          </w:p>
        </w:tc>
        <w:tc>
          <w:tcPr>
            <w:tcW w:w="920" w:type="dxa"/>
            <w:vAlign w:val="bottom"/>
            <w:gridSpan w:val="5"/>
          </w:tcPr>
          <w:p>
            <w:pPr>
              <w:jc w:val="right"/>
              <w:spacing w:after="0" w:line="223"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25"/>
                <w:szCs w:val="25"/>
                <w:color w:val="auto"/>
                <w:vertAlign w:val="superscript"/>
              </w:rPr>
              <w:t>$ (86)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Interest expense with a related party</w:t>
            </w:r>
          </w:p>
        </w:tc>
        <w:tc>
          <w:tcPr>
            <w:tcW w:w="16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300" w:type="dxa"/>
            <w:vAlign w:val="bottom"/>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​(235)</w:t>
            </w:r>
          </w:p>
        </w:tc>
        <w:tc>
          <w:tcPr>
            <w:tcW w:w="8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gridSpan w:val="2"/>
            <w:shd w:val="clear" w:color="auto" w:fill="CCEEFF"/>
          </w:tcPr>
          <w:p>
            <w:pPr>
              <w:spacing w:after="0" w:line="20" w:lineRule="exact"/>
              <w:rPr>
                <w:sz w:val="1"/>
                <w:szCs w:val="1"/>
                <w:color w:val="auto"/>
              </w:rPr>
            </w:pPr>
          </w:p>
        </w:tc>
        <w:tc>
          <w:tcPr>
            <w:tcW w:w="68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 ​ ​ ​</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3"/>
            <w:shd w:val="clear" w:color="auto" w:fill="CCEEFF"/>
          </w:tcPr>
          <w:p>
            <w:pPr>
              <w:jc w:val="right"/>
              <w:ind w:right="2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xml:space="preserve"> ​(325)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CCEEFF"/>
            </w:tcBorders>
            <w:gridSpan w:val="2"/>
            <w:vMerge w:val="restart"/>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 76</w:t>
            </w:r>
          </w:p>
        </w:tc>
        <w:tc>
          <w:tcPr>
            <w:tcW w:w="940" w:type="dxa"/>
            <w:vAlign w:val="bottom"/>
            <w:tcBorders>
              <w:top w:val="single" w:sz="8" w:color="CCEEFF"/>
              <w:bottom w:val="single" w:sz="8" w:color="CCEEFF"/>
            </w:tcBorders>
            <w:gridSpan w:val="3"/>
            <w:vMerge w:val="restart"/>
          </w:tcPr>
          <w:p>
            <w:pPr>
              <w:jc w:val="right"/>
              <w:spacing w:after="0" w:line="236"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 ​</w:t>
            </w:r>
          </w:p>
        </w:tc>
        <w:tc>
          <w:tcPr>
            <w:tcW w:w="440" w:type="dxa"/>
            <w:vAlign w:val="bottom"/>
            <w:tcBorders>
              <w:top w:val="single" w:sz="8" w:color="CCEEFF"/>
              <w:bottom w:val="single" w:sz="8" w:color="CCEEFF"/>
            </w:tcBorders>
            <w:gridSpan w:val="2"/>
            <w:vMerge w:val="restart"/>
          </w:tcPr>
          <w:p>
            <w:pPr>
              <w:ind w:left="18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 xml:space="preserve"> ​</w:t>
            </w:r>
          </w:p>
        </w:tc>
        <w:tc>
          <w:tcPr>
            <w:tcW w:w="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ind w:lef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vMerge w:val="continue"/>
          </w:tcPr>
          <w:p>
            <w:pPr>
              <w:spacing w:after="0"/>
              <w:rPr>
                <w:sz w:val="17"/>
                <w:szCs w:val="17"/>
                <w:color w:val="auto"/>
              </w:rPr>
            </w:pPr>
          </w:p>
        </w:tc>
        <w:tc>
          <w:tcPr>
            <w:tcW w:w="940" w:type="dxa"/>
            <w:vAlign w:val="bottom"/>
            <w:gridSpan w:val="3"/>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3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03"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4"/>
                <w:szCs w:val="14"/>
                <w:color w:val="auto"/>
              </w:rPr>
              <w:t xml:space="preserve"> ​</w:t>
            </w:r>
          </w:p>
        </w:tc>
        <w:tc>
          <w:tcPr>
            <w:tcW w:w="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7"/>
                <w:szCs w:val="17"/>
                <w:color w:val="auto"/>
              </w:rPr>
            </w:pPr>
          </w:p>
        </w:tc>
        <w:tc>
          <w:tcPr>
            <w:tcW w:w="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 11</w:t>
            </w:r>
          </w:p>
        </w:tc>
        <w:tc>
          <w:tcPr>
            <w:tcW w:w="38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4"/>
                <w:szCs w:val="14"/>
                <w:color w:val="auto"/>
              </w:rPr>
              <w:t xml:space="preserve"> ​—</w:t>
            </w:r>
          </w:p>
        </w:tc>
        <w:tc>
          <w:tcPr>
            <w:tcW w:w="260" w:type="dxa"/>
            <w:vAlign w:val="bottom"/>
            <w:tcBorders>
              <w:bottom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Borders>
              <w:bottom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4"/>
                <w:szCs w:val="24"/>
                <w:color w:val="auto"/>
                <w:vertAlign w:val="superscript"/>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-556895</wp:posOffset>
            </wp:positionV>
            <wp:extent cx="52120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-1910715</wp:posOffset>
            </wp:positionV>
            <wp:extent cx="13716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-1910715</wp:posOffset>
            </wp:positionV>
            <wp:extent cx="1371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4443095</wp:posOffset>
            </wp:positionH>
            <wp:positionV relativeFrom="paragraph">
              <wp:posOffset>-1910715</wp:posOffset>
            </wp:positionV>
            <wp:extent cx="1371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Year ended</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2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December 25,</w:t>
            </w: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3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gridSpan w:val="2"/>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ind w:left="15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 millions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​$293</w:t>
            </w:r>
          </w:p>
        </w:tc>
        <w:tc>
          <w:tcPr>
            <w:tcW w:w="2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​153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74</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​171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78</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43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75</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7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67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shd w:val="clear" w:color="auto" w:fill="CCEEFF"/>
          </w:tcPr>
          <w:p>
            <w:pPr>
              <w:spacing w:after="0" w:line="20" w:lineRule="exact"/>
              <w:rPr>
                <w:sz w:val="1"/>
                <w:szCs w:val="1"/>
                <w:color w:val="auto"/>
              </w:rPr>
            </w:pPr>
          </w:p>
        </w:tc>
        <w:tc>
          <w:tcPr>
            <w:tcW w:w="17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70"/>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1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shd w:val="clear" w:color="auto" w:fill="CCEEFF"/>
          </w:tcPr>
          <w:p>
            <w:pPr>
              <w:jc w:val="right"/>
              <w:ind w:right="14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1,386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967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879</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-205105</wp:posOffset>
            </wp:positionV>
            <wp:extent cx="15430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-205105</wp:posOffset>
            </wp:positionV>
            <wp:extent cx="436308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363085" cy="8890"/>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-1490980</wp:posOffset>
            </wp:positionV>
            <wp:extent cx="1371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-1490980</wp:posOffset>
            </wp:positionV>
            <wp:extent cx="1371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6" w:lineRule="exact"/>
        <w:rPr>
          <w:sz w:val="20"/>
          <w:szCs w:val="20"/>
          <w:color w:val="auto"/>
        </w:rPr>
      </w:pPr>
    </w:p>
    <w:p>
      <w:pPr>
        <w:ind w:left="1260" w:right="839" w:firstLine="360"/>
        <w:spacing w:after="0" w:line="231" w:lineRule="auto"/>
        <w:rPr>
          <w:sz w:val="20"/>
          <w:szCs w:val="20"/>
          <w:color w:val="auto"/>
        </w:rPr>
      </w:pPr>
      <w:r>
        <w:rPr>
          <w:rFonts w:ascii="Times New Roman" w:cs="Times New Roman" w:eastAsia="Times New Roman" w:hAnsi="Times New Roman"/>
          <w:sz w:val="18"/>
          <w:szCs w:val="18"/>
          <w:color w:val="auto"/>
        </w:rPr>
        <w:t>The Company generates the vast majority of its revenue from the sale of the EyeQ</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SoCs to OEM customers through Tier 1 suppliers. Revenue generated by other product types was deemed to be not material.</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26,</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major customers</w:t>
            </w:r>
          </w:p>
        </w:tc>
        <w:tc>
          <w:tcPr>
            <w:tcW w:w="1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320" w:type="dxa"/>
            <w:vAlign w:val="bottom"/>
            <w:vMerge w:val="continue"/>
            <w:shd w:val="clear" w:color="auto" w:fill="CCEEFF"/>
          </w:tcPr>
          <w:p>
            <w:pPr>
              <w:spacing w:after="0"/>
              <w:rPr>
                <w:sz w:val="22"/>
                <w:szCs w:val="22"/>
                <w:color w:val="auto"/>
              </w:rPr>
            </w:pP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Percent of total revenue</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right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-1062355</wp:posOffset>
            </wp:positionV>
            <wp:extent cx="13716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-1062355</wp:posOffset>
            </wp:positionV>
            <wp:extent cx="35318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53187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spacing w:after="0"/>
              <w:rPr>
                <w:sz w:val="19"/>
                <w:szCs w:val="19"/>
                <w:color w:val="auto"/>
              </w:rPr>
            </w:pPr>
          </w:p>
        </w:tc>
        <w:tc>
          <w:tcPr>
            <w:tcW w:w="1180" w:type="dxa"/>
            <w:vAlign w:val="bottom"/>
            <w:gridSpan w:val="3"/>
          </w:tcPr>
          <w:p>
            <w:pPr>
              <w:jc w:val="center"/>
              <w:ind w:right="63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Borders>
              <w:top w:val="single" w:sz="8" w:color="auto"/>
            </w:tcBorders>
            <w:gridSpan w:val="3"/>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26,</w:t>
            </w:r>
          </w:p>
        </w:tc>
        <w:tc>
          <w:tcPr>
            <w:tcW w:w="40" w:type="dxa"/>
            <w:vAlign w:val="bottom"/>
          </w:tcPr>
          <w:p>
            <w:pPr>
              <w:spacing w:after="0"/>
              <w:rPr>
                <w:sz w:val="14"/>
                <w:szCs w:val="14"/>
                <w:color w:val="auto"/>
              </w:rPr>
            </w:pPr>
          </w:p>
        </w:tc>
      </w:tr>
      <w:tr>
        <w:trPr>
          <w:trHeight w:val="214"/>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 ​</w:t>
            </w:r>
          </w:p>
        </w:tc>
        <w:tc>
          <w:tcPr>
            <w:tcW w:w="7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accounts receivable balance</w:t>
            </w:r>
          </w:p>
        </w:tc>
        <w:tc>
          <w:tcPr>
            <w:tcW w:w="1240" w:type="dxa"/>
            <w:vAlign w:val="bottom"/>
            <w:tcBorders>
              <w:top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right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5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w:t>
            </w:r>
          </w:p>
        </w:tc>
        <w:tc>
          <w:tcPr>
            <w:tcW w:w="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w:t>
            </w:r>
          </w:p>
        </w:tc>
        <w:tc>
          <w:tcPr>
            <w:tcW w:w="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-676910</wp:posOffset>
            </wp:positionV>
            <wp:extent cx="474916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13 SUBSEQUENT EVENTS</w:t>
      </w:r>
    </w:p>
    <w:p>
      <w:pPr>
        <w:spacing w:after="0" w:line="14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combined financial statements of the Company are derived from the consolidated financial statements of Intel, which were previously issued for the year ended December 25, 2021 on January 26, 2022. Accordingly, the Company has evaluated transactions or other events for consideration as recognized subsequent events in these combined financial statements through January 26, 2022. Additionally, the Company has evaluated transactions and other events that occurred through March 2, 2022, the date these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3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5"/>
          <w:szCs w:val="25"/>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1863090</wp:posOffset>
            </wp:positionH>
            <wp:positionV relativeFrom="paragraph">
              <wp:posOffset>307340</wp:posOffset>
            </wp:positionV>
            <wp:extent cx="3086100" cy="61722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0861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32"/>
          <w:szCs w:val="32"/>
          <w:b w:val="1"/>
          <w:bCs w:val="1"/>
          <w:color w:val="auto"/>
        </w:rPr>
        <w:t>Mobileye Holdings Inc.</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32"/>
          <w:szCs w:val="3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953770</wp:posOffset>
            </wp:positionV>
            <wp:extent cx="234886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236220</wp:posOffset>
            </wp:positionV>
            <wp:extent cx="234886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399"/>
        <w:spacing w:after="0"/>
        <w:tabs>
          <w:tab w:leader="none" w:pos="1880" w:val="left"/>
        </w:tabs>
        <w:rPr>
          <w:sz w:val="20"/>
          <w:szCs w:val="20"/>
          <w:color w:val="auto"/>
        </w:rPr>
      </w:pPr>
      <w:r>
        <w:rPr>
          <w:rFonts w:ascii="Times New Roman" w:cs="Times New Roman" w:eastAsia="Times New Roman" w:hAnsi="Times New Roman"/>
          <w:sz w:val="29"/>
          <w:szCs w:val="29"/>
          <w:b w:val="1"/>
          <w:bCs w:val="1"/>
          <w:color w:val="auto"/>
        </w:rPr>
        <w:t>Goldman Sachs &amp; Co. LLC</w:t>
      </w:r>
      <w:r>
        <w:rPr>
          <w:sz w:val="20"/>
          <w:szCs w:val="20"/>
          <w:color w:val="auto"/>
        </w:rPr>
        <w:tab/>
      </w:r>
      <w:r>
        <w:rPr>
          <w:rFonts w:ascii="Times New Roman" w:cs="Times New Roman" w:eastAsia="Times New Roman" w:hAnsi="Times New Roman"/>
          <w:sz w:val="27"/>
          <w:szCs w:val="27"/>
          <w:b w:val="1"/>
          <w:bCs w:val="1"/>
          <w:color w:val="auto"/>
        </w:rPr>
        <w:t>Morgan Stanley</w:t>
      </w:r>
    </w:p>
    <w:p>
      <w:pPr>
        <w:spacing w:after="0" w:line="200" w:lineRule="exact"/>
        <w:rPr>
          <w:sz w:val="20"/>
          <w:szCs w:val="20"/>
          <w:color w:val="auto"/>
        </w:rPr>
      </w:pPr>
    </w:p>
    <w:p>
      <w:pPr>
        <w:spacing w:after="0" w:line="23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594360</wp:posOffset>
            </wp:positionV>
            <wp:extent cx="52120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62"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and the Financial Industry Regulatory Authority, Inc. (“FINRA”) filing fee.</w:t>
      </w:r>
    </w:p>
    <w:p>
      <w:pPr>
        <w:spacing w:after="0" w:line="14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3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0" w:type="dxa"/>
            <w:vAlign w:val="bottom"/>
            <w:gridSpan w:val="3"/>
          </w:tcPr>
          <w:p>
            <w:pPr>
              <w:ind w:left="32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Be Paid</w:t>
            </w:r>
            <w:r>
              <w:rPr>
                <w:rFonts w:ascii="Times New Roman" w:cs="Times New Roman" w:eastAsia="Times New Roman" w:hAnsi="Times New Roman"/>
                <w:sz w:val="24"/>
                <w:szCs w:val="24"/>
                <w:b w:val="1"/>
                <w:bCs w:val="1"/>
                <w:color w:val="auto"/>
                <w:vertAlign w:val="subscript"/>
              </w:rPr>
              <w:t>​</w:t>
            </w:r>
          </w:p>
        </w:tc>
      </w:tr>
      <w:tr>
        <w:trPr>
          <w:trHeight w:val="20"/>
        </w:trPr>
        <w:tc>
          <w:tcPr>
            <w:tcW w:w="33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Registration fee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Listing fees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Transfer agent and registrar fees and expense</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968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spacing w:after="0" w:line="7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111760</wp:posOffset>
            </wp:positionV>
            <wp:extent cx="123444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86" w:lineRule="exact"/>
        <w:rPr>
          <w:sz w:val="20"/>
          <w:szCs w:val="20"/>
          <w:color w:val="auto"/>
        </w:rPr>
      </w:pPr>
    </w:p>
    <w:p>
      <w:pPr>
        <w:ind w:left="1620" w:hanging="360"/>
        <w:spacing w:after="0"/>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provided by amendment.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60" w:type="dxa"/>
            <w:vAlign w:val="bottom"/>
            <w:gridSpan w:val="3"/>
          </w:tcPr>
          <w:p>
            <w:pPr>
              <w:jc w:val="right"/>
              <w:spacing w:after="0" w:line="247"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63"/>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bottom w:val="single" w:sz="8" w:color="auto"/>
            </w:tcBorders>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20" w:type="dxa"/>
            <w:vAlign w:val="bottom"/>
            <w:tcBorders>
              <w:top w:val="single" w:sz="8" w:color="auto"/>
              <w:bottom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35"/>
                <w:szCs w:val="35"/>
                <w:color w:val="auto"/>
                <w:w w:val="85"/>
                <w:vertAlign w:val="subscript"/>
              </w:rPr>
              <w:t>*</w:t>
            </w:r>
            <w:r>
              <w:rPr>
                <w:rFonts w:ascii="Times New Roman" w:cs="Times New Roman" w:eastAsia="Times New Roman" w:hAnsi="Times New Roman"/>
                <w:sz w:val="18"/>
                <w:szCs w:val="18"/>
                <w:b w:val="1"/>
                <w:bCs w:val="1"/>
                <w:color w:val="auto"/>
                <w:w w:val="85"/>
              </w:rPr>
              <w:t>​</w:t>
            </w: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870" w:lineRule="exact"/>
        <w:rPr>
          <w:sz w:val="20"/>
          <w:szCs w:val="20"/>
          <w:color w:val="auto"/>
        </w:rPr>
      </w:pPr>
    </w:p>
    <w:p>
      <w:pPr>
        <w:sectPr>
          <w:pgSz w:w="11900" w:h="16838" w:orient="portrait"/>
          <w:cols w:equalWidth="0" w:num="2">
            <w:col w:w="7540" w:space="720"/>
            <w:col w:w="1619"/>
          </w:cols>
          <w:pgMar w:left="580" w:top="97" w:right="1440" w:bottom="1440" w:gutter="0" w:footer="0" w:header="0"/>
          <w:type w:val="continuous"/>
        </w:sect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33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w:t>
      </w:r>
    </w:p>
    <w:p>
      <w:pPr>
        <w:spacing w:after="0" w:line="32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899"/>
        <w:spacing w:after="0" w:line="266" w:lineRule="auto"/>
        <w:rPr>
          <w:sz w:val="20"/>
          <w:szCs w:val="20"/>
          <w:color w:val="auto"/>
        </w:rPr>
      </w:pPr>
      <w:r>
        <w:rPr>
          <w:rFonts w:ascii="Times New Roman" w:cs="Times New Roman" w:eastAsia="Times New Roman" w:hAnsi="Times New Roman"/>
          <w:sz w:val="18"/>
          <w:szCs w:val="18"/>
          <w:color w:val="auto"/>
        </w:rPr>
        <w:t>Registrant to advance any expenses incurred by its directors and officers as a result of any proceeding against them as to which they could be indemnified and to obtain and maintain directors’ and officers’ insurance.</w:t>
      </w:r>
    </w:p>
    <w:p>
      <w:pPr>
        <w:spacing w:after="0" w:line="10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12" w:lineRule="exact"/>
        <w:rPr>
          <w:sz w:val="20"/>
          <w:szCs w:val="20"/>
          <w:color w:val="auto"/>
        </w:rPr>
      </w:pPr>
    </w:p>
    <w:p>
      <w:pPr>
        <w:ind w:left="1260" w:right="639" w:firstLine="360"/>
        <w:spacing w:after="0" w:line="275" w:lineRule="auto"/>
        <w:rPr>
          <w:sz w:val="20"/>
          <w:szCs w:val="20"/>
          <w:color w:val="auto"/>
        </w:rPr>
      </w:pPr>
      <w:r>
        <w:rPr>
          <w:rFonts w:ascii="Times New Roman" w:cs="Times New Roman" w:eastAsia="Times New Roman" w:hAnsi="Times New Roman"/>
          <w:sz w:val="18"/>
          <w:szCs w:val="18"/>
          <w:color w:val="auto"/>
        </w:rPr>
        <w:t>The proposed form of underwriting agreement filed as Exhibit 1.1 to this Registration Statement provides for indemnification of directors and officers of the Registrant by the underwriters against certain liabilities.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48"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On January 21, 2022, in connection with the formation of Mobileye Holdings Inc., we sold 100 shares of our common stock, par value $0.01 per share, to Intel Overseas Funding Corporation, a wholly owned subsidiary of Intel Corporation, at par value for an aggregate purchase price of $1.00 pursuant to Section 4(a)(2) of the Securities Act. We intend to effect a recapitalization in connection with the Reorganization (as defined in Part I of this Registration Statement).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75" w:lineRule="exact"/>
        <w:rPr>
          <w:sz w:val="20"/>
          <w:szCs w:val="20"/>
          <w:color w:val="auto"/>
        </w:rPr>
      </w:pPr>
    </w:p>
    <w:p>
      <w:pPr>
        <w:ind w:left="1980" w:hanging="360"/>
        <w:spacing w:after="0"/>
        <w:tabs>
          <w:tab w:leader="none" w:pos="1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exhibit index attached hereto is incorporated herein by reference.</w:t>
      </w:r>
    </w:p>
    <w:p>
      <w:pPr>
        <w:spacing w:after="0" w:line="158" w:lineRule="exact"/>
        <w:rPr>
          <w:sz w:val="20"/>
          <w:szCs w:val="20"/>
          <w:color w:val="auto"/>
        </w:rPr>
      </w:pPr>
    </w:p>
    <w:p>
      <w:pPr>
        <w:ind w:left="1980" w:hanging="360"/>
        <w:spacing w:after="0"/>
        <w:tabs>
          <w:tab w:leader="none" w:pos="1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58"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No financial statement schedules are provided because the information called for is not applicable or is shown in the financial statements or notes thereto.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58" w:lineRule="exact"/>
        <w:rPr>
          <w:sz w:val="20"/>
          <w:szCs w:val="20"/>
          <w:color w:val="auto"/>
        </w:rPr>
      </w:pPr>
    </w:p>
    <w:p>
      <w:pPr>
        <w:ind w:left="2340" w:right="679" w:hanging="360"/>
        <w:spacing w:after="0" w:line="258" w:lineRule="auto"/>
        <w:tabs>
          <w:tab w:leader="none" w:pos="2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 (1) or (4) or 497(h) under the Securities Act shall be deemed to be part of this registration statement as of the time it was declared effective; and</w:t>
      </w:r>
    </w:p>
    <w:p>
      <w:pPr>
        <w:spacing w:after="0" w:line="115" w:lineRule="exact"/>
        <w:rPr>
          <w:rFonts w:ascii="Times New Roman" w:cs="Times New Roman" w:eastAsia="Times New Roman" w:hAnsi="Times New Roman"/>
          <w:sz w:val="18"/>
          <w:szCs w:val="18"/>
          <w:color w:val="auto"/>
        </w:rPr>
      </w:pPr>
    </w:p>
    <w:p>
      <w:pPr>
        <w:ind w:left="2340" w:right="659" w:hanging="360"/>
        <w:spacing w:after="0" w:line="261" w:lineRule="auto"/>
        <w:tabs>
          <w:tab w:leader="none" w:pos="2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ind w:left="24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26"/>
        </w:trPr>
        <w:tc>
          <w:tcPr>
            <w:tcW w:w="6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40" w:type="dxa"/>
            <w:vAlign w:val="bottom"/>
            <w:tcBorders>
              <w:bottom w:val="single" w:sz="8" w:color="auto"/>
            </w:tcBorders>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NO.</w:t>
            </w: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24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42"/>
        </w:trPr>
        <w:tc>
          <w:tcPr>
            <w:tcW w:w="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1.1* </w:t>
            </w:r>
          </w:p>
        </w:tc>
        <w:tc>
          <w:tcPr>
            <w:tcW w:w="2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rPr>
              <w:t>​</w:t>
            </w:r>
          </w:p>
        </w:tc>
        <w:tc>
          <w:tcPr>
            <w:tcW w:w="724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Form of Underwriting Agreement</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3.1*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Certificate of Incorporation of the Registrant</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3.2*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24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Certificate of Amendment to the Certificate of Incorporation of the Registrant</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3.3*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240" w:type="dxa"/>
            <w:vAlign w:val="bottom"/>
          </w:tcPr>
          <w:p>
            <w:pPr>
              <w:spacing w:after="0" w:line="90" w:lineRule="exact"/>
              <w:rPr>
                <w:sz w:val="20"/>
                <w:szCs w:val="20"/>
                <w:color w:val="auto"/>
              </w:rPr>
            </w:pPr>
            <w:r>
              <w:rPr>
                <w:rFonts w:ascii="Times New Roman" w:cs="Times New Roman" w:eastAsia="Times New Roman" w:hAnsi="Times New Roman"/>
                <w:sz w:val="10"/>
                <w:szCs w:val="10"/>
                <w:color w:val="auto"/>
              </w:rPr>
              <w:t>Bylaws of the Registrant of the Registrant</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3.4*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Form of Amended and Restated Certificate of Incorporation of the Registrant, to be in effect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upon completion of this offering</w:t>
            </w:r>
          </w:p>
        </w:tc>
        <w:tc>
          <w:tcPr>
            <w:tcW w:w="0" w:type="dxa"/>
            <w:vAlign w:val="bottom"/>
          </w:tcPr>
          <w:p>
            <w:pPr>
              <w:spacing w:after="0"/>
              <w:rPr>
                <w:sz w:val="1"/>
                <w:szCs w:val="1"/>
                <w:color w:val="auto"/>
              </w:rPr>
            </w:pPr>
          </w:p>
        </w:tc>
      </w:tr>
      <w:tr>
        <w:trPr>
          <w:trHeight w:val="189"/>
        </w:trPr>
        <w:tc>
          <w:tcPr>
            <w:tcW w:w="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3.5* </w:t>
            </w:r>
          </w:p>
        </w:tc>
        <w:tc>
          <w:tcPr>
            <w:tcW w:w="2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2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Form of Amended and Restated Bylaws of the Registrant, to be in effect upon completion of</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this offering</w:t>
            </w:r>
          </w:p>
        </w:tc>
        <w:tc>
          <w:tcPr>
            <w:tcW w:w="0" w:type="dxa"/>
            <w:vAlign w:val="bottom"/>
          </w:tcPr>
          <w:p>
            <w:pPr>
              <w:spacing w:after="0"/>
              <w:rPr>
                <w:sz w:val="1"/>
                <w:szCs w:val="1"/>
                <w:color w:val="auto"/>
              </w:rPr>
            </w:pPr>
          </w:p>
        </w:tc>
      </w:tr>
      <w:tr>
        <w:trPr>
          <w:trHeight w:val="180"/>
        </w:trPr>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xml:space="preserve">5.1* </w:t>
            </w:r>
          </w:p>
        </w:tc>
        <w:tc>
          <w:tcPr>
            <w:tcW w:w="2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0"/>
        </w:trPr>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4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Opinion of Skadden, Arps, Slate, Meagher &amp; Flom LLP</w:t>
            </w:r>
          </w:p>
        </w:tc>
        <w:tc>
          <w:tcPr>
            <w:tcW w:w="0" w:type="dxa"/>
            <w:vAlign w:val="bottom"/>
          </w:tcPr>
          <w:p>
            <w:pPr>
              <w:spacing w:after="0"/>
              <w:rPr>
                <w:sz w:val="1"/>
                <w:szCs w:val="1"/>
                <w:color w:val="auto"/>
              </w:rPr>
            </w:pPr>
          </w:p>
        </w:tc>
      </w:tr>
    </w:tbl>
    <w:p>
      <w:pPr>
        <w:ind w:left="1480" w:hanging="220"/>
        <w:spacing w:after="0" w:line="187" w:lineRule="auto"/>
        <w:tabs>
          <w:tab w:leader="none" w:pos="1480" w:val="left"/>
        </w:tabs>
        <w:numPr>
          <w:ilvl w:val="0"/>
          <w:numId w:val="12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Mobileye Holdings Inc. 2022 Equity Incentive Plan</w:t>
      </w:r>
    </w:p>
    <w:p>
      <w:pPr>
        <w:spacing w:after="0" w:line="1" w:lineRule="exact"/>
        <w:rPr>
          <w:rFonts w:ascii="Times New Roman" w:cs="Times New Roman" w:eastAsia="Times New Roman" w:hAnsi="Times New Roman"/>
          <w:sz w:val="36"/>
          <w:szCs w:val="36"/>
          <w:color w:val="auto"/>
          <w:vertAlign w:val="superscript"/>
        </w:rPr>
      </w:pPr>
    </w:p>
    <w:p>
      <w:pPr>
        <w:ind w:left="1480" w:hanging="220"/>
        <w:spacing w:after="0" w:line="184" w:lineRule="auto"/>
        <w:tabs>
          <w:tab w:leader="none" w:pos="1480" w:val="left"/>
        </w:tabs>
        <w:numPr>
          <w:ilvl w:val="0"/>
          <w:numId w:val="1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Form of Restricted Share Unit Agreement</w:t>
      </w:r>
    </w:p>
    <w:tbl>
      <w:tblPr>
        <w:tblLayout w:type="fixed"/>
        <w:tblInd w:w="1260" w:type="dxa"/>
        <w:tblCellMar>
          <w:top w:w="0" w:type="dxa"/>
          <w:left w:w="0" w:type="dxa"/>
          <w:bottom w:w="0" w:type="dxa"/>
          <w:right w:w="0" w:type="dxa"/>
        </w:tblCellMar>
      </w:tblPr>
      <w:tr>
        <w:trPr>
          <w:trHeight w:val="161"/>
        </w:trPr>
        <w:tc>
          <w:tcPr>
            <w:tcW w:w="14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10.3* </w:t>
            </w:r>
          </w:p>
        </w:tc>
        <w:tc>
          <w:tcPr>
            <w:tcW w:w="7320" w:type="dxa"/>
            <w:vAlign w:val="bottom"/>
          </w:tcPr>
          <w:p>
            <w:pPr>
              <w:ind w:left="100"/>
              <w:spacing w:after="0" w:line="16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3"/>
        </w:trPr>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320" w:type="dxa"/>
            <w:vAlign w:val="bottom"/>
          </w:tcPr>
          <w:p>
            <w:pPr>
              <w:ind w:left="200"/>
              <w:spacing w:after="0" w:line="63" w:lineRule="exact"/>
              <w:rPr>
                <w:sz w:val="20"/>
                <w:szCs w:val="20"/>
                <w:color w:val="auto"/>
              </w:rPr>
            </w:pPr>
            <w:r>
              <w:rPr>
                <w:rFonts w:ascii="Times New Roman" w:cs="Times New Roman" w:eastAsia="Times New Roman" w:hAnsi="Times New Roman"/>
                <w:sz w:val="7"/>
                <w:szCs w:val="7"/>
                <w:color w:val="auto"/>
              </w:rPr>
              <w:t>Form of Indemnification Agreement between the Registrant and each of its Executive Officers</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Directors</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10.4*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Form of Master Transaction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10.5*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Form of Administrative Services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10.6*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Form of Master Technological Services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10.7*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Form of Procurement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10.8*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Form of Tax Sharing Agreement between the Registrant and Intel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21.1*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List of Subsidiaries of the Registrant</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23.1*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03"/>
        </w:trPr>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320" w:type="dxa"/>
            <w:vAlign w:val="bottom"/>
          </w:tcPr>
          <w:p>
            <w:pPr>
              <w:ind w:left="200"/>
              <w:spacing w:after="0" w:line="103" w:lineRule="exact"/>
              <w:rPr>
                <w:sz w:val="20"/>
                <w:szCs w:val="20"/>
                <w:color w:val="auto"/>
              </w:rPr>
            </w:pPr>
            <w:r>
              <w:rPr>
                <w:rFonts w:ascii="Times New Roman" w:cs="Times New Roman" w:eastAsia="Times New Roman" w:hAnsi="Times New Roman"/>
                <w:sz w:val="11"/>
                <w:szCs w:val="11"/>
                <w:color w:val="auto"/>
              </w:rPr>
              <w:t>Consent of Skadden, Arps, Slate, Meagher &amp; Flom LLP (included in Exhibit 5.1)</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23.2*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63"/>
        </w:trPr>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320" w:type="dxa"/>
            <w:vAlign w:val="bottom"/>
          </w:tcPr>
          <w:p>
            <w:pPr>
              <w:ind w:left="200"/>
              <w:spacing w:after="0" w:line="63" w:lineRule="exact"/>
              <w:rPr>
                <w:sz w:val="20"/>
                <w:szCs w:val="20"/>
                <w:color w:val="auto"/>
              </w:rPr>
            </w:pPr>
            <w:r>
              <w:rPr>
                <w:rFonts w:ascii="Times New Roman" w:cs="Times New Roman" w:eastAsia="Times New Roman" w:hAnsi="Times New Roman"/>
                <w:sz w:val="7"/>
                <w:szCs w:val="7"/>
                <w:color w:val="auto"/>
              </w:rPr>
              <w:t>Consent of Kesselman &amp; Kesselman, Certified Public Accountants (Isr.), a member firm of</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PricewaterhouseCoopers International Limited, an independent registered public accounting</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firm.</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24.1 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Powers of Attorney (included on the signature pages)</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99.1*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Consent of Eyal Desheh</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99.2*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Consent of Jon M. Huntsman, Jr.</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99.3*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Consent of Claire C. McCaskill</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99.4*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Consent of Christine Pambianchi</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99.5*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90"/>
        </w:trPr>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320" w:type="dxa"/>
            <w:vAlign w:val="bottom"/>
          </w:tcPr>
          <w:p>
            <w:pPr>
              <w:ind w:left="200"/>
              <w:spacing w:after="0" w:line="90" w:lineRule="exact"/>
              <w:rPr>
                <w:sz w:val="20"/>
                <w:szCs w:val="20"/>
                <w:color w:val="auto"/>
              </w:rPr>
            </w:pPr>
            <w:r>
              <w:rPr>
                <w:rFonts w:ascii="Times New Roman" w:cs="Times New Roman" w:eastAsia="Times New Roman" w:hAnsi="Times New Roman"/>
                <w:sz w:val="10"/>
                <w:szCs w:val="10"/>
                <w:color w:val="auto"/>
              </w:rPr>
              <w:t>Consent of Frank D. Yeary</w:t>
            </w:r>
          </w:p>
        </w:tc>
        <w:tc>
          <w:tcPr>
            <w:tcW w:w="0" w:type="dxa"/>
            <w:vAlign w:val="bottom"/>
          </w:tcPr>
          <w:p>
            <w:pPr>
              <w:spacing w:after="0"/>
              <w:rPr>
                <w:sz w:val="1"/>
                <w:szCs w:val="1"/>
                <w:color w:val="auto"/>
              </w:rPr>
            </w:pPr>
          </w:p>
        </w:tc>
      </w:tr>
      <w:tr>
        <w:trPr>
          <w:trHeight w:val="180"/>
        </w:trPr>
        <w:tc>
          <w:tcPr>
            <w:tcW w:w="1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107* </w:t>
            </w:r>
          </w:p>
        </w:tc>
        <w:tc>
          <w:tcPr>
            <w:tcW w:w="732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74295</wp:posOffset>
            </wp:positionV>
            <wp:extent cx="123444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7" w:lineRule="exact"/>
        <w:rPr>
          <w:sz w:val="20"/>
          <w:szCs w:val="20"/>
          <w:color w:val="auto"/>
        </w:rPr>
      </w:pPr>
    </w:p>
    <w:p>
      <w:pPr>
        <w:ind w:left="1620" w:hanging="360"/>
        <w:spacing w:after="0"/>
        <w:tabs>
          <w:tab w:leader="none" w:pos="1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90" w:lineRule="exact"/>
        <w:rPr>
          <w:sz w:val="20"/>
          <w:szCs w:val="20"/>
          <w:color w:val="auto"/>
        </w:rPr>
      </w:pPr>
    </w:p>
    <w:p>
      <w:pPr>
        <w:ind w:left="1620" w:hanging="360"/>
        <w:spacing w:after="0"/>
        <w:tabs>
          <w:tab w:leader="none" w:pos="1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type w:val="continuous"/>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Jerusalem, Israel, on                     , 2022.</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 ​</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Mobileye Holdings Inc.</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 ​</w:t>
            </w:r>
          </w:p>
        </w:tc>
        <w:tc>
          <w:tcPr>
            <w:tcW w:w="4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8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By:    </w:t>
            </w:r>
          </w:p>
        </w:tc>
        <w:tc>
          <w:tcPr>
            <w:tcW w:w="60" w:type="dxa"/>
            <w:vAlign w:val="bottom"/>
          </w:tcPr>
          <w:p>
            <w:pPr>
              <w:spacing w:after="0"/>
              <w:rPr>
                <w:sz w:val="21"/>
                <w:szCs w:val="21"/>
                <w:color w:val="auto"/>
              </w:rPr>
            </w:pPr>
          </w:p>
        </w:tc>
      </w:tr>
      <w:tr>
        <w:trPr>
          <w:trHeight w:val="54"/>
        </w:trPr>
        <w:tc>
          <w:tcPr>
            <w:tcW w:w="18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32"/>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Name:  Professor Amnon Shashua</w:t>
            </w:r>
          </w:p>
        </w:tc>
        <w:tc>
          <w:tcPr>
            <w:tcW w:w="60" w:type="dxa"/>
            <w:vAlign w:val="bottom"/>
          </w:tcPr>
          <w:p>
            <w:pPr>
              <w:spacing w:after="0"/>
              <w:rPr>
                <w:sz w:val="20"/>
                <w:szCs w:val="20"/>
                <w:color w:val="auto"/>
              </w:rPr>
            </w:pPr>
          </w:p>
        </w:tc>
      </w:tr>
      <w:tr>
        <w:trPr>
          <w:trHeight w:val="234"/>
        </w:trPr>
        <w:tc>
          <w:tcPr>
            <w:tcW w:w="18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President</w:t>
            </w:r>
          </w:p>
        </w:tc>
        <w:tc>
          <w:tcPr>
            <w:tcW w:w="60" w:type="dxa"/>
            <w:vAlign w:val="bottom"/>
          </w:tcPr>
          <w:p>
            <w:pPr>
              <w:spacing w:after="0"/>
              <w:rPr>
                <w:sz w:val="20"/>
                <w:szCs w:val="20"/>
                <w:color w:val="auto"/>
              </w:rPr>
            </w:pPr>
          </w:p>
        </w:tc>
      </w:tr>
    </w:tbl>
    <w:p>
      <w:pPr>
        <w:spacing w:after="0" w:line="19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6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KNOW ALL BY THESE PRESENT, that each person whose signature appears below constitutes and appoints               ,               , and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343"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indicated on the date indicated below:</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Borders>
              <w:bottom w:val="single" w:sz="8" w:color="auto"/>
            </w:tcBorders>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60" w:type="dxa"/>
            <w:vAlign w:val="bottom"/>
            <w:tcBorders>
              <w:bottom w:val="single" w:sz="8" w:color="auto"/>
            </w:tcBorders>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2"/>
        </w:trPr>
        <w:tc>
          <w:tcPr>
            <w:tcW w:w="180" w:type="dxa"/>
            <w:vAlign w:val="bottom"/>
          </w:tcPr>
          <w:p>
            <w:pPr>
              <w:spacing w:after="0"/>
              <w:rPr>
                <w:sz w:val="24"/>
                <w:szCs w:val="24"/>
                <w:color w:val="auto"/>
              </w:rPr>
            </w:pPr>
          </w:p>
        </w:tc>
        <w:tc>
          <w:tcPr>
            <w:tcW w:w="2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4"/>
                <w:szCs w:val="24"/>
                <w:color w:val="auto"/>
              </w:rPr>
            </w:pPr>
          </w:p>
        </w:tc>
        <w:tc>
          <w:tcPr>
            <w:tcW w:w="3240" w:type="dxa"/>
            <w:vAlign w:val="bottom"/>
            <w:gridSpan w:val="3"/>
          </w:tcPr>
          <w:p>
            <w:pPr>
              <w:jc w:val="center"/>
              <w:ind w:right="115"/>
              <w:spacing w:after="0"/>
              <w:rPr>
                <w:sz w:val="20"/>
                <w:szCs w:val="20"/>
                <w:color w:val="auto"/>
              </w:rPr>
            </w:pPr>
            <w:r>
              <w:rPr>
                <w:rFonts w:ascii="Times New Roman" w:cs="Times New Roman" w:eastAsia="Times New Roman" w:hAnsi="Times New Roman"/>
                <w:sz w:val="18"/>
                <w:szCs w:val="18"/>
                <w:color w:val="auto"/>
              </w:rPr>
              <w:t>Chief Executive Officer, President, and</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8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Director</w:t>
            </w: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80" w:type="dxa"/>
            <w:vAlign w:val="bottom"/>
          </w:tcPr>
          <w:p>
            <w:pPr>
              <w:spacing w:after="0"/>
              <w:rPr>
                <w:sz w:val="10"/>
                <w:szCs w:val="10"/>
                <w:color w:val="auto"/>
              </w:rPr>
            </w:pPr>
          </w:p>
        </w:tc>
        <w:tc>
          <w:tcPr>
            <w:tcW w:w="2420" w:type="dxa"/>
            <w:vAlign w:val="bottom"/>
            <w:vMerge w:val="restart"/>
          </w:tcPr>
          <w:p>
            <w:pPr>
              <w:jc w:val="center"/>
              <w:ind w:right="113"/>
              <w:spacing w:after="0"/>
              <w:rPr>
                <w:sz w:val="20"/>
                <w:szCs w:val="20"/>
                <w:color w:val="auto"/>
              </w:rPr>
            </w:pPr>
            <w:r>
              <w:rPr>
                <w:rFonts w:ascii="Times New Roman" w:cs="Times New Roman" w:eastAsia="Times New Roman" w:hAnsi="Times New Roman"/>
                <w:sz w:val="18"/>
                <w:szCs w:val="18"/>
                <w:color w:val="auto"/>
              </w:rPr>
              <w:t>Professor Amnon Shashua</w:t>
            </w:r>
          </w:p>
        </w:tc>
        <w:tc>
          <w:tcPr>
            <w:tcW w:w="20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240" w:type="dxa"/>
            <w:vAlign w:val="bottom"/>
            <w:gridSpan w:val="3"/>
            <w:vMerge w:val="restart"/>
          </w:tcPr>
          <w:p>
            <w:pPr>
              <w:jc w:val="center"/>
              <w:ind w:right="115"/>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40" w:type="dxa"/>
            <w:vAlign w:val="bottom"/>
            <w:gridSpan w:val="3"/>
            <w:vMerge w:val="continue"/>
          </w:tcPr>
          <w:p>
            <w:pPr>
              <w:spacing w:after="0"/>
              <w:rPr>
                <w:sz w:val="10"/>
                <w:szCs w:val="10"/>
                <w:color w:val="auto"/>
              </w:rPr>
            </w:pPr>
          </w:p>
        </w:tc>
        <w:tc>
          <w:tcPr>
            <w:tcW w:w="2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1"/>
        </w:trPr>
        <w:tc>
          <w:tcPr>
            <w:tcW w:w="180" w:type="dxa"/>
            <w:vAlign w:val="bottom"/>
          </w:tcPr>
          <w:p>
            <w:pPr>
              <w:spacing w:after="0"/>
              <w:rPr>
                <w:sz w:val="24"/>
                <w:szCs w:val="24"/>
                <w:color w:val="auto"/>
              </w:rPr>
            </w:pPr>
          </w:p>
        </w:tc>
        <w:tc>
          <w:tcPr>
            <w:tcW w:w="2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4"/>
                <w:szCs w:val="24"/>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w:t>
            </w: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Accounting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180" w:type="dxa"/>
            <w:vAlign w:val="bottom"/>
            <w:tcBorders>
              <w:bottom w:val="single" w:sz="8" w:color="auto"/>
            </w:tcBorders>
          </w:tcPr>
          <w:p>
            <w:pPr>
              <w:spacing w:after="0"/>
              <w:rPr>
                <w:sz w:val="6"/>
                <w:szCs w:val="6"/>
                <w:color w:val="auto"/>
              </w:rPr>
            </w:pPr>
          </w:p>
        </w:tc>
        <w:tc>
          <w:tcPr>
            <w:tcW w:w="24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2420" w:type="dxa"/>
            <w:vAlign w:val="bottom"/>
            <w:vMerge w:val="restart"/>
          </w:tcPr>
          <w:p>
            <w:pPr>
              <w:jc w:val="center"/>
              <w:ind w:right="93"/>
              <w:spacing w:after="0"/>
              <w:rPr>
                <w:sz w:val="20"/>
                <w:szCs w:val="20"/>
                <w:color w:val="auto"/>
              </w:rPr>
            </w:pPr>
            <w:r>
              <w:rPr>
                <w:rFonts w:ascii="Times New Roman" w:cs="Times New Roman" w:eastAsia="Times New Roman" w:hAnsi="Times New Roman"/>
                <w:sz w:val="18"/>
                <w:szCs w:val="18"/>
                <w:color w:val="auto"/>
              </w:rPr>
              <w:t>Anat Heller</w:t>
            </w:r>
          </w:p>
        </w:tc>
        <w:tc>
          <w:tcPr>
            <w:tcW w:w="20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80" w:type="dxa"/>
            <w:vAlign w:val="bottom"/>
          </w:tcPr>
          <w:p>
            <w:pPr>
              <w:spacing w:after="0"/>
              <w:rPr>
                <w:sz w:val="8"/>
                <w:szCs w:val="8"/>
                <w:color w:val="auto"/>
              </w:rPr>
            </w:pPr>
          </w:p>
        </w:tc>
        <w:tc>
          <w:tcPr>
            <w:tcW w:w="24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2"/>
                <w:szCs w:val="2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24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 xml:space="preserve">   </w:t>
            </w:r>
          </w:p>
        </w:tc>
        <w:tc>
          <w:tcPr>
            <w:tcW w:w="200" w:type="dxa"/>
            <w:vAlign w:val="bottom"/>
          </w:tcPr>
          <w:p>
            <w:pPr>
              <w:spacing w:after="0"/>
              <w:rPr>
                <w:sz w:val="24"/>
                <w:szCs w:val="24"/>
                <w:color w:val="auto"/>
              </w:rPr>
            </w:pPr>
          </w:p>
        </w:tc>
        <w:tc>
          <w:tcPr>
            <w:tcW w:w="3240" w:type="dxa"/>
            <w:vAlign w:val="bottom"/>
            <w:gridSpan w:val="3"/>
          </w:tcPr>
          <w:p>
            <w:pPr>
              <w:jc w:val="center"/>
              <w:ind w:right="115"/>
              <w:spacing w:after="0"/>
              <w:rPr>
                <w:sz w:val="20"/>
                <w:szCs w:val="20"/>
                <w:color w:val="auto"/>
              </w:rPr>
            </w:pPr>
            <w:r>
              <w:rPr>
                <w:rFonts w:ascii="Times New Roman" w:cs="Times New Roman" w:eastAsia="Times New Roman" w:hAnsi="Times New Roman"/>
                <w:sz w:val="18"/>
                <w:szCs w:val="18"/>
                <w:color w:val="auto"/>
              </w:rPr>
              <w:t>Chair of the Board of Directors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2420" w:type="dxa"/>
            <w:vAlign w:val="bottom"/>
          </w:tcPr>
          <w:p>
            <w:pPr>
              <w:jc w:val="center"/>
              <w:ind w:right="113"/>
              <w:spacing w:after="0"/>
              <w:rPr>
                <w:sz w:val="20"/>
                <w:szCs w:val="20"/>
                <w:color w:val="auto"/>
              </w:rPr>
            </w:pPr>
            <w:r>
              <w:rPr>
                <w:rFonts w:ascii="Times New Roman" w:cs="Times New Roman" w:eastAsia="Times New Roman" w:hAnsi="Times New Roman"/>
                <w:sz w:val="18"/>
                <w:szCs w:val="18"/>
                <w:color w:val="auto"/>
              </w:rPr>
              <w:t>Patrick P. Gelsinger</w:t>
            </w: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1)"/>
      <w:numFmt w:val="decimal"/>
      <w:start w:val="3"/>
    </w:lvl>
    <w:lvl w:ilvl="1">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
      <w:numFmt w:val="bullet"/>
      <w:start w:val="1"/>
    </w:lvl>
  </w:abstractNum>
  <w:abstractNum w:abstractNumId="21">
    <w:nsid w:val="1EBA5D23"/>
    <w:multiLevelType w:val="hybridMultilevel"/>
    <w:lvl w:ilvl="0">
      <w:lvlJc w:val="left"/>
      <w:lvlText w:val=" "/>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1)"/>
      <w:numFmt w:val="decimal"/>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
      <w:numFmt w:val="bullet"/>
      <w:start w:val="1"/>
    </w:lvl>
  </w:abstractNum>
  <w:abstractNum w:abstractNumId="39">
    <w:nsid w:val="14330624"/>
    <w:multiLevelType w:val="hybridMultilevel"/>
    <w:lvl w:ilvl="0">
      <w:lvlJc w:val="left"/>
      <w:lvlText w:val=" "/>
      <w:numFmt w:val="bullet"/>
      <w:start w:val="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2"/>
    </w:lvl>
  </w:abstractNum>
  <w:abstractNum w:abstractNumId="46">
    <w:nsid w:val="6F6DD9AC"/>
    <w:multiLevelType w:val="hybridMultilevel"/>
    <w:lvl w:ilvl="0">
      <w:lvlJc w:val="left"/>
      <w:lvlText w:val="(%1)"/>
      <w:numFmt w:val="upperLetter"/>
      <w:start w:val="1"/>
    </w:lvl>
  </w:abstractNum>
  <w:abstractNum w:abstractNumId="47">
    <w:nsid w:val="94211F2"/>
    <w:multiLevelType w:val="hybridMultilevel"/>
    <w:lvl w:ilvl="0">
      <w:lvlJc w:val="left"/>
      <w:lvlText w:val="(%1)"/>
      <w:numFmt w:val="upperLetter"/>
      <w:start w:val="7"/>
    </w:lvl>
  </w:abstractNum>
  <w:abstractNum w:abstractNumId="48">
    <w:nsid w:val="885E1B"/>
    <w:multiLevelType w:val="hybridMultilevel"/>
    <w:lvl w:ilvl="0">
      <w:lvlJc w:val="left"/>
      <w:lvlText w:val="(%1)"/>
      <w:numFmt w:val="upperLetter"/>
      <w:start w:val="9"/>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1)"/>
      <w:numFmt w:val="decimal"/>
      <w:start w:val="3"/>
    </w:lvl>
    <w:lvl w:ilvl="1">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1)"/>
      <w:numFmt w:val="decimal"/>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1)"/>
      <w:numFmt w:val="lowerRoman"/>
      <w:start w:val="1"/>
    </w:lvl>
  </w:abstractNum>
  <w:abstractNum w:abstractNumId="84">
    <w:nsid w:val="71C91298"/>
    <w:multiLevelType w:val="hybridMultilevel"/>
    <w:lvl w:ilvl="0">
      <w:lvlJc w:val="left"/>
      <w:lvlText w:val="(%1)"/>
      <w:numFmt w:val="decimal"/>
      <w:start w:val="1"/>
    </w:lvl>
  </w:abstractNum>
  <w:abstractNum w:abstractNumId="85">
    <w:nsid w:val="9DAF632"/>
    <w:multiLevelType w:val="hybridMultilevel"/>
    <w:lvl w:ilvl="0">
      <w:lvlJc w:val="left"/>
      <w:lvlText w:val="(%1)"/>
      <w:numFmt w:val="decimal"/>
      <w:start w:val="1"/>
    </w:lvl>
  </w:abstractNum>
  <w:abstractNum w:abstractNumId="86">
    <w:nsid w:val="53299938"/>
    <w:multiLevelType w:val="hybridMultilevel"/>
    <w:lvl w:ilvl="0">
      <w:lvlJc w:val="left"/>
      <w:lvlText w:val="(%1)"/>
      <w:numFmt w:val="decimal"/>
      <w:start w:val="4"/>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1)"/>
      <w:numFmt w:val="decimal"/>
      <w:start w:val="1"/>
    </w:lvl>
  </w:abstractNum>
  <w:abstractNum w:abstractNumId="89">
    <w:nsid w:val="1D545C4D"/>
    <w:multiLevelType w:val="hybridMultilevel"/>
    <w:lvl w:ilvl="0">
      <w:lvlJc w:val="left"/>
      <w:lvlText w:val="(%1)"/>
      <w:numFmt w:val="decimal"/>
      <w:start w:val="5"/>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
      <w:numFmt w:val="bullet"/>
      <w:start w:val="1"/>
    </w:lvl>
  </w:abstractNum>
  <w:abstractNum w:abstractNumId="95">
    <w:nsid w:val="51088277"/>
    <w:multiLevelType w:val="hybridMultilevel"/>
    <w:lvl w:ilvl="0">
      <w:lvlJc w:val="left"/>
      <w:lvlText w:val="(%1)"/>
      <w:numFmt w:val="decimal"/>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decimal"/>
      <w:start w:val="2"/>
    </w:lvl>
  </w:abstractNum>
  <w:abstractNum w:abstractNumId="101">
    <w:nsid w:val="45E6D486"/>
    <w:multiLevelType w:val="hybridMultilevel"/>
    <w:lvl w:ilvl="0">
      <w:lvlJc w:val="left"/>
      <w:lvlText w:val="(%1)"/>
      <w:numFmt w:val="decimal"/>
      <w:start w:val="1"/>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1)"/>
      <w:numFmt w:val="decimal"/>
      <w:start w:val="3"/>
    </w:lvl>
  </w:abstractNum>
  <w:abstractNum w:abstractNumId="106">
    <w:nsid w:val="78DF6A55"/>
    <w:multiLevelType w:val="hybridMultilevel"/>
    <w:lvl w:ilvl="0">
      <w:lvlJc w:val="left"/>
      <w:lvlText w:val="(%1)"/>
      <w:numFmt w:val="lowerLetter"/>
      <w:start w:val="1"/>
    </w:lvl>
  </w:abstractNum>
  <w:abstractNum w:abstractNumId="107">
    <w:nsid w:val="39B7AAA2"/>
    <w:multiLevelType w:val="hybridMultilevel"/>
    <w:lvl w:ilvl="0">
      <w:lvlJc w:val="left"/>
      <w:lvlText w:val="(%1)"/>
      <w:numFmt w:val="lowerLetter"/>
      <w:start w:val="1"/>
    </w:lvl>
  </w:abstractNum>
  <w:abstractNum w:abstractNumId="108">
    <w:nsid w:val="2B0D8DBE"/>
    <w:multiLevelType w:val="hybridMultilevel"/>
    <w:lvl w:ilvl="0">
      <w:lvlJc w:val="left"/>
      <w:lvlText w:val="(%1)"/>
      <w:numFmt w:val="lowerLetter"/>
      <w:start w:val="2"/>
    </w:lvl>
  </w:abstractNum>
  <w:abstractNum w:abstractNumId="109">
    <w:nsid w:val="6C80EC70"/>
    <w:multiLevelType w:val="hybridMultilevel"/>
    <w:lvl w:ilvl="0">
      <w:lvlJc w:val="left"/>
      <w:lvlText w:val="(%1)"/>
      <w:numFmt w:val="decimal"/>
      <w:start w:val="2"/>
    </w:lvl>
  </w:abstractNum>
  <w:abstractNum w:abstractNumId="110">
    <w:nsid w:val="379E21B5"/>
    <w:multiLevelType w:val="hybridMultilevel"/>
    <w:lvl w:ilvl="0">
      <w:lvlJc w:val="left"/>
      <w:lvlText w:val="(%1)"/>
      <w:numFmt w:val="decimal"/>
      <w:start w:val="3"/>
    </w:lvl>
  </w:abstractNum>
  <w:abstractNum w:abstractNumId="111">
    <w:nsid w:val="69E373"/>
    <w:multiLevelType w:val="hybridMultilevel"/>
    <w:lvl w:ilvl="0">
      <w:lvlJc w:val="left"/>
      <w:lvlText w:val="(%1)"/>
      <w:numFmt w:val="decimal"/>
      <w:start w:val="5"/>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1)"/>
      <w:numFmt w:val="lowerRoman"/>
      <w:start w:val="1"/>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
      <w:numFmt w:val="bullet"/>
      <w:start w:val="1"/>
    </w:lvl>
  </w:abstractNum>
  <w:abstractNum w:abstractNumId="118">
    <w:nsid w:val="3DB012B3"/>
    <w:multiLevelType w:val="hybridMultilevel"/>
    <w:lvl w:ilvl="0">
      <w:lvlJc w:val="left"/>
      <w:lvlText w:val="%1."/>
      <w:numFmt w:val="lowerLetter"/>
      <w:start w:val="1"/>
    </w:lvl>
  </w:abstractNum>
  <w:abstractNum w:abstractNumId="119">
    <w:nsid w:val="2708C9AF"/>
    <w:multiLevelType w:val="hybridMultilevel"/>
    <w:lvl w:ilvl="0">
      <w:lvlJc w:val="left"/>
      <w:lvlText w:val="%1."/>
      <w:numFmt w:val="lowerLetter"/>
      <w:start w:val="2"/>
    </w:lvl>
  </w:abstractNum>
  <w:abstractNum w:abstractNumId="120">
    <w:nsid w:val="5B25ACE2"/>
    <w:multiLevelType w:val="hybridMultilevel"/>
    <w:lvl w:ilvl="0">
      <w:lvlJc w:val="left"/>
      <w:lvlText w:val="%1)"/>
      <w:numFmt w:val="decimal"/>
      <w:start w:val="1"/>
    </w:lvl>
  </w:abstractNum>
  <w:abstractNum w:abstractNumId="121">
    <w:nsid w:val="175DFCF0"/>
    <w:multiLevelType w:val="hybridMultilevel"/>
    <w:lvl w:ilvl="0">
      <w:lvlJc w:val="left"/>
      <w:lvlText w:val="​"/>
      <w:numFmt w:val="bullet"/>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2022-10-01T05:25:18Z</dcterms:created>
  <dcterms:modified xsi:type="dcterms:W3CDTF">2022-10-01T05:25:18Z</dcterms:modified>
</cp:coreProperties>
</file>