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Mobileye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60741F104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Manulife Financial Corporation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Manulife Investment Management (US)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14,211,879.00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14,211,879.00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14,211,879.00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14.28 %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Mobileye Global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Har Hotzvim, 1 Shlomo Mono HaLevi Street Jerusalem 9777015, Israel</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filing is made on behalf of Manulife Financial Corporation ("MFC") and MFC's indirect, wholly-owned subsidiary, Manulife Investment Management (US) LLC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offices of MFC is located at 200 Bloor Street East, Toronto, Ontario, Canada, M4W 1E5. The principal business office of MIM (US) is located at 197 Clarendon Street,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MFC is organized and exists under the laws of Canada. MIM (US) is organized and exists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jc w:val="left"/>
              <w:rPr/>
            </w:pPr>
            <w:r>
              <w:rPr/>
              <w:t xml:space="preserve">CUSIP No.: </w:t>
            </w:r>
          </w:p>
          <w:p>
            <w:pPr>
              <w:pStyle w:val="TableContents"/>
              <w:bidi w:val="0"/>
              <w:spacing w:before="0" w:after="0"/>
              <w:jc w:val="left"/>
              <w:rPr/>
            </w:pPr>
            <w:r>
              <w:rPr/>
              <w:t>60741F104</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MIM (US) has beneficial ownership of 14,211,879 shares of Common Stock. Through its parent-subsidiary relationship to MIM (US) and MFC may be deemed to have beneficial ownership of these same shares.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Of the 99,548,127 shares of Common Stock outstanding as of July 31, 2024, according to the Form 10-Q filed by the issuer with the Securities and Exchange Commission on August 7, 2024, MIM (US) held 14.28%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Incorporated by reference to Item 5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Incorporated by reference to Item 6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Incorporated by reference to Item 7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Incorporated by reference to Item 8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Items 3 and 4 above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0"/>
        <w:gridCol w:w="9085"/>
      </w:tblGrid>
      <w:tr>
        <w:trPr/>
        <w:tc>
          <w:tcPr>
            <w:tcW w:w="1120" w:type="dxa"/>
            <w:tcBorders/>
            <w:vAlign w:val="center"/>
          </w:tcPr>
          <w:p>
            <w:pPr>
              <w:pStyle w:val="TableContents"/>
              <w:bidi w:val="0"/>
              <w:spacing w:before="0" w:after="283"/>
              <w:jc w:val="left"/>
              <w:rPr/>
            </w:pPr>
            <w:r>
              <w:rPr/>
              <w:t>Item 10.</w:t>
            </w:r>
          </w:p>
        </w:tc>
        <w:tc>
          <w:tcPr>
            <w:tcW w:w="9085" w:type="dxa"/>
            <w:tcBorders/>
            <w:vAlign w:val="center"/>
          </w:tcPr>
          <w:p>
            <w:pPr>
              <w:pStyle w:val="TableContents"/>
              <w:bidi w:val="0"/>
              <w:spacing w:before="0" w:after="283"/>
              <w:jc w:val="left"/>
              <w:rPr/>
            </w:pPr>
            <w:r>
              <w:rPr/>
              <w:t>Certifications:</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By signing below I certify that, to the best of my knowledge and belief, the foreign regulatory scheme applicable to Particular category of institutional investor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Manulife Financial Corporation</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Graham Miller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Graham Miller / Agent*</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02/04/2025</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Manulife Investment Management (US)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Paul M. Donahue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Paul Donahue / Chief Compliance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*Signed pursuant to a Power of Attorney dated January 17, 2018 included as Exhibit A to Schedule 13F- NT filed with the Securities and Exchange Commission by Manulife Financial Corporation on January 29, 2018. 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NOTE: Schedules filed in paper format shall include a signed original and five copies of the schedule, including all exhibits. See ss.240.13d-7 for other parties for whom copies are to be sent. Attention: Intentional misstatements or omissions of fact constitute Federal criminal violations (See 18 U.S.C. 1001)</w:t>
      </w:r>
    </w:p>
    <w:tbl>
      <w:tblPr>
        <w:tblW w:w="4681" w:type="dxa"/>
        <w:jc w:val="left"/>
        <w:tblInd w:w="0" w:type="dxa"/>
        <w:tblLayout w:type="fixed"/>
        <w:tblCellMar>
          <w:top w:w="28" w:type="dxa"/>
          <w:left w:w="28" w:type="dxa"/>
          <w:bottom w:w="28" w:type="dxa"/>
          <w:right w:w="28" w:type="dxa"/>
        </w:tblCellMar>
      </w:tblPr>
      <w:tblGrid>
        <w:gridCol w:w="4681"/>
      </w:tblGrid>
      <w:tr>
        <w:trPr/>
        <w:tc>
          <w:tcPr>
            <w:tcW w:w="4681" w:type="dxa"/>
            <w:tcBorders/>
            <w:vAlign w:val="center"/>
          </w:tcPr>
          <w:p>
            <w:pPr>
              <w:pStyle w:val="TableContents"/>
              <w:bidi w:val="0"/>
              <w:spacing w:before="0" w:after="283"/>
              <w:jc w:val="center"/>
              <w:rPr>
                <w:b/>
              </w:rPr>
            </w:pPr>
            <w:r>
              <w:rPr>
                <w:b/>
              </w:rPr>
              <w:t xml:space="preserve">Exhibit Information </w:t>
            </w:r>
          </w:p>
        </w:tc>
      </w:tr>
      <w:tr>
        <w:trPr/>
        <w:tc>
          <w:tcPr>
            <w:tcW w:w="4681" w:type="dxa"/>
            <w:tcBorders/>
            <w:vAlign w:val="center"/>
          </w:tcPr>
          <w:p>
            <w:pPr>
              <w:pStyle w:val="TableContents"/>
              <w:bidi w:val="0"/>
              <w:spacing w:before="0" w:after="283"/>
              <w:jc w:val="left"/>
              <w:rPr/>
            </w:pPr>
            <w:r>
              <w:rPr/>
              <w:t>EXHIBIT A - JOINT FILING AGREEMENT</w:t>
            </w:r>
          </w:p>
        </w:tc>
      </w:tr>
    </w:tbl>
    <w:p>
      <w:pPr>
        <w:pStyle w:val="TextBody"/>
        <w:bidi w:val="0"/>
        <w:ind w:left="0" w:right="0" w:hanging="0"/>
        <w:jc w:val="left"/>
        <w:rPr>
          <w:rFonts w:ascii="Arial;Helvetica;Sans-Serif" w:hAnsi="Arial;Helvetica;Sans-Serif"/>
          <w:b/>
          <w:i w:val="false"/>
          <w:caps w:val="false"/>
          <w:smallCaps w:val="false"/>
          <w:sz w:val="20"/>
        </w:rPr>
      </w:pPr>
      <w:bookmarkStart w:id="20" w:name="mblyb4442681-ex99a.htm"/>
      <w:bookmarkStart w:id="21" w:name="ksmblyb4442681ex99a"/>
      <w:bookmarkEnd w:id="20"/>
      <w:bookmarkEnd w:id="21"/>
      <w:r>
        <w:rPr>
          <w:rFonts w:ascii="Arial;Helvetica;Sans-Serif" w:hAnsi="Arial;Helvetica;Sans-Serif"/>
          <w:b/>
          <w:i w:val="false"/>
          <w:caps w:val="false"/>
          <w:smallCaps w:val="false"/>
          <w:sz w:val="20"/>
        </w:rPr>
        <w:t>EXHIBIT A</w:t>
      </w:r>
      <w:r>
        <w:br w:type="page"/>
      </w:r>
    </w:p>
    <w:p>
      <w:pPr>
        <w:pStyle w:val="TextBody"/>
        <w:bidi w:val="0"/>
        <w:jc w:val="center"/>
        <w:rPr>
          <w:rFonts w:ascii="Arial;Helvetica;Sans-Serif" w:hAnsi="Arial;Helvetica;Sans-Serif"/>
          <w:b w:val="false"/>
          <w:i w:val="false"/>
          <w:caps w:val="false"/>
          <w:smallCaps w:val="false"/>
          <w:sz w:val="20"/>
          <w:u w:val="single"/>
        </w:rPr>
      </w:pPr>
      <w:r>
        <w:rPr>
          <w:rFonts w:ascii="Arial;Helvetica;Sans-Serif" w:hAnsi="Arial;Helvetica;Sans-Serif"/>
          <w:b w:val="false"/>
          <w:i w:val="false"/>
          <w:caps w:val="false"/>
          <w:smallCaps w:val="false"/>
          <w:sz w:val="20"/>
          <w:u w:val="single"/>
        </w:rPr>
        <w:t>JOINT FILING AGREEMENT</w:t>
      </w:r>
    </w:p>
    <w:p>
      <w:pPr>
        <w:pStyle w:val="TextBody"/>
        <w:bidi w:val="0"/>
        <w:jc w:val="left"/>
        <w:rPr>
          <w:caps w:val="false"/>
          <w:smallCaps w:val="false"/>
        </w:rPr>
      </w:pPr>
      <w:r>
        <w:rPr>
          <w:caps w:val="false"/>
          <w:smallCaps w:val="false"/>
        </w:rPr>
        <w:t> </w:t>
      </w:r>
    </w:p>
    <w:p>
      <w:pPr>
        <w:pStyle w:val="TextBody"/>
        <w:bidi w:val="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Manulife Financial Corporation, Manulife Investment Management Limited and Manulife Investment Management (US) LLC agree that the Schedule 13G (Amendment No.9) to which this Agreement is attached, relating to the Common Stock of Evans Bancorp, Inc., is filed on behalf of each of them.</w:t>
      </w:r>
    </w:p>
    <w:tbl>
      <w:tblPr>
        <w:tblW w:w="2840" w:type="dxa"/>
        <w:jc w:val="left"/>
        <w:tblInd w:w="0" w:type="dxa"/>
        <w:tblLayout w:type="fixed"/>
        <w:tblCellMar>
          <w:top w:w="0" w:type="dxa"/>
          <w:left w:w="0" w:type="dxa"/>
          <w:bottom w:w="0" w:type="dxa"/>
          <w:right w:w="0" w:type="dxa"/>
        </w:tblCellMar>
      </w:tblPr>
      <w:tblGrid>
        <w:gridCol w:w="75"/>
        <w:gridCol w:w="2765"/>
      </w:tblGrid>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b/>
                <w:sz w:val="20"/>
              </w:rPr>
            </w:pPr>
            <w:r>
              <w:rPr>
                <w:b/>
                <w:sz w:val="20"/>
              </w:rPr>
              <w:t>Manulife Financial Corporation</w:t>
            </w:r>
          </w:p>
        </w:tc>
      </w:tr>
      <w:tr>
        <w:trPr/>
        <w:tc>
          <w:tcPr>
            <w:tcW w:w="75"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4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February 4, 2025</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sz w:val="20"/>
              </w:rPr>
            </w:pPr>
            <w:r>
              <w:rPr>
                <w:sz w:val="20"/>
              </w:rPr>
              <w:t>Date</w:t>
            </w:r>
          </w:p>
        </w:tc>
      </w:tr>
      <w:tr>
        <w:trPr/>
        <w:tc>
          <w:tcPr>
            <w:tcW w:w="75"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/s/ Graham Miller</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Graham Miller / Agent*</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sz w:val="20"/>
              </w:rPr>
            </w:pPr>
            <w:r>
              <w:rPr>
                <w:sz w:val="20"/>
              </w:rPr>
              <w:t>Name / Title</w:t>
            </w:r>
          </w:p>
        </w:tc>
      </w:tr>
    </w:tbl>
    <w:tbl>
      <w:tblPr>
        <w:tblW w:w="3860" w:type="dxa"/>
        <w:jc w:val="left"/>
        <w:tblInd w:w="0" w:type="dxa"/>
        <w:tblLayout w:type="fixed"/>
        <w:tblCellMar>
          <w:top w:w="0" w:type="dxa"/>
          <w:left w:w="0" w:type="dxa"/>
          <w:bottom w:w="0" w:type="dxa"/>
          <w:right w:w="0" w:type="dxa"/>
        </w:tblCellMar>
      </w:tblPr>
      <w:tblGrid>
        <w:gridCol w:w="75"/>
        <w:gridCol w:w="3785"/>
      </w:tblGrid>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b/>
                <w:sz w:val="20"/>
              </w:rPr>
            </w:pPr>
            <w:r>
              <w:rPr>
                <w:b/>
                <w:sz w:val="20"/>
              </w:rPr>
              <w:t>Manulife Investment Management (US) LLC</w:t>
            </w:r>
          </w:p>
        </w:tc>
      </w:tr>
      <w:tr>
        <w:trPr/>
        <w:tc>
          <w:tcPr>
            <w:tcW w:w="75"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4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February 12, 2025</w:t>
            </w:r>
          </w:p>
        </w:tc>
      </w:tr>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sz w:val="20"/>
              </w:rPr>
            </w:pPr>
            <w:r>
              <w:rPr>
                <w:sz w:val="20"/>
              </w:rPr>
              <w:t>Date</w:t>
            </w:r>
          </w:p>
        </w:tc>
      </w:tr>
      <w:tr>
        <w:trPr/>
        <w:tc>
          <w:tcPr>
            <w:tcW w:w="75"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/s/ Paul M. Donahue</w:t>
            </w:r>
          </w:p>
        </w:tc>
      </w:tr>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Paul Donahue / Chief Compliance Officer</w:t>
            </w:r>
          </w:p>
        </w:tc>
      </w:tr>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sz w:val="20"/>
              </w:rPr>
            </w:pPr>
            <w:r>
              <w:rPr>
                <w:sz w:val="20"/>
              </w:rPr>
              <w:t>Name / Title</w:t>
            </w:r>
          </w:p>
        </w:tc>
      </w:tr>
    </w:tbl>
    <w:p>
      <w:pPr>
        <w:pStyle w:val="TextBody"/>
        <w:bidi w:val="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*Signed pursuant to a Power of Attorney dated January 17, 2018 included as Exhibit A to Schedule 13F- NT filed with the Securities and Exchange Commission by Manulife Financial Corporation on January 29, 2018.</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1403</Words>
  <Characters>7403</Characters>
  <CharactersWithSpaces>8770</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