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1 Shlomo Momo HaLevi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6"/>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5.07. Submission of Matters to a Vote of Security Holders.</w:t>
      </w:r>
    </w:p>
    <w:p>
      <w:pPr>
        <w:spacing w:after="0" w:line="21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June 13, 2024, Mobileye Global Inc. (the “Company”) held its annual meeting of stockholders via virtual webcast (the “Annual Meeting”). At the Annual Meeting, the Company’s stockholders voted on three proposals, each of which is described in more detail in the Company's definitive proxy statement filed with the Securities and Exchange Commission on April 26, 2024 (the “Proxy Statement”). A total of 80,901,438 shares of the Company’s Class A common stock and 711,500,000 shares of the Company’s Class B common stock were present or represented by proxy at the Annual Meeting, representing 99.8% of the combined voting power of the shares of Class A common stock and Class B common stock (voting together as a class) outstanding as of the close of business on April 15, 2024, the record date for the determination of stockholders entitled to vote at the Annual Meeting. Holders of shares of the Company’s Class A common stock were entitled to one vote for each share held as of the close of business on the record date, and holders of shares of the Company’s Class B common stock were entitled to ten votes for each share held as of the record date.</w:t>
      </w:r>
    </w:p>
    <w:p>
      <w:pPr>
        <w:spacing w:after="0" w:line="1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are the voting results on the three proposals considered and voted upon at the Annual Meeting, all of which were described in the Proxy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Election of Directors – </w:t>
            </w:r>
            <w:r>
              <w:rPr>
                <w:rFonts w:ascii="Times New Roman" w:cs="Times New Roman" w:eastAsia="Times New Roman" w:hAnsi="Times New Roman"/>
                <w:sz w:val="18"/>
                <w:szCs w:val="18"/>
                <w:b w:val="1"/>
                <w:bCs w:val="1"/>
                <w:i w:val="1"/>
                <w:iCs w:val="1"/>
                <w:color w:val="auto"/>
              </w:rPr>
              <w:t>All Directors Elected</w:t>
            </w:r>
          </w:p>
        </w:tc>
        <w:tc>
          <w:tcPr>
            <w:tcW w:w="6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6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Nominee</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Withhold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7,163,359,846</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21,852,495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62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7,161,871,125</w:t>
            </w:r>
          </w:p>
        </w:tc>
        <w:tc>
          <w:tcPr>
            <w:tcW w:w="9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23,341,216</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Eyal Desheh</w:t>
            </w:r>
          </w:p>
        </w:tc>
        <w:tc>
          <w:tcPr>
            <w:tcW w:w="6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7,181,630,370</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3,581,971</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62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7,160,697,383</w:t>
            </w:r>
          </w:p>
        </w:tc>
        <w:tc>
          <w:tcPr>
            <w:tcW w:w="9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24,514,958</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Pambianchi</w:t>
            </w:r>
          </w:p>
        </w:tc>
        <w:tc>
          <w:tcPr>
            <w:tcW w:w="6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7,156,916,085</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28,296,256</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62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7,181,649,829</w:t>
            </w:r>
          </w:p>
        </w:tc>
        <w:tc>
          <w:tcPr>
            <w:tcW w:w="9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3,562,512</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Saf Yeboah-Amankwah</w:t>
            </w:r>
          </w:p>
        </w:tc>
        <w:tc>
          <w:tcPr>
            <w:tcW w:w="6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7,146,908,813</w:t>
            </w:r>
          </w:p>
        </w:tc>
        <w:tc>
          <w:tcPr>
            <w:tcW w:w="9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38,303,528</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 Schell</w:t>
            </w:r>
          </w:p>
        </w:tc>
        <w:tc>
          <w:tcPr>
            <w:tcW w:w="6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7,162,259,668</w:t>
            </w:r>
          </w:p>
        </w:tc>
        <w:tc>
          <w:tcPr>
            <w:tcW w:w="9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22,952,673</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10,689,097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2.</w:t>
            </w:r>
          </w:p>
        </w:tc>
        <w:tc>
          <w:tcPr>
            <w:tcW w:w="7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Ratification of Selection of Independent Registered Public Accounting Firm – </w:t>
            </w:r>
            <w:r>
              <w:rPr>
                <w:rFonts w:ascii="Times New Roman" w:cs="Times New Roman" w:eastAsia="Times New Roman" w:hAnsi="Times New Roman"/>
                <w:sz w:val="18"/>
                <w:szCs w:val="18"/>
                <w:b w:val="1"/>
                <w:bCs w:val="1"/>
                <w:i w:val="1"/>
                <w:iCs w:val="1"/>
                <w:color w:val="auto"/>
              </w:rPr>
              <w:t>Approved</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0" w:type="dxa"/>
            <w:vAlign w:val="bottom"/>
          </w:tcPr>
          <w:p>
            <w:pPr>
              <w:spacing w:after="0"/>
              <w:rPr>
                <w:sz w:val="24"/>
                <w:szCs w:val="24"/>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27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7"/>
        </w:trPr>
        <w:tc>
          <w:tcPr>
            <w:tcW w:w="88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7,195,624,497</w:t>
            </w:r>
          </w:p>
        </w:tc>
        <w:tc>
          <w:tcPr>
            <w:tcW w:w="12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104,816</w:t>
            </w:r>
          </w:p>
        </w:tc>
        <w:tc>
          <w:tcPr>
            <w:tcW w:w="14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172,125</w:t>
            </w:r>
          </w:p>
        </w:tc>
        <w:tc>
          <w:tcPr>
            <w:tcW w:w="10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r>
      <w:tr>
        <w:trPr>
          <w:trHeight w:val="45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Proposal 3.</w:t>
            </w:r>
          </w:p>
        </w:tc>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Advisory Vote to on Executive Compensation – </w:t>
            </w:r>
            <w:r>
              <w:rPr>
                <w:rFonts w:ascii="Times New Roman" w:cs="Times New Roman" w:eastAsia="Times New Roman" w:hAnsi="Times New Roman"/>
                <w:sz w:val="18"/>
                <w:szCs w:val="18"/>
                <w:b w:val="1"/>
                <w:bCs w:val="1"/>
                <w:i w:val="1"/>
                <w:iCs w:val="1"/>
                <w:color w:val="auto"/>
              </w:rPr>
              <w:t>Approved</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Against</w:t>
            </w:r>
          </w:p>
        </w:tc>
        <w:tc>
          <w:tcPr>
            <w:tcW w:w="27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7"/>
        </w:trPr>
        <w:tc>
          <w:tcPr>
            <w:tcW w:w="880" w:type="dxa"/>
            <w:vAlign w:val="bottom"/>
            <w:tcBorders>
              <w:top w:val="single" w:sz="8" w:color="auto"/>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7,156,443,435</w:t>
            </w:r>
          </w:p>
        </w:tc>
        <w:tc>
          <w:tcPr>
            <w:tcW w:w="12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28,706,471</w:t>
            </w:r>
          </w:p>
        </w:tc>
        <w:tc>
          <w:tcPr>
            <w:tcW w:w="14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62,435</w:t>
            </w:r>
          </w:p>
        </w:tc>
        <w:tc>
          <w:tcPr>
            <w:tcW w:w="100" w:type="dxa"/>
            <w:vAlign w:val="bottom"/>
            <w:tcBorders>
              <w:top w:val="single" w:sz="8" w:color="CCEEFF"/>
            </w:tcBorders>
            <w:shd w:val="clear" w:color="auto" w:fill="CCEEFF"/>
          </w:tcPr>
          <w:p>
            <w:pPr>
              <w:spacing w:after="0"/>
              <w:rPr>
                <w:sz w:val="20"/>
                <w:szCs w:val="20"/>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10,689,097</w:t>
            </w:r>
          </w:p>
        </w:tc>
        <w:tc>
          <w:tcPr>
            <w:tcW w:w="100" w:type="dxa"/>
            <w:vAlign w:val="bottom"/>
            <w:tcBorders>
              <w:top w:val="single" w:sz="8" w:color="CCEEFF"/>
            </w:tcBorders>
            <w:shd w:val="clear" w:color="auto" w:fill="CCEEFF"/>
          </w:tcPr>
          <w:p>
            <w:pPr>
              <w:spacing w:after="0"/>
              <w:rPr>
                <w:sz w:val="20"/>
                <w:szCs w:val="20"/>
                <w:color w:val="auto"/>
              </w:rPr>
            </w:pPr>
          </w:p>
        </w:tc>
      </w:tr>
      <w:tr>
        <w:trPr>
          <w:trHeight w:val="702"/>
        </w:trPr>
        <w:tc>
          <w:tcPr>
            <w:tcW w:w="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18, 2024</w:t>
      </w:r>
      <w:r>
        <w:rPr>
          <w:sz w:val="20"/>
          <w:szCs w:val="20"/>
          <w:color w:val="auto"/>
        </w:rPr>
        <w:tab/>
      </w: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2024-06-18T15:30:27Z</dcterms:created>
  <dcterms:modified xsi:type="dcterms:W3CDTF">2024-06-18T15:30:27Z</dcterms:modified>
</cp:coreProperties>
</file>