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jc w:val="center"/>
              <w:ind w:lef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97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Shashua Amnon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Mobileye Global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MBLY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8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07/10/2023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MOBILEYE B.V., HAR HOTZVIM</w:t>
            </w:r>
          </w:p>
        </w:tc>
        <w:tc>
          <w:tcPr>
            <w:tcW w:w="1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HARTOM STREET, P.O. BOX 45157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977513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350,625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9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350,625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350,625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-5455285</wp:posOffset>
            </wp:positionV>
            <wp:extent cx="7046595" cy="5468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68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forfeited earlier under the terms of the RSU Agreement, the RSUs will vest as follows: (a) 40% of the RSUs vest and convert into common stock on the first anniversary of the grant date (which grant date is July 10, 2023),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Liz Cohen-Yerushalmi,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629689" TargetMode="External"/><Relationship Id="rId9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2023-07-12T15:14:59Z</dcterms:created>
  <dcterms:modified xsi:type="dcterms:W3CDTF">2023-07-12T15:14:59Z</dcterms:modified>
</cp:coreProperties>
</file>