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November 1, 2022 (October 28, 2022)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Mobileye Global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the Registrant as Specified in Charter)</w:t>
      </w:r>
    </w:p>
    <w:p>
      <w:pPr>
        <w:spacing w:after="0" w:line="205" w:lineRule="exact"/>
        <w:rPr>
          <w:sz w:val="24"/>
          <w:szCs w:val="24"/>
          <w:color w:val="auto"/>
        </w:rPr>
      </w:pPr>
    </w:p>
    <w:tbl>
      <w:tblPr>
        <w:tblLayout w:type="fixed"/>
        <w:tblInd w:w="740" w:type="dxa"/>
        <w:tblCellMar>
          <w:top w:w="0" w:type="dxa"/>
          <w:left w:w="0" w:type="dxa"/>
          <w:bottom w:w="0" w:type="dxa"/>
          <w:right w:w="0" w:type="dxa"/>
        </w:tblCellMar>
      </w:tblPr>
      <w:tr>
        <w:trPr>
          <w:trHeight w:val="216"/>
        </w:trPr>
        <w:tc>
          <w:tcPr>
            <w:tcW w:w="2900" w:type="dxa"/>
            <w:vAlign w:val="bottom"/>
          </w:tcPr>
          <w:p>
            <w:pPr>
              <w:jc w:val="center"/>
              <w:ind w:right="670"/>
              <w:spacing w:after="0"/>
              <w:rPr>
                <w:sz w:val="20"/>
                <w:szCs w:val="20"/>
                <w:color w:val="auto"/>
              </w:rPr>
            </w:pPr>
            <w:r>
              <w:rPr>
                <w:rFonts w:ascii="Arial" w:cs="Arial" w:eastAsia="Arial" w:hAnsi="Arial"/>
                <w:sz w:val="18"/>
                <w:szCs w:val="18"/>
                <w:b w:val="1"/>
                <w:bCs w:val="1"/>
                <w:color w:val="auto"/>
                <w:w w:val="93"/>
              </w:rPr>
              <w:t>Delaware</w:t>
            </w:r>
          </w:p>
        </w:tc>
        <w:tc>
          <w:tcPr>
            <w:tcW w:w="41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001-41541</w:t>
            </w:r>
          </w:p>
        </w:tc>
        <w:tc>
          <w:tcPr>
            <w:tcW w:w="2340" w:type="dxa"/>
            <w:vAlign w:val="bottom"/>
          </w:tcPr>
          <w:p>
            <w:pPr>
              <w:jc w:val="center"/>
              <w:ind w:left="850"/>
              <w:spacing w:after="0"/>
              <w:rPr>
                <w:sz w:val="20"/>
                <w:szCs w:val="20"/>
                <w:color w:val="auto"/>
              </w:rPr>
            </w:pPr>
            <w:r>
              <w:rPr>
                <w:rFonts w:ascii="Arial" w:cs="Arial" w:eastAsia="Arial" w:hAnsi="Arial"/>
                <w:sz w:val="18"/>
                <w:szCs w:val="18"/>
                <w:b w:val="1"/>
                <w:bCs w:val="1"/>
                <w:color w:val="auto"/>
                <w:w w:val="91"/>
              </w:rPr>
              <w:t>88-0666433</w:t>
            </w:r>
          </w:p>
        </w:tc>
      </w:tr>
      <w:tr>
        <w:trPr>
          <w:trHeight w:val="216"/>
        </w:trPr>
        <w:tc>
          <w:tcPr>
            <w:tcW w:w="2900" w:type="dxa"/>
            <w:vAlign w:val="bottom"/>
          </w:tcPr>
          <w:p>
            <w:pPr>
              <w:jc w:val="center"/>
              <w:ind w:right="670"/>
              <w:spacing w:after="0"/>
              <w:rPr>
                <w:sz w:val="20"/>
                <w:szCs w:val="20"/>
                <w:color w:val="auto"/>
              </w:rPr>
            </w:pPr>
            <w:r>
              <w:rPr>
                <w:rFonts w:ascii="Arial" w:cs="Arial" w:eastAsia="Arial" w:hAnsi="Arial"/>
                <w:sz w:val="18"/>
                <w:szCs w:val="18"/>
                <w:b w:val="1"/>
                <w:bCs w:val="1"/>
                <w:color w:val="auto"/>
                <w:w w:val="91"/>
              </w:rPr>
              <w:t>(State or Other Jurisdiction</w:t>
            </w:r>
          </w:p>
        </w:tc>
        <w:tc>
          <w:tcPr>
            <w:tcW w:w="416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(Commission</w:t>
            </w:r>
          </w:p>
        </w:tc>
        <w:tc>
          <w:tcPr>
            <w:tcW w:w="2340" w:type="dxa"/>
            <w:vAlign w:val="bottom"/>
          </w:tcPr>
          <w:p>
            <w:pPr>
              <w:jc w:val="center"/>
              <w:ind w:left="8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900" w:type="dxa"/>
            <w:vAlign w:val="bottom"/>
          </w:tcPr>
          <w:p>
            <w:pPr>
              <w:jc w:val="center"/>
              <w:ind w:right="670"/>
              <w:spacing w:after="0"/>
              <w:rPr>
                <w:sz w:val="20"/>
                <w:szCs w:val="20"/>
                <w:color w:val="auto"/>
              </w:rPr>
            </w:pPr>
            <w:r>
              <w:rPr>
                <w:rFonts w:ascii="Arial" w:cs="Arial" w:eastAsia="Arial" w:hAnsi="Arial"/>
                <w:sz w:val="18"/>
                <w:szCs w:val="18"/>
                <w:b w:val="1"/>
                <w:bCs w:val="1"/>
                <w:color w:val="auto"/>
                <w:w w:val="93"/>
              </w:rPr>
              <w:t>of Incorporation)</w:t>
            </w:r>
          </w:p>
        </w:tc>
        <w:tc>
          <w:tcPr>
            <w:tcW w:w="416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File Number)</w:t>
            </w:r>
          </w:p>
        </w:tc>
        <w:tc>
          <w:tcPr>
            <w:tcW w:w="2340" w:type="dxa"/>
            <w:vAlign w:val="bottom"/>
          </w:tcPr>
          <w:p>
            <w:pPr>
              <w:jc w:val="center"/>
              <w:ind w:left="85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900" w:type="dxa"/>
            <w:vAlign w:val="bottom"/>
          </w:tcPr>
          <w:p>
            <w:pPr>
              <w:spacing w:after="0"/>
              <w:rPr>
                <w:sz w:val="24"/>
                <w:szCs w:val="24"/>
                <w:color w:val="auto"/>
              </w:rPr>
            </w:pPr>
          </w:p>
        </w:tc>
        <w:tc>
          <w:tcPr>
            <w:tcW w:w="41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c/o Mobileye B.V.</w:t>
            </w:r>
          </w:p>
        </w:tc>
        <w:tc>
          <w:tcPr>
            <w:tcW w:w="2340" w:type="dxa"/>
            <w:vAlign w:val="bottom"/>
          </w:tcPr>
          <w:p>
            <w:pPr>
              <w:spacing w:after="0"/>
              <w:rPr>
                <w:sz w:val="24"/>
                <w:szCs w:val="24"/>
                <w:color w:val="auto"/>
              </w:rPr>
            </w:pPr>
          </w:p>
        </w:tc>
      </w:tr>
      <w:tr>
        <w:trPr>
          <w:trHeight w:val="216"/>
        </w:trPr>
        <w:tc>
          <w:tcPr>
            <w:tcW w:w="2900" w:type="dxa"/>
            <w:vAlign w:val="bottom"/>
          </w:tcPr>
          <w:p>
            <w:pPr>
              <w:spacing w:after="0"/>
              <w:rPr>
                <w:sz w:val="18"/>
                <w:szCs w:val="18"/>
                <w:color w:val="auto"/>
              </w:rPr>
            </w:pPr>
          </w:p>
        </w:tc>
        <w:tc>
          <w:tcPr>
            <w:tcW w:w="4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Har Hotzvim, 13 Hartom Street</w:t>
            </w:r>
          </w:p>
        </w:tc>
        <w:tc>
          <w:tcPr>
            <w:tcW w:w="234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41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P.O. Box 45157</w:t>
            </w:r>
          </w:p>
        </w:tc>
        <w:tc>
          <w:tcPr>
            <w:tcW w:w="234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4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Jerusalem 9777513, Israel</w:t>
            </w:r>
          </w:p>
        </w:tc>
        <w:tc>
          <w:tcPr>
            <w:tcW w:w="2340" w:type="dxa"/>
            <w:vAlign w:val="bottom"/>
          </w:tcPr>
          <w:p>
            <w:pPr>
              <w:spacing w:after="0"/>
              <w:rPr>
                <w:sz w:val="18"/>
                <w:szCs w:val="18"/>
                <w:color w:val="auto"/>
              </w:rPr>
            </w:pPr>
          </w:p>
        </w:tc>
      </w:tr>
      <w:tr>
        <w:trPr>
          <w:trHeight w:val="234"/>
        </w:trPr>
        <w:tc>
          <w:tcPr>
            <w:tcW w:w="2900" w:type="dxa"/>
            <w:vAlign w:val="bottom"/>
          </w:tcPr>
          <w:p>
            <w:pPr>
              <w:spacing w:after="0"/>
              <w:rPr>
                <w:sz w:val="20"/>
                <w:szCs w:val="20"/>
                <w:color w:val="auto"/>
              </w:rPr>
            </w:pPr>
          </w:p>
        </w:tc>
        <w:tc>
          <w:tcPr>
            <w:tcW w:w="4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+972-2-541-7333</w:t>
            </w:r>
          </w:p>
        </w:tc>
        <w:tc>
          <w:tcPr>
            <w:tcW w:w="2340" w:type="dxa"/>
            <w:vAlign w:val="bottom"/>
          </w:tcPr>
          <w:p>
            <w:pPr>
              <w:spacing w:after="0"/>
              <w:rPr>
                <w:sz w:val="20"/>
                <w:szCs w:val="20"/>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9"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310" w:type="dxa"/>
        <w:tblCellMar>
          <w:top w:w="0" w:type="dxa"/>
          <w:left w:w="0" w:type="dxa"/>
          <w:bottom w:w="0" w:type="dxa"/>
          <w:right w:w="0" w:type="dxa"/>
        </w:tblCellMar>
      </w:tblPr>
      <w:tr>
        <w:trPr>
          <w:trHeight w:val="237"/>
        </w:trPr>
        <w:tc>
          <w:tcPr>
            <w:tcW w:w="45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exchange on which registered</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r>
        <w:trPr>
          <w:trHeight w:val="237"/>
        </w:trPr>
        <w:tc>
          <w:tcPr>
            <w:tcW w:w="4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Class A common stock, $0.01 par value</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MBLY</w:t>
            </w:r>
          </w:p>
        </w:tc>
        <w:tc>
          <w:tcPr>
            <w:tcW w:w="4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Nasdaq Global Select Market</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404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As previously disclosed, on October 28, 2022, Mobileye Global Inc., a Delaware corporation (the “Company”), closed its initial public offering (the “IPO”) of 41,000,000 shares of Class A common stock, par value $0.01 per share, of the Company (“Class A Common Stock”) at an initial public offering price of $21.00 per share (the “IPO Price Per Share”) pursuant to the Company’s Registration Statements on Form S-1 (File No. 333-267685) and Form S-1 MEF (File No. 268009) (collectively, the “Registration Statements”). Also as previously disclosed, concurrently with the closing of the IPO, the Company closed its sale of 4,761,905 shares of Class A Common Stock in a private placement not registered under the Securities Act of 1933, as amended, to General Atlantic (ME), L.P., a Delaware limited partnership, at the IPO Price Per Share (the “Concurrent Private Placement”).</w:t>
      </w:r>
    </w:p>
    <w:p>
      <w:pPr>
        <w:spacing w:after="0" w:line="16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connection with the IPO, the Company granted the underwriters in the IPO (the “Underwriters”) an option for thirty days from October 25, 2022 to purchase up to 6,150,000 additional shares of Class A Common Stock (the “Option Shares”) at the IPO Price Per Share less underwriting discounts and commissions (the “Option”). On October 28, 2022, the Underwriters exercised the Option in full, and, pursuant thereto, on November 1, 2022, the Company closed its sale to the Underwriters of the Option Shares. The net proceeds to the Company from the Concurrent Private Placement and the IPO, including the exercise of the Option, after deducting underwriting discounts and commissions and estimated offering expenses payable by the Company, is approximately $1.0 billion. A significant portion of the net proceeds is being used for repayment on a note owed to the Company’s parent company, Intel Corporation, a Delaware corporation, and the Company intends to use the remaining net proceeds for working capital and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MOBILEYE GLOBAL INC.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Anat 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Anat Heller</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600"/>
      </w:cols>
      <w:pgMar w:left="320" w:top="90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2022-11-01T16:00:29Z</dcterms:created>
  <dcterms:modified xsi:type="dcterms:W3CDTF">2022-11-01T16:00:29Z</dcterms:modified>
</cp:coreProperties>
</file>