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July 24, 2025</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79"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Har Hotzvim, 1 Shlomo Momo HaLevi Street</w:t>
      </w:r>
    </w:p>
    <w:p>
      <w:pPr>
        <w:spacing w:after="0" w:line="2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Jerusalem, Israel</w:t>
      </w:r>
    </w:p>
    <w:p>
      <w:pPr>
        <w:spacing w:after="0" w:line="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9777015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77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52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July 24, 2025 Mobileye Global Inc. issued a press release announcing its financial results for the quarter ended June 28, 2025.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80" w:type="dxa"/>
            <w:vAlign w:val="bottom"/>
          </w:tcPr>
          <w:p>
            <w:pPr>
              <w:spacing w:after="0"/>
              <w:rPr>
                <w:sz w:val="24"/>
                <w:szCs w:val="24"/>
                <w:color w:val="auto"/>
              </w:rPr>
            </w:pPr>
          </w:p>
        </w:tc>
        <w:tc>
          <w:tcPr>
            <w:tcW w:w="9580" w:type="dxa"/>
            <w:vAlign w:val="bottom"/>
            <w:gridSpan w:val="2"/>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8"/>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EE"/>
              </w:rPr>
              <w:t>Press release issued by Mobileye Global Inc. on July 24, 2025</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Moran Shemesh Rojansky</w:t>
      </w:r>
    </w:p>
    <w:p>
      <w:pPr>
        <w:spacing w:after="0" w:line="9"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Releases Second Quarter 2025 Results, Updates Full-year 2025 Outlook, and Provides Business Overview</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Revenue of </w:t>
      </w:r>
      <w:r>
        <w:rPr>
          <w:rFonts w:ascii="Times New Roman" w:cs="Times New Roman" w:eastAsia="Times New Roman" w:hAnsi="Times New Roman"/>
          <w:sz w:val="18"/>
          <w:szCs w:val="18"/>
          <w:color w:val="000000"/>
        </w:rPr>
        <w:t>$506</w:t>
      </w:r>
      <w:r>
        <w:rPr>
          <w:rFonts w:ascii="Times New Roman" w:cs="Times New Roman" w:eastAsia="Times New Roman" w:hAnsi="Times New Roman"/>
          <w:sz w:val="18"/>
          <w:szCs w:val="18"/>
          <w:color w:val="101820"/>
        </w:rPr>
        <w:t xml:space="preserve"> million in the second quarter </w:t>
      </w:r>
      <w:r>
        <w:rPr>
          <w:rFonts w:ascii="Times New Roman" w:cs="Times New Roman" w:eastAsia="Times New Roman" w:hAnsi="Times New Roman"/>
          <w:sz w:val="18"/>
          <w:szCs w:val="18"/>
          <w:color w:val="000000"/>
        </w:rPr>
        <w:t>increased 15%</w:t>
      </w:r>
      <w:r>
        <w:rPr>
          <w:rFonts w:ascii="Times New Roman" w:cs="Times New Roman" w:eastAsia="Times New Roman" w:hAnsi="Times New Roman"/>
          <w:sz w:val="18"/>
          <w:szCs w:val="18"/>
          <w:color w:val="101820"/>
        </w:rPr>
        <w:t xml:space="preserve"> year over year compared to Q2 2024 on strong demand across the business. Operating Income (Loss) and Adjusted Operating Income improved </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101820"/>
        </w:rPr>
        <w:t xml:space="preserve"> and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color w:val="101820"/>
        </w:rPr>
        <w:t>, respectively.</w:t>
      </w:r>
    </w:p>
    <w:p>
      <w:pPr>
        <w:spacing w:after="0" w:line="161" w:lineRule="exact"/>
        <w:rPr>
          <w:rFonts w:ascii="Times New Roman" w:cs="Times New Roman" w:eastAsia="Times New Roman" w:hAnsi="Times New Roman"/>
          <w:sz w:val="18"/>
          <w:szCs w:val="18"/>
          <w:color w:val="101820"/>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Diluted EPS (GAAP) was $(0.08) and Adjusted Diluted EPS (Non-GAAP) was $0.13 in the second quarter of 2025.</w:t>
      </w:r>
    </w:p>
    <w:p>
      <w:pPr>
        <w:spacing w:after="0" w:line="225" w:lineRule="exact"/>
        <w:rPr>
          <w:rFonts w:ascii="Times New Roman" w:cs="Times New Roman" w:eastAsia="Times New Roman" w:hAnsi="Times New Roman"/>
          <w:sz w:val="18"/>
          <w:szCs w:val="18"/>
          <w:color w:val="101820"/>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Continued strength in supply-demand dynamics supports an upward revision of our full-year 2025 revenue outlook to </w:t>
      </w:r>
      <w:r>
        <w:rPr>
          <w:rFonts w:ascii="Times New Roman" w:cs="Times New Roman" w:eastAsia="Times New Roman" w:hAnsi="Times New Roman"/>
          <w:sz w:val="18"/>
          <w:szCs w:val="18"/>
          <w:color w:val="000000"/>
        </w:rPr>
        <w:t>$1,765</w:t>
      </w:r>
      <w:r>
        <w:rPr>
          <w:rFonts w:ascii="Times New Roman" w:cs="Times New Roman" w:eastAsia="Times New Roman" w:hAnsi="Times New Roman"/>
          <w:sz w:val="18"/>
          <w:szCs w:val="18"/>
          <w:color w:val="101820"/>
        </w:rPr>
        <w:t xml:space="preserve"> million - </w:t>
      </w:r>
      <w:r>
        <w:rPr>
          <w:rFonts w:ascii="Times New Roman" w:cs="Times New Roman" w:eastAsia="Times New Roman" w:hAnsi="Times New Roman"/>
          <w:sz w:val="18"/>
          <w:szCs w:val="18"/>
          <w:color w:val="000000"/>
        </w:rPr>
        <w:t>$1,885</w:t>
      </w:r>
      <w:r>
        <w:rPr>
          <w:rFonts w:ascii="Times New Roman" w:cs="Times New Roman" w:eastAsia="Times New Roman" w:hAnsi="Times New Roman"/>
          <w:sz w:val="18"/>
          <w:szCs w:val="18"/>
          <w:color w:val="101820"/>
        </w:rPr>
        <w:t xml:space="preserve"> million, implying </w:t>
      </w:r>
      <w:r>
        <w:rPr>
          <w:rFonts w:ascii="Times New Roman" w:cs="Times New Roman" w:eastAsia="Times New Roman" w:hAnsi="Times New Roman"/>
          <w:sz w:val="18"/>
          <w:szCs w:val="18"/>
          <w:color w:val="000000"/>
        </w:rPr>
        <w:t>7%</w:t>
      </w:r>
      <w:r>
        <w:rPr>
          <w:rFonts w:ascii="Times New Roman" w:cs="Times New Roman" w:eastAsia="Times New Roman" w:hAnsi="Times New Roman"/>
          <w:sz w:val="18"/>
          <w:szCs w:val="18"/>
          <w:color w:val="101820"/>
        </w:rPr>
        <w:t xml:space="preserve"> - </w:t>
      </w:r>
      <w:r>
        <w:rPr>
          <w:rFonts w:ascii="Times New Roman" w:cs="Times New Roman" w:eastAsia="Times New Roman" w:hAnsi="Times New Roman"/>
          <w:sz w:val="18"/>
          <w:szCs w:val="18"/>
          <w:color w:val="000000"/>
        </w:rPr>
        <w:t>14%</w:t>
      </w:r>
      <w:r>
        <w:rPr>
          <w:rFonts w:ascii="Times New Roman" w:cs="Times New Roman" w:eastAsia="Times New Roman" w:hAnsi="Times New Roman"/>
          <w:sz w:val="18"/>
          <w:szCs w:val="18"/>
          <w:color w:val="101820"/>
        </w:rPr>
        <w:t xml:space="preserve"> year-over-year revenue growth.</w:t>
      </w:r>
    </w:p>
    <w:p>
      <w:pPr>
        <w:spacing w:after="0" w:line="161" w:lineRule="exact"/>
        <w:rPr>
          <w:rFonts w:ascii="Times New Roman" w:cs="Times New Roman" w:eastAsia="Times New Roman" w:hAnsi="Times New Roman"/>
          <w:sz w:val="18"/>
          <w:szCs w:val="18"/>
          <w:color w:val="101820"/>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Generated net cash from operating activities of </w:t>
      </w:r>
      <w:r>
        <w:rPr>
          <w:rFonts w:ascii="Times New Roman" w:cs="Times New Roman" w:eastAsia="Times New Roman" w:hAnsi="Times New Roman"/>
          <w:sz w:val="18"/>
          <w:szCs w:val="18"/>
          <w:color w:val="000000"/>
        </w:rPr>
        <w:t>$322</w:t>
      </w:r>
      <w:r>
        <w:rPr>
          <w:rFonts w:ascii="Times New Roman" w:cs="Times New Roman" w:eastAsia="Times New Roman" w:hAnsi="Times New Roman"/>
          <w:sz w:val="18"/>
          <w:szCs w:val="18"/>
          <w:color w:val="101820"/>
        </w:rPr>
        <w:t xml:space="preserve"> million in the </w:t>
      </w:r>
      <w:r>
        <w:rPr>
          <w:rFonts w:ascii="Times New Roman" w:cs="Times New Roman" w:eastAsia="Times New Roman" w:hAnsi="Times New Roman"/>
          <w:sz w:val="18"/>
          <w:szCs w:val="18"/>
          <w:color w:val="000000"/>
        </w:rPr>
        <w:t>six months ended June 28, 2025</w:t>
      </w:r>
      <w:r>
        <w:rPr>
          <w:rFonts w:ascii="Times New Roman" w:cs="Times New Roman" w:eastAsia="Times New Roman" w:hAnsi="Times New Roman"/>
          <w:sz w:val="18"/>
          <w:szCs w:val="18"/>
          <w:color w:val="101820"/>
        </w:rPr>
        <w:t xml:space="preserve">. Our balance sheet is strong with </w:t>
      </w:r>
      <w:r>
        <w:rPr>
          <w:rFonts w:ascii="Times New Roman" w:cs="Times New Roman" w:eastAsia="Times New Roman" w:hAnsi="Times New Roman"/>
          <w:sz w:val="18"/>
          <w:szCs w:val="18"/>
          <w:color w:val="000000"/>
        </w:rPr>
        <w:t>$1.7</w:t>
      </w:r>
      <w:r>
        <w:rPr>
          <w:rFonts w:ascii="Times New Roman" w:cs="Times New Roman" w:eastAsia="Times New Roman" w:hAnsi="Times New Roman"/>
          <w:sz w:val="18"/>
          <w:szCs w:val="18"/>
          <w:color w:val="101820"/>
        </w:rPr>
        <w:t xml:space="preserve"> billion of cash and cash equivalents and zero debt as of </w:t>
      </w:r>
      <w:r>
        <w:rPr>
          <w:rFonts w:ascii="Times New Roman" w:cs="Times New Roman" w:eastAsia="Times New Roman" w:hAnsi="Times New Roman"/>
          <w:sz w:val="18"/>
          <w:szCs w:val="18"/>
          <w:color w:val="000000"/>
        </w:rPr>
        <w:t>June 28, 2025</w:t>
      </w:r>
      <w:r>
        <w:rPr>
          <w:rFonts w:ascii="Times New Roman" w:cs="Times New Roman" w:eastAsia="Times New Roman" w:hAnsi="Times New Roman"/>
          <w:sz w:val="18"/>
          <w:szCs w:val="18"/>
          <w:color w:val="101820"/>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01820"/>
        </w:rPr>
        <w:t xml:space="preserve">JERUSALEM – July 24, 2025 – Mobileye Global Inc. (Nasdaq: MBLY) (“Mobileye”) today released its financial results for the three months ended </w:t>
      </w:r>
      <w:r>
        <w:rPr>
          <w:rFonts w:ascii="Times New Roman" w:cs="Times New Roman" w:eastAsia="Times New Roman" w:hAnsi="Times New Roman"/>
          <w:sz w:val="18"/>
          <w:szCs w:val="18"/>
          <w:color w:val="000000"/>
        </w:rPr>
        <w:t>June 28, 2025</w:t>
      </w:r>
      <w:r>
        <w:rPr>
          <w:rFonts w:ascii="Times New Roman" w:cs="Times New Roman" w:eastAsia="Times New Roman" w:hAnsi="Times New Roman"/>
          <w:sz w:val="18"/>
          <w:szCs w:val="18"/>
          <w:color w:val="101820"/>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performed very well in Q2, both on the revenue growth and cost management side. Stronger visibility on industry supply-demand alignment since late-April supports our decision to raise the full-year outlook, while we continue to maintain a conservative stance given the broader macro environment,” said Mobileye President and CEO Prof. Amnon Shashua. “Substantial progress on our advanced product programs raises our confidence that upcoming launches will lead to an inflection in Mobileye’s growth trajectory in 2027, with Drive anticipated to join SuperVision as material growth drivers in that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Business Highlights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15% year-over-year in Q2 was higher than our prior outlook and it was broad-based, including strong EyeQ volumes across our customer base (including China-based OEMs), steady ramp-ups of new ADAS programs, and good end-demand for vehicles with the first-generation SuperVision system. We continue to win new programs at a high rate and incremental traction on Surround ADAS signals strong potential for a next generation of higher-content ADAS for mass-market vehicles.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 execution of our four advanced products with various brands of the Volkswagen Group continues to meet performance and safety KPI’s laid out at the start of each program. Volkswagen unveiled and demonstrated the autonomous driving version of the ID.Buzz in June and we are on-track to begin fully driverless deployments in the US in 2026. SuperVision and Chauffeur test vehicles now include production-level hardware and significant portions of the next generation AI-heavy software stack and are demonstrating better-than-predicted performance in multiple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proof-points on consumer acceptance of driverless robotaxis continues to push demand for the Mobileye Drive system, both from the vehicle platform side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OEMs) and the demand-generation side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mobility providers). Our lead vehicle platform provider Volkswagen announced a strategic partnership with Uber to deploy robotaxis beginning in Los Angeles, we made progress on completing the ecosystem for the Lyft / Marubeni engagement, and we continue to see strong interest from mobility providers across Europe.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Mobileye’s in-house designed imaging radar is a key differentiator within Mobileye’s eyes-off product bundles (Chauffeur and Drive) and achieved its first design win in Q2 as an enabler of highway-speed L3 eyes-off performance. This important proof-point, along with additional signs of technological maturity, drove increased interest in the Chauffeur solution as a scalable enabler of L3 consumer AV, seen as high-value proposition by OEMs.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Summary and Key Highlights (Unaudited)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260" w:type="dxa"/>
            <w:vAlign w:val="bottom"/>
            <w:gridSpan w:val="2"/>
            <w:vMerge w:val="restart"/>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320" w:type="dxa"/>
            <w:vAlign w:val="bottom"/>
            <w:gridSpan w:val="2"/>
            <w:vMerge w:val="restart"/>
          </w:tcPr>
          <w:p>
            <w:pPr>
              <w:spacing w:after="0"/>
              <w:rPr>
                <w:sz w:val="24"/>
                <w:szCs w:val="24"/>
                <w:color w:val="auto"/>
              </w:rPr>
            </w:pPr>
          </w:p>
        </w:tc>
        <w:tc>
          <w:tcPr>
            <w:tcW w:w="1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Y/Y</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gridSpan w:val="2"/>
            <w:vMerge w:val="continue"/>
          </w:tcPr>
          <w:p>
            <w:pPr>
              <w:spacing w:after="0"/>
              <w:rPr>
                <w:sz w:val="20"/>
                <w:szCs w:val="20"/>
                <w:color w:val="auto"/>
              </w:rPr>
            </w:pPr>
          </w:p>
        </w:tc>
        <w:tc>
          <w:tcPr>
            <w:tcW w:w="122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8"/>
                <w:szCs w:val="18"/>
                <w:color w:val="auto"/>
              </w:rPr>
            </w:pPr>
          </w:p>
        </w:tc>
        <w:tc>
          <w:tcPr>
            <w:tcW w:w="14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+219bps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18"/>
                <w:szCs w:val="18"/>
                <w:color w:val="auto"/>
              </w:rPr>
            </w:pPr>
          </w:p>
        </w:tc>
        <w:tc>
          <w:tcPr>
            <w:tcW w:w="14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+679bps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14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3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40" w:type="dxa"/>
            <w:vAlign w:val="bottom"/>
          </w:tcPr>
          <w:p>
            <w:pPr>
              <w:spacing w:after="0"/>
              <w:rPr>
                <w:sz w:val="20"/>
                <w:szCs w:val="20"/>
                <w:color w:val="auto"/>
              </w:rPr>
            </w:pPr>
          </w:p>
        </w:tc>
        <w:tc>
          <w:tcPr>
            <w:tcW w:w="14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2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22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2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Y/Y</w:t>
            </w:r>
          </w:p>
        </w:tc>
        <w:tc>
          <w:tcPr>
            <w:tcW w:w="3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tcPr>
          <w:p>
            <w:pPr>
              <w:spacing w:after="0"/>
              <w:rPr>
                <w:sz w:val="18"/>
                <w:szCs w:val="18"/>
                <w:color w:val="auto"/>
              </w:rPr>
            </w:pPr>
          </w:p>
        </w:tc>
        <w:tc>
          <w:tcPr>
            <w:tcW w:w="14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(67)bps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8"/>
                <w:szCs w:val="18"/>
                <w:color w:val="auto"/>
              </w:rPr>
            </w:pPr>
          </w:p>
        </w:tc>
        <w:tc>
          <w:tcPr>
            <w:tcW w:w="14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+295bps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14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40" w:type="dxa"/>
            <w:vAlign w:val="bottom"/>
          </w:tcPr>
          <w:p>
            <w:pPr>
              <w:spacing w:after="0"/>
              <w:rPr>
                <w:sz w:val="20"/>
                <w:szCs w:val="20"/>
                <w:color w:val="auto"/>
              </w:rPr>
            </w:pPr>
          </w:p>
        </w:tc>
        <w:tc>
          <w:tcPr>
            <w:tcW w:w="14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54"/>
        </w:trPr>
        <w:tc>
          <w:tcPr>
            <w:tcW w:w="6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both"/>
        <w:ind w:left="652" w:hanging="652"/>
        <w:spacing w:after="0" w:line="266" w:lineRule="auto"/>
        <w:tabs>
          <w:tab w:leader="none" w:pos="652" w:val="left"/>
        </w:tabs>
        <w:numPr>
          <w:ilvl w:val="0"/>
          <w:numId w:val="5"/>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auto"/>
        </w:rPr>
        <w:t xml:space="preserve">Revenue of $506 million increased by 15% compared to the second quarter of 2024, </w:t>
      </w:r>
      <w:r>
        <w:rPr>
          <w:rFonts w:ascii="Times New Roman" w:cs="Times New Roman" w:eastAsia="Times New Roman" w:hAnsi="Times New Roman"/>
          <w:sz w:val="18"/>
          <w:szCs w:val="18"/>
          <w:color w:val="101820"/>
        </w:rPr>
        <w:t>primarily due to a</w:t>
      </w:r>
      <w:r>
        <w:rPr>
          <w:rFonts w:ascii="Times New Roman" w:cs="Times New Roman" w:eastAsia="Times New Roman" w:hAnsi="Times New Roman"/>
          <w:sz w:val="18"/>
          <w:szCs w:val="18"/>
          <w:color w:val="auto"/>
        </w:rPr>
        <w:t xml:space="preserve"> 28% </w:t>
      </w:r>
      <w:r>
        <w:rPr>
          <w:rFonts w:ascii="Times New Roman" w:cs="Times New Roman" w:eastAsia="Times New Roman" w:hAnsi="Times New Roman"/>
          <w:sz w:val="18"/>
          <w:szCs w:val="18"/>
          <w:color w:val="101820"/>
        </w:rPr>
        <w:t>increase in EyeQ volumes, resulting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01820"/>
        </w:rPr>
        <w:t>from higher customer demand and the normalization of excess inventory by the Company’s Tier 1 customers previously used to satisfy demand during 2024, partially offset by lower SuperVision volumes on a year-over-year basis.</w:t>
      </w:r>
    </w:p>
    <w:p>
      <w:pPr>
        <w:spacing w:after="0" w:line="175" w:lineRule="exact"/>
        <w:rPr>
          <w:rFonts w:ascii="Times New Roman" w:cs="Times New Roman" w:eastAsia="Times New Roman" w:hAnsi="Times New Roman"/>
          <w:sz w:val="18"/>
          <w:szCs w:val="18"/>
          <w:color w:val="101820"/>
        </w:rPr>
      </w:pPr>
    </w:p>
    <w:p>
      <w:pPr>
        <w:ind w:left="652" w:hanging="652"/>
        <w:spacing w:after="0" w:line="282"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Gross Margin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101820"/>
        </w:rPr>
        <w:t xml:space="preserve"> by approximately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101820"/>
        </w:rPr>
        <w:t xml:space="preserve"> percentage points in the </w:t>
      </w:r>
      <w:r>
        <w:rPr>
          <w:rFonts w:ascii="Times New Roman" w:cs="Times New Roman" w:eastAsia="Times New Roman" w:hAnsi="Times New Roman"/>
          <w:sz w:val="18"/>
          <w:szCs w:val="18"/>
          <w:color w:val="000000"/>
        </w:rPr>
        <w:t>second quarter of 2025</w:t>
      </w:r>
      <w:r>
        <w:rPr>
          <w:rFonts w:ascii="Times New Roman" w:cs="Times New Roman" w:eastAsia="Times New Roman" w:hAnsi="Times New Roman"/>
          <w:sz w:val="18"/>
          <w:szCs w:val="18"/>
          <w:color w:val="101820"/>
        </w:rPr>
        <w:t xml:space="preserve"> as compared to the prior year period. The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101820"/>
        </w:rPr>
        <w:t xml:space="preserve"> was primarily due to similar levels of amortization of intangible assets on a higher revenue base.</w:t>
      </w:r>
    </w:p>
    <w:p>
      <w:pPr>
        <w:spacing w:after="0" w:line="161"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Adjusted Gross Margin remained relatively flat in the second quarter of 2025 as compared to the prior year period. The positive mix effect of higher EyeQ revenue (relative to SuperVision) was offset by a slight reduction in EyeQ ASP mainly due to higher volumes in China.</w:t>
      </w:r>
    </w:p>
    <w:p>
      <w:pPr>
        <w:spacing w:after="0" w:line="161"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5"/>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Operating Margin improved from </w:t>
      </w:r>
      <w:r>
        <w:rPr>
          <w:rFonts w:ascii="Times New Roman" w:cs="Times New Roman" w:eastAsia="Times New Roman" w:hAnsi="Times New Roman"/>
          <w:sz w:val="18"/>
          <w:szCs w:val="18"/>
          <w:color w:val="000000"/>
        </w:rPr>
        <w:t>(21)% in the second quarter of 2024 to (15%)</w:t>
      </w:r>
      <w:r>
        <w:rPr>
          <w:rFonts w:ascii="Times New Roman" w:cs="Times New Roman" w:eastAsia="Times New Roman" w:hAnsi="Times New Roman"/>
          <w:sz w:val="18"/>
          <w:szCs w:val="18"/>
          <w:color w:val="101820"/>
        </w:rPr>
        <w:t xml:space="preserve"> in the </w:t>
      </w:r>
      <w:r>
        <w:rPr>
          <w:rFonts w:ascii="Times New Roman" w:cs="Times New Roman" w:eastAsia="Times New Roman" w:hAnsi="Times New Roman"/>
          <w:sz w:val="18"/>
          <w:szCs w:val="18"/>
          <w:color w:val="000000"/>
        </w:rPr>
        <w:t>second quarter of 2025.</w:t>
      </w:r>
      <w:r>
        <w:rPr>
          <w:rFonts w:ascii="Times New Roman" w:cs="Times New Roman" w:eastAsia="Times New Roman" w:hAnsi="Times New Roman"/>
          <w:sz w:val="18"/>
          <w:szCs w:val="18"/>
          <w:color w:val="101820"/>
        </w:rPr>
        <w:t xml:space="preserve"> The increase was primarily due to higher Gross Margin and lower operating expenses as a percentage of revenue.</w:t>
      </w:r>
    </w:p>
    <w:p>
      <w:pPr>
        <w:spacing w:after="0" w:line="161" w:lineRule="exact"/>
        <w:rPr>
          <w:rFonts w:ascii="Times New Roman" w:cs="Times New Roman" w:eastAsia="Times New Roman" w:hAnsi="Times New Roman"/>
          <w:sz w:val="18"/>
          <w:szCs w:val="18"/>
          <w:color w:val="101820"/>
        </w:rPr>
      </w:pPr>
    </w:p>
    <w:p>
      <w:pPr>
        <w:ind w:left="652" w:hanging="652"/>
        <w:spacing w:after="0" w:line="282" w:lineRule="auto"/>
        <w:tabs>
          <w:tab w:leader="none" w:pos="652" w:val="left"/>
        </w:tabs>
        <w:numPr>
          <w:ilvl w:val="0"/>
          <w:numId w:val="5"/>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Adjusted Operating Margin increased by </w:t>
      </w:r>
      <w:r>
        <w:rPr>
          <w:rFonts w:ascii="Times New Roman" w:cs="Times New Roman" w:eastAsia="Times New Roman" w:hAnsi="Times New Roman"/>
          <w:sz w:val="18"/>
          <w:szCs w:val="18"/>
          <w:color w:val="000000"/>
        </w:rPr>
        <w:t>3</w:t>
      </w:r>
      <w:r>
        <w:rPr>
          <w:rFonts w:ascii="Times New Roman" w:cs="Times New Roman" w:eastAsia="Times New Roman" w:hAnsi="Times New Roman"/>
          <w:sz w:val="18"/>
          <w:szCs w:val="18"/>
          <w:color w:val="101820"/>
        </w:rPr>
        <w:t xml:space="preserve"> percentage points in the second quarter of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01820"/>
        </w:rPr>
        <w:t xml:space="preserve"> as compared to the prior year period. The increase was primarily due to lower operating expenses as a percentage of revenue.</w:t>
      </w:r>
    </w:p>
    <w:p>
      <w:pPr>
        <w:spacing w:after="0" w:line="161" w:lineRule="exact"/>
        <w:rPr>
          <w:rFonts w:ascii="Times New Roman" w:cs="Times New Roman" w:eastAsia="Times New Roman" w:hAnsi="Times New Roman"/>
          <w:sz w:val="18"/>
          <w:szCs w:val="18"/>
          <w:color w:val="101820"/>
        </w:rPr>
      </w:pPr>
    </w:p>
    <w:p>
      <w:pPr>
        <w:ind w:left="652" w:hanging="652"/>
        <w:spacing w:after="0" w:line="282"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for the six months ended June 28, 2025 was $322 million. Cash used in purchases of property and equipment was $28 million for that same period. In July 2025, we used $100 million of cash to repurchase stock from Intel.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Updated Financial Guidance for the 2025 Fiscal Year</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Updated Guidance</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Previous Guidance</w:t>
            </w:r>
          </w:p>
        </w:tc>
      </w:tr>
      <w:tr>
        <w:trPr>
          <w:trHeight w:val="238"/>
        </w:trPr>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Full Year 2025</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Full Year 2025</w:t>
            </w: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Low</w:t>
            </w: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20" w:type="dxa"/>
            <w:vAlign w:val="bottom"/>
          </w:tcPr>
          <w:p>
            <w:pPr>
              <w:spacing w:after="0"/>
              <w:rPr>
                <w:sz w:val="19"/>
                <w:szCs w:val="19"/>
                <w:color w:val="auto"/>
              </w:rPr>
            </w:pPr>
          </w:p>
        </w:tc>
        <w:tc>
          <w:tcPr>
            <w:tcW w:w="15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00" w:type="dxa"/>
            <w:vAlign w:val="bottom"/>
          </w:tcPr>
          <w:p>
            <w:pPr>
              <w:spacing w:after="0"/>
              <w:rPr>
                <w:sz w:val="19"/>
                <w:szCs w:val="19"/>
                <w:color w:val="auto"/>
              </w:rPr>
            </w:pPr>
          </w:p>
        </w:tc>
      </w:tr>
      <w:tr>
        <w:trPr>
          <w:trHeight w:val="223"/>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1,765</w:t>
            </w:r>
          </w:p>
        </w:tc>
        <w:tc>
          <w:tcPr>
            <w:tcW w:w="2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w:t>
            </w:r>
          </w:p>
        </w:tc>
        <w:tc>
          <w:tcPr>
            <w:tcW w:w="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- 1,810</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Pr>
          <w:p>
            <w:pPr>
              <w:spacing w:after="0"/>
              <w:rPr>
                <w:sz w:val="18"/>
                <w:szCs w:val="18"/>
                <w:color w:val="auto"/>
              </w:rPr>
            </w:pP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(489)</w:t>
            </w:r>
          </w:p>
        </w:tc>
        <w:tc>
          <w:tcPr>
            <w:tcW w:w="10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443</w:t>
            </w:r>
          </w:p>
        </w:tc>
        <w:tc>
          <w:tcPr>
            <w:tcW w:w="100" w:type="dxa"/>
            <w:vAlign w:val="bottom"/>
            <w:shd w:val="clear" w:color="auto" w:fill="CCEEFF"/>
          </w:tcPr>
          <w:p>
            <w:pPr>
              <w:spacing w:after="0"/>
              <w:rPr>
                <w:sz w:val="18"/>
                <w:szCs w:val="18"/>
                <w:color w:val="auto"/>
              </w:rPr>
            </w:pPr>
          </w:p>
        </w:tc>
      </w:tr>
      <w:tr>
        <w:trPr>
          <w:trHeight w:val="23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306</w:t>
            </w:r>
          </w:p>
        </w:tc>
        <w:tc>
          <w:tcPr>
            <w:tcW w:w="100" w:type="dxa"/>
            <w:vAlign w:val="bottom"/>
          </w:tcPr>
          <w:p>
            <w:pPr>
              <w:spacing w:after="0"/>
              <w:rPr>
                <w:sz w:val="19"/>
                <w:szCs w:val="19"/>
                <w:color w:val="auto"/>
              </w:rPr>
            </w:pPr>
          </w:p>
        </w:tc>
      </w:tr>
      <w:tr>
        <w:trPr>
          <w:trHeight w:val="209"/>
        </w:trPr>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- 260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updated guidance reflects a 4% increase in expected Revenue, at the midpoint, due to an increased outlook for both EyeQ and SuperVision shipments for the remainder of 2025 resulting from higher-than-expected volume in the second quarter of 2025 and increased visibility into industry supply-demand dynamics in the third quarter of 2025. Our updated guidance also reflects a decrease in Operating Loss (GAAP) and an increase in Adjusted Operating Income (Non-GAAP), at the midpoint, of 11% and 14%, respectively, due to the typical incremental margin on higher revenue and stable expectations for operating expenses. The foregoing reflects Mobileye’s updated expectations for Revenue, Operating Loss and Adjusted Operating Income results for the full year 2025. This guidance incorporates our best estimates of production impacts related to current tariffs imposed on complete vehicles imported into the United States and tariffs on imported vehicle components used in US vehicle production, but assuming no further tariff developments or increases.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01820"/>
        </w:rPr>
        <w:t>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and, 2) Share-based compensation expense. These statements represent forward-looking information and may not represent a financial outlook, and actual results may vary. Please see the risks and assumptions referred to in the Forward-Looking Statements section of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01820"/>
        </w:rPr>
        <w:t xml:space="preserve">Mobileye will host a conference call today, July 24, 2025, </w:t>
      </w:r>
      <w:r>
        <w:rPr>
          <w:rFonts w:ascii="Times New Roman" w:cs="Times New Roman" w:eastAsia="Times New Roman" w:hAnsi="Times New Roman"/>
          <w:sz w:val="18"/>
          <w:szCs w:val="18"/>
          <w:color w:val="000000"/>
        </w:rPr>
        <w:t>at 8:00am ET (3:00pm IT)</w:t>
      </w:r>
      <w:r>
        <w:rPr>
          <w:rFonts w:ascii="Times New Roman" w:cs="Times New Roman" w:eastAsia="Times New Roman" w:hAnsi="Times New Roman"/>
          <w:sz w:val="18"/>
          <w:szCs w:val="18"/>
          <w:color w:val="101820"/>
        </w:rPr>
        <w:t xml:space="preserve"> to review its results and provide a general business update. The conference call will be accessible live via a webcast on Mobileye’s investor relations site, which can be found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101820"/>
        </w:rPr>
        <w:t>, and a replay of the webcast will be made available shortly after the event’s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and share-based compensation expenses.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independently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our autonomous driving and driver-assistance technologies, harnessing world-renowned expertise in artificial intelligence, computer vision, mapping, and integrated software and hardware. Since our founding in 1999, Mobileye has enabled the wide adoption of advanced driver-assistance systems that bolster driving safety, while pioneering such groundbreaking technologies as REM™ crowdsourced mapping, True Redundancy™ sensing, and Responsibility Sensitive Safety (RSS). These technologies drive the ADAS and AV fields towards the future of mobility – enabling self-driving vehicles and mobility solutions at scale, and powering industry-leading advanced driver-assistance systems. Through 2024, more than 200 million vehicles worldwide have been built with Mobileye’s EyeQ technology inside. Since 2022, Mobileye has been listed independently from Intel (Nasdaq: INTC), which retains majority ownership.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62626"/>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2025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8"/>
          <w:szCs w:val="18"/>
          <w:color w:val="262626"/>
        </w:rPr>
        <w:t>Important factors that may materially affect such forward-looking statements and projections include the following: further deterioration of macroeconomic conditions due to ongoing global economic and political uncertainty (as our current guidance assumes the estimated production and/or demand impact of current tariff conditions); future business, social and environmental performance, goals and measures; our anticipated growth prospects and trends in markets and industries relevant to our busi</w:t>
      </w:r>
      <w:r>
        <w:rPr>
          <w:rFonts w:ascii="Times New Roman" w:cs="Times New Roman" w:eastAsia="Times New Roman" w:hAnsi="Times New Roman"/>
          <w:sz w:val="18"/>
          <w:szCs w:val="18"/>
          <w:color w:val="000000"/>
        </w:rPr>
        <w:t>ness; business and investment plans; expectations about our ability to maintain or enhance our leadership</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position in the markets in which we participate; future consumer demand and behavior, including expectations about excess inventory utilization by customers; our ability to effectively compete in the markets in which we operate; future products and technology, and the expected availability and benefits of such products and technology;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and tax- and accounting-related expectations.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018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initially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62626"/>
        </w:rPr>
        <w:t xml:space="preserve">Detailed information regarding these and other factors that could affect Mobileye’s business and results is included in Mobileye’s SEC filings, including the company’s Annual Report on Form 10-K for the year ended December 28, 2024, particularly in the section entitled “Item 1A. Risk Factors”. Copies of these filings may be obtained by visiting our Investor Relations website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262626"/>
        </w:rPr>
        <w:t xml:space="preserve"> or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Operations (unaudited)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680" w:type="dxa"/>
            <w:vAlign w:val="bottom"/>
            <w:gridSpan w:val="6"/>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data</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June 28, 2025</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29, 2024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7"/>
              </w:rPr>
              <w:t>June 28, 2025</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29, 2024</w:t>
            </w:r>
          </w:p>
        </w:tc>
        <w:tc>
          <w:tcPr>
            <w:tcW w:w="100" w:type="dxa"/>
            <w:vAlign w:val="bottom"/>
          </w:tcPr>
          <w:p>
            <w:pPr>
              <w:spacing w:after="0"/>
              <w:rPr>
                <w:sz w:val="19"/>
                <w:szCs w:val="19"/>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415</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5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194"/>
        </w:trPr>
        <w:tc>
          <w:tcPr>
            <w:tcW w:w="5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attributed to Class A and Class B stockholders (in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806</w:t>
            </w:r>
          </w:p>
        </w:tc>
      </w:tr>
      <w:tr>
        <w:trPr>
          <w:trHeight w:val="675"/>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80" w:type="dxa"/>
            <w:vAlign w:val="bottom"/>
          </w:tcPr>
          <w:p>
            <w:pPr>
              <w:spacing w:after="0"/>
              <w:rPr>
                <w:sz w:val="20"/>
                <w:szCs w:val="20"/>
                <w:color w:val="auto"/>
              </w:rPr>
            </w:pPr>
          </w:p>
        </w:tc>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28, 2024</w:t>
            </w:r>
          </w:p>
        </w:tc>
      </w:tr>
      <w:tr>
        <w:trPr>
          <w:trHeight w:val="209"/>
        </w:trPr>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19"/>
                <w:szCs w:val="19"/>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w:t>
            </w:r>
          </w:p>
        </w:tc>
        <w:tc>
          <w:tcPr>
            <w:tcW w:w="28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8,200</w:t>
            </w: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w:t>
            </w: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19"/>
                <w:szCs w:val="19"/>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12,578</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00" w:type="dxa"/>
            <w:vAlign w:val="bottom"/>
            <w:tcBorders>
              <w:bottom w:val="single" w:sz="8" w:color="CCEEFF"/>
            </w:tcBorders>
          </w:tcPr>
          <w:p>
            <w:pPr>
              <w:spacing w:after="0"/>
              <w:rPr>
                <w:sz w:val="22"/>
                <w:szCs w:val="22"/>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9"/>
                <w:szCs w:val="19"/>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Borders>
              <w:bottom w:val="single" w:sz="8" w:color="CCEEFF"/>
            </w:tcBorders>
          </w:tcPr>
          <w:p>
            <w:pPr>
              <w:spacing w:after="0"/>
              <w:rPr>
                <w:sz w:val="18"/>
                <w:szCs w:val="18"/>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00" w:type="dxa"/>
            <w:vAlign w:val="bottom"/>
            <w:shd w:val="clear" w:color="auto" w:fill="CCEEFF"/>
          </w:tcPr>
          <w:p>
            <w:pPr>
              <w:spacing w:after="0"/>
              <w:rPr>
                <w:sz w:val="18"/>
                <w:szCs w:val="18"/>
                <w:color w:val="auto"/>
              </w:rPr>
            </w:pPr>
          </w:p>
        </w:tc>
      </w:tr>
      <w:tr>
        <w:trPr>
          <w:trHeight w:val="21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12,066</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100" w:type="dxa"/>
            <w:vAlign w:val="bottom"/>
            <w:tcBorders>
              <w:bottom w:val="single" w:sz="8" w:color="CCEEFF"/>
            </w:tcBorders>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12,578</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6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7"/>
              </w:rPr>
              <w:t>June 28, 2025</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29, 2024</w:t>
            </w:r>
          </w:p>
        </w:tc>
        <w:tc>
          <w:tcPr>
            <w:tcW w:w="100" w:type="dxa"/>
            <w:vAlign w:val="bottom"/>
            <w:gridSpan w:val="2"/>
          </w:tcPr>
          <w:p>
            <w:pPr>
              <w:spacing w:after="0"/>
              <w:rPr>
                <w:sz w:val="19"/>
                <w:szCs w:val="19"/>
                <w:color w:val="auto"/>
              </w:rPr>
            </w:pP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equity and debt investments,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19"/>
                <w:szCs w:val="19"/>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19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160" w:type="dxa"/>
            <w:vAlign w:val="bottom"/>
          </w:tcPr>
          <w:p>
            <w:pPr>
              <w:spacing w:after="0"/>
              <w:rPr>
                <w:sz w:val="19"/>
                <w:szCs w:val="19"/>
                <w:color w:val="auto"/>
              </w:rPr>
            </w:pPr>
          </w:p>
        </w:tc>
      </w:tr>
      <w:tr>
        <w:trPr>
          <w:trHeight w:val="191"/>
        </w:trPr>
        <w:tc>
          <w:tcPr>
            <w:tcW w:w="2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60" w:type="dxa"/>
            <w:vAlign w:val="bottom"/>
          </w:tcPr>
          <w:p>
            <w:pPr>
              <w:spacing w:after="0"/>
              <w:rPr>
                <w:sz w:val="16"/>
                <w:szCs w:val="16"/>
                <w:color w:val="auto"/>
              </w:rPr>
            </w:pPr>
          </w:p>
        </w:tc>
      </w:tr>
      <w:tr>
        <w:trPr>
          <w:trHeight w:val="234"/>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tcPr>
          <w:p>
            <w:pPr>
              <w:spacing w:after="0"/>
              <w:rPr>
                <w:sz w:val="20"/>
                <w:szCs w:val="20"/>
                <w:color w:val="auto"/>
              </w:rPr>
            </w:pPr>
          </w:p>
        </w:tc>
      </w:tr>
      <w:tr>
        <w:trPr>
          <w:trHeight w:val="209"/>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2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2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69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0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100" w:type="dxa"/>
            <w:vAlign w:val="bottom"/>
          </w:tcPr>
          <w:p>
            <w:pPr>
              <w:spacing w:after="0"/>
              <w:rPr>
                <w:sz w:val="18"/>
                <w:szCs w:val="18"/>
                <w:color w:val="auto"/>
              </w:rPr>
            </w:pPr>
          </w:p>
        </w:tc>
        <w:tc>
          <w:tcPr>
            <w:tcW w:w="8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w w:val="88"/>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(Loss) and Margin to Non-GAAP Adjusted Operating Income and Margin</w:t>
      </w: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120" w:type="dxa"/>
            <w:vAlign w:val="bottom"/>
          </w:tcPr>
          <w:p>
            <w:pPr>
              <w:spacing w:after="0"/>
              <w:rPr>
                <w:sz w:val="19"/>
                <w:szCs w:val="19"/>
                <w:color w:val="auto"/>
              </w:rPr>
            </w:pPr>
          </w:p>
        </w:tc>
        <w:tc>
          <w:tcPr>
            <w:tcW w:w="16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200" w:type="dxa"/>
            <w:vAlign w:val="bottom"/>
          </w:tcPr>
          <w:p>
            <w:pPr>
              <w:spacing w:after="0"/>
              <w:rPr>
                <w:sz w:val="19"/>
                <w:szCs w:val="19"/>
                <w:color w:val="auto"/>
              </w:rPr>
            </w:pPr>
          </w:p>
        </w:tc>
      </w:tr>
      <w:tr>
        <w:trPr>
          <w:trHeight w:val="191"/>
        </w:trPr>
        <w:tc>
          <w:tcPr>
            <w:tcW w:w="2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00" w:type="dxa"/>
            <w:vAlign w:val="bottom"/>
          </w:tcPr>
          <w:p>
            <w:pPr>
              <w:spacing w:after="0"/>
              <w:rPr>
                <w:sz w:val="16"/>
                <w:szCs w:val="16"/>
                <w:color w:val="auto"/>
              </w:rPr>
            </w:pPr>
          </w:p>
        </w:tc>
      </w:tr>
      <w:tr>
        <w:trPr>
          <w:trHeight w:val="234"/>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Amount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Revenue</w:t>
            </w:r>
          </w:p>
        </w:tc>
      </w:tr>
      <w:tr>
        <w:trPr>
          <w:trHeight w:val="178"/>
        </w:trPr>
        <w:tc>
          <w:tcPr>
            <w:tcW w:w="29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Operating Income (Loss) and Operating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8"/>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174"/>
        </w:trPr>
        <w:tc>
          <w:tcPr>
            <w:tcW w:w="29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Adjusted Operating Income and</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5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color w:val="auto"/>
        </w:rPr>
        <w:t>Adjusted Operating Margin is calculated as adjusted operating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(Loss) to Non-GAAP Adjusted Net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7"/>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10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Amount</w:t>
            </w:r>
          </w:p>
        </w:tc>
        <w:tc>
          <w:tcPr>
            <w:tcW w:w="9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06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Revenue</w:t>
            </w:r>
          </w:p>
        </w:tc>
      </w:tr>
      <w:tr>
        <w:trPr>
          <w:trHeight w:val="209"/>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top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(304)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198"/>
        </w:trPr>
        <w:tc>
          <w:tcPr>
            <w:tcW w:w="2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2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589"/>
        </w:trPr>
        <w:tc>
          <w:tcPr>
            <w:tcW w:w="50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Supplemental Information - Average System Price (unaudited) </w:t>
            </w:r>
            <w:r>
              <w:rPr>
                <w:rFonts w:ascii="Times New Roman" w:cs="Times New Roman" w:eastAsia="Times New Roman" w:hAnsi="Times New Roman"/>
                <w:sz w:val="29"/>
                <w:szCs w:val="29"/>
                <w:color w:val="auto"/>
                <w:vertAlign w:val="superscript"/>
              </w:rPr>
              <w:t>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Q2 2025</w:t>
            </w:r>
          </w:p>
        </w:tc>
      </w:tr>
      <w:tr>
        <w:trPr>
          <w:trHeight w:val="178"/>
        </w:trPr>
        <w:tc>
          <w:tcPr>
            <w:tcW w:w="4000" w:type="dxa"/>
            <w:vAlign w:val="bottom"/>
            <w:tcBorders>
              <w:top w:val="single" w:sz="8" w:color="CCEEFF"/>
            </w:tcBorders>
            <w:gridSpan w:val="6"/>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EyeQ and SuperVision revenue (U.S. dollars in</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413</w:t>
            </w:r>
          </w:p>
        </w:tc>
        <w:tc>
          <w:tcPr>
            <w:tcW w:w="5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6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54.4</w:t>
            </w:r>
          </w:p>
        </w:tc>
        <w:tc>
          <w:tcPr>
            <w:tcW w:w="5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6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49.0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r>
    </w:tbl>
    <w:p>
      <w:pPr>
        <w:spacing w:after="0" w:line="201"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101820"/>
          <w:vertAlign w:val="superscript"/>
        </w:rPr>
      </w:pPr>
      <w:r>
        <w:rPr>
          <w:rFonts w:ascii="Times New Roman" w:cs="Times New Roman" w:eastAsia="Times New Roman" w:hAnsi="Times New Roman"/>
          <w:sz w:val="18"/>
          <w:szCs w:val="18"/>
          <w:color w:val="101820"/>
        </w:rPr>
        <w:t>Average System Price is calculated as the sum of revenue related to EyeQ</w:t>
      </w:r>
      <w:r>
        <w:rPr>
          <w:rFonts w:ascii="Times New Roman" w:cs="Times New Roman" w:eastAsia="Times New Roman" w:hAnsi="Times New Roman"/>
          <w:sz w:val="29"/>
          <w:szCs w:val="29"/>
          <w:color w:val="000000"/>
          <w:vertAlign w:val="superscript"/>
        </w:rPr>
        <w:t>TM</w:t>
      </w:r>
      <w:r>
        <w:rPr>
          <w:rFonts w:ascii="Times New Roman" w:cs="Times New Roman" w:eastAsia="Times New Roman" w:hAnsi="Times New Roman"/>
          <w:sz w:val="18"/>
          <w:szCs w:val="18"/>
          <w:color w:val="101820"/>
        </w:rPr>
        <w:t xml:space="preserve"> and SuperVision systems, divided by the number of systems shipped.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2025-07-24T06:07:53Z</dcterms:created>
  <dcterms:modified xsi:type="dcterms:W3CDTF">2025-07-24T06:07:53Z</dcterms:modified>
</cp:coreProperties>
</file>