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55427d1_8k.htm"/>
      <w:bookmarkStart w:id="1" w:name="kstm255427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8_edei--DocumentType_c20250129__20"/>
      <w:bookmarkEnd w:id="2"/>
      <w:r>
        <w:rPr>
          <w:rFonts w:ascii="Times New Roman;Times;Serif" w:hAnsi="Times New Roman;Times;Serif"/>
          <w:b/>
          <w:i w:val="false"/>
          <w:caps w:val="false"/>
          <w:smallCaps w:val="false"/>
          <w:sz w:val="28"/>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January 29, 2025</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C_edei--EntityRegistrantName_c2025"/>
      <w:bookmarkEnd w:id="4"/>
      <w:r>
        <w:rPr>
          <w:rFonts w:ascii="Times New Roman;Times;Serif" w:hAnsi="Times New Roman;Times;Serif"/>
          <w:b/>
          <w:i w:val="false"/>
          <w:caps w:val="false"/>
          <w:smallCaps w:val="false"/>
          <w:sz w:val="28"/>
        </w:rPr>
        <w:t>Mobileye Global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2525"/>
        <w:gridCol w:w="60"/>
        <w:gridCol w:w="2210"/>
        <w:gridCol w:w="60"/>
        <w:gridCol w:w="2840"/>
      </w:tblGrid>
      <w:tr>
        <w:trPr/>
        <w:tc>
          <w:tcPr>
            <w:tcW w:w="2525" w:type="dxa"/>
            <w:tcBorders/>
            <w:vAlign w:val="center"/>
          </w:tcPr>
          <w:p>
            <w:pPr>
              <w:pStyle w:val="TableContents"/>
              <w:bidi w:val="0"/>
              <w:spacing w:before="0" w:after="283"/>
              <w:jc w:val="center"/>
              <w:rPr>
                <w:b/>
                <w:sz w:val="20"/>
              </w:rPr>
            </w:pPr>
            <w:bookmarkStart w:id="5" w:name="xdx_909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sz w:val="20"/>
              </w:rPr>
            </w:pPr>
            <w:bookmarkStart w:id="6" w:name="xdx_901_edei--EntityFileNumber_c20250129"/>
            <w:bookmarkEnd w:id="6"/>
            <w:r>
              <w:rPr>
                <w:b/>
                <w:sz w:val="20"/>
              </w:rPr>
              <w:t>001-41541</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b/>
                <w:sz w:val="20"/>
              </w:rPr>
            </w:pPr>
            <w:bookmarkStart w:id="7" w:name="xdx_90C_edei--EntityTaxIdentificationNum"/>
            <w:bookmarkEnd w:id="7"/>
            <w:r>
              <w:rPr>
                <w:b/>
                <w:sz w:val="20"/>
              </w:rPr>
              <w:t>88-0666433</w:t>
            </w:r>
          </w:p>
        </w:tc>
      </w:tr>
      <w:tr>
        <w:trPr/>
        <w:tc>
          <w:tcPr>
            <w:tcW w:w="252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 or Organization)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840" w:type="dxa"/>
            <w:tcBorders/>
            <w:vAlign w:val="center"/>
          </w:tcPr>
          <w:p>
            <w:pPr>
              <w:pStyle w:val="TableContents"/>
              <w:bidi w:val="0"/>
              <w:spacing w:before="0" w:after="283"/>
              <w:jc w:val="center"/>
              <w:rPr/>
            </w:pPr>
            <w:r>
              <w:rPr/>
              <w:t xml:space="preserve">(IRS Employer Identification </w:t>
              <w:br/>
              <w:t>Number)</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c/o Mobileye B.V.</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xdx_908_edei--EntityAddressAddressLine2_"/>
      <w:bookmarkEnd w:id="9"/>
      <w:r>
        <w:rPr>
          <w:rFonts w:ascii="Times New Roman;Times;Serif" w:hAnsi="Times New Roman;Times;Serif"/>
          <w:b/>
          <w:i w:val="false"/>
          <w:caps w:val="false"/>
          <w:smallCaps w:val="false"/>
          <w:sz w:val="20"/>
        </w:rPr>
        <w:t>Har Hotzvim, 1 Shlomo Momo HaLevi Street</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Jerusalem </w:t>
      </w:r>
      <w:bookmarkStart w:id="11" w:name="xdx_900_edei--EntityAddressPostalZipCode"/>
      <w:bookmarkEnd w:id="11"/>
      <w:r>
        <w:rPr>
          <w:rFonts w:ascii="Times New Roman;Times;Serif" w:hAnsi="Times New Roman;Times;Serif"/>
          <w:b/>
          <w:i w:val="false"/>
          <w:caps w:val="false"/>
          <w:smallCaps w:val="false"/>
          <w:sz w:val="20"/>
        </w:rPr>
        <w:t xml:space="preserve">9777015, </w:t>
      </w:r>
      <w:bookmarkStart w:id="12" w:name="xdx_90C_edei--EntityAddressCountry_c2025"/>
      <w:bookmarkEnd w:id="12"/>
      <w:r>
        <w:rPr>
          <w:rFonts w:ascii="Times New Roman;Times;Serif" w:hAnsi="Times New Roman;Times;Serif"/>
          <w:b/>
          <w:i w:val="false"/>
          <w:caps w:val="false"/>
          <w:smallCaps w:val="false"/>
          <w:sz w:val="20"/>
        </w:rPr>
        <w:t>Israel</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t>
      </w:r>
      <w:bookmarkStart w:id="13" w:name="xdx_905_edei--CityAreaCode_c20250129__20"/>
      <w:bookmarkEnd w:id="13"/>
      <w:r>
        <w:rPr>
          <w:rFonts w:ascii="Times New Roman;Times;Serif" w:hAnsi="Times New Roman;Times;Serif"/>
          <w:b/>
          <w:i w:val="false"/>
          <w:caps w:val="false"/>
          <w:smallCaps w:val="false"/>
          <w:sz w:val="20"/>
          <w:shd w:fill="FFFFFF" w:val="clear"/>
        </w:rPr>
        <w:t>972-</w:t>
      </w:r>
      <w:bookmarkStart w:id="14" w:name="xdx_90E_edei--LocalPhoneNumber_c20250129"/>
      <w:bookmarkEnd w:id="14"/>
      <w:r>
        <w:rPr>
          <w:rFonts w:ascii="Times New Roman;Times;Serif" w:hAnsi="Times New Roman;Times;Serif"/>
          <w:b/>
          <w:i w:val="false"/>
          <w:caps w:val="false"/>
          <w:smallCaps w:val="false"/>
          <w:sz w:val="20"/>
          <w:shd w:fill="FFFFFF" w:val="clear"/>
        </w:rPr>
        <w:t>2-541-7333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 N/A</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3_edei--SolicitingMaterial_c202501"/>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1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1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10" w:type="dxa"/>
        <w:tblLayout w:type="fixed"/>
        <w:tblCellMar>
          <w:top w:w="30" w:type="dxa"/>
          <w:left w:w="30" w:type="dxa"/>
          <w:bottom w:w="0" w:type="dxa"/>
          <w:right w:w="0" w:type="dxa"/>
        </w:tblCellMar>
      </w:tblPr>
      <w:tblGrid>
        <w:gridCol w:w="2855"/>
        <w:gridCol w:w="1415"/>
        <w:gridCol w:w="2810"/>
      </w:tblGrid>
      <w:tr>
        <w:trPr/>
        <w:tc>
          <w:tcPr>
            <w:tcW w:w="285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Title of each class</w:t>
            </w:r>
          </w:p>
        </w:tc>
        <w:tc>
          <w:tcPr>
            <w:tcW w:w="1415" w:type="dxa"/>
            <w:tcBorders>
              <w:top w:val="single" w:sz="8" w:space="0" w:color="000000"/>
              <w:left w:val="single" w:sz="8" w:space="0" w:color="000000"/>
            </w:tcBorders>
            <w:vAlign w:val="center"/>
          </w:tcPr>
          <w:p>
            <w:pPr>
              <w:pStyle w:val="TableContents"/>
              <w:bidi w:val="0"/>
              <w:spacing w:before="0" w:after="283"/>
              <w:jc w:val="center"/>
              <w:rPr>
                <w:b/>
                <w:sz w:val="20"/>
              </w:rPr>
            </w:pPr>
            <w:r>
              <w:rPr>
                <w:b/>
                <w:sz w:val="20"/>
              </w:rPr>
              <w:t>Trading Symbol</w:t>
            </w:r>
          </w:p>
        </w:tc>
        <w:tc>
          <w:tcPr>
            <w:tcW w:w="2810" w:type="dxa"/>
            <w:tcBorders>
              <w:top w:val="single" w:sz="8" w:space="0" w:color="000000"/>
              <w:left w:val="single" w:sz="8" w:space="0" w:color="000000"/>
              <w:right w:val="single" w:sz="8" w:space="0" w:color="000000"/>
            </w:tcBorders>
            <w:tcMar>
              <w:right w:w="30" w:type="dxa"/>
            </w:tcMar>
            <w:vAlign w:val="center"/>
          </w:tcPr>
          <w:p>
            <w:pPr>
              <w:pStyle w:val="TableContents"/>
              <w:bidi w:val="0"/>
              <w:spacing w:before="0" w:after="283"/>
              <w:jc w:val="center"/>
              <w:rPr>
                <w:b/>
                <w:sz w:val="20"/>
              </w:rPr>
            </w:pPr>
            <w:r>
              <w:rPr>
                <w:b/>
                <w:sz w:val="20"/>
              </w:rPr>
              <w:t>Name of each exchange on which</w:t>
              <w:br/>
              <w:t>registered</w:t>
            </w:r>
          </w:p>
        </w:tc>
      </w:tr>
      <w:tr>
        <w:trPr/>
        <w:tc>
          <w:tcPr>
            <w:tcW w:w="285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19" w:name="xdx_90C_edei--Security12bTitle_c20250129"/>
            <w:bookmarkEnd w:id="19"/>
            <w:r>
              <w:rPr>
                <w:sz w:val="20"/>
              </w:rPr>
              <w:t>Common Stock ($0.001 Par Value)</w:t>
            </w:r>
          </w:p>
        </w:tc>
        <w:tc>
          <w:tcPr>
            <w:tcW w:w="1415" w:type="dxa"/>
            <w:tcBorders>
              <w:top w:val="single" w:sz="8" w:space="0" w:color="000000"/>
              <w:left w:val="single" w:sz="8" w:space="0" w:color="000000"/>
              <w:bottom w:val="single" w:sz="8" w:space="0" w:color="000000"/>
            </w:tcBorders>
            <w:tcMar>
              <w:bottom w:w="30" w:type="dxa"/>
            </w:tcMar>
            <w:vAlign w:val="center"/>
          </w:tcPr>
          <w:p>
            <w:pPr>
              <w:pStyle w:val="TableContents"/>
              <w:bidi w:val="0"/>
              <w:spacing w:before="0" w:after="283"/>
              <w:jc w:val="center"/>
              <w:rPr>
                <w:sz w:val="20"/>
              </w:rPr>
            </w:pPr>
            <w:bookmarkStart w:id="20" w:name="xdx_90F_edei--TradingSymbol_c20250129__2"/>
            <w:bookmarkEnd w:id="20"/>
            <w:r>
              <w:rPr>
                <w:sz w:val="20"/>
              </w:rPr>
              <w:t>MBLY</w:t>
            </w:r>
          </w:p>
        </w:tc>
        <w:tc>
          <w:tcPr>
            <w:tcW w:w="2810" w:type="dxa"/>
            <w:tcBorders>
              <w:top w:val="single" w:sz="8" w:space="0" w:color="000000"/>
              <w:left w:val="single" w:sz="8" w:space="0" w:color="000000"/>
              <w:bottom w:val="single" w:sz="8" w:space="0" w:color="000000"/>
              <w:right w:val="single" w:sz="8" w:space="0" w:color="000000"/>
            </w:tcBorders>
            <w:tcMar>
              <w:bottom w:w="30" w:type="dxa"/>
              <w:right w:w="30" w:type="dxa"/>
            </w:tcMar>
            <w:vAlign w:val="center"/>
          </w:tcPr>
          <w:p>
            <w:pPr>
              <w:pStyle w:val="TableContents"/>
              <w:bidi w:val="0"/>
              <w:spacing w:before="0" w:after="283"/>
              <w:jc w:val="center"/>
              <w:rPr>
                <w:sz w:val="20"/>
              </w:rPr>
            </w:pPr>
            <w:bookmarkStart w:id="21" w:name="xdx_90E_edei--SecurityExchangeName_c2025"/>
            <w:bookmarkEnd w:id="21"/>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or Rule 12b-2 of the Securities Exchange Act of 1934 (§240.12b-2).</w:t>
      </w:r>
    </w:p>
    <w:p>
      <w:pPr>
        <w:pStyle w:val="TextBody"/>
        <w:bidi w:val="0"/>
        <w:spacing w:before="0" w:after="0"/>
        <w:ind w:left="0" w:right="0" w:hanging="0"/>
        <w:jc w:val="left"/>
        <w:rPr>
          <w:caps w:val="false"/>
          <w:smallCaps w:val="false"/>
        </w:rPr>
      </w:pPr>
      <w:r>
        <w:rPr>
          <w:caps w:val="false"/>
          <w:smallCaps w:val="false"/>
        </w:rPr>
        <w:t> </w:t>
      </w:r>
    </w:p>
    <w:p>
      <w:pPr>
        <w:pStyle w:val="TextBody"/>
        <w:pBdr/>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2025, the Board of Directors (the “Board”) of Mobileye Global Inc. (“Mobileye”) appointed Patrick Bombach as a member of the Board, effective as of January 29, 2025. As of the time of this filing, the Board has not made a final determination regarding the committees of the Board, if any, to which Mr. Bombach will be appointed.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Bombach and any director or executive officer of Mobileye. Mr. Bombach does not have any direct or indirect material interest in any transaction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1895"/>
        <w:gridCol w:w="320"/>
        <w:gridCol w:w="2405"/>
      </w:tblGrid>
      <w:tr>
        <w:trPr/>
        <w:tc>
          <w:tcPr>
            <w:tcW w:w="1895" w:type="dxa"/>
            <w:tcBorders/>
            <w:vAlign w:val="center"/>
          </w:tcPr>
          <w:p>
            <w:pPr>
              <w:pStyle w:val="TableContents"/>
              <w:bidi w:val="0"/>
              <w:spacing w:before="0" w:after="283"/>
              <w:jc w:val="left"/>
              <w:rPr/>
            </w:pPr>
            <w:r>
              <w:rPr/>
              <w:t> </w:t>
            </w:r>
          </w:p>
        </w:tc>
        <w:tc>
          <w:tcPr>
            <w:tcW w:w="272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Mobileye Global Inc.</w:t>
            </w:r>
          </w:p>
        </w:tc>
      </w:tr>
      <w:tr>
        <w:trPr/>
        <w:tc>
          <w:tcPr>
            <w:tcW w:w="18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rFonts w:ascii="Times New Roman;Times;Serif" w:hAnsi="Times New Roman;Times;Serif"/>
                <w:sz w:val="20"/>
              </w:rPr>
              <w:t>Date: February 4</w:t>
            </w:r>
            <w:r>
              <w:rPr>
                <w:sz w:val="20"/>
              </w:rPr>
              <w:t>, 2025</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Moran Shemesh Rojansky</w:t>
            </w:r>
          </w:p>
        </w:tc>
      </w:tr>
      <w:tr>
        <w:trPr/>
        <w:tc>
          <w:tcPr>
            <w:tcW w:w="18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Moran Shemesh Rojansky</w:t>
            </w:r>
          </w:p>
        </w:tc>
      </w:tr>
      <w:tr>
        <w:trPr/>
        <w:tc>
          <w:tcPr>
            <w:tcW w:w="18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474</Words>
  <Characters>2602</Characters>
  <CharactersWithSpaces>3076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