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2,237,589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2,237,589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2,237,589</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2.2%</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2,237,589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2,237,589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2,237,589</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2.2%</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2,237,589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2,237,589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2,237,589</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2.2%</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300" w:right="8400" w:hanging="388"/>
        <w:spacing w:after="0" w:line="50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Mobileye Global Inc.</w:t>
      </w:r>
    </w:p>
    <w:p>
      <w:pPr>
        <w:ind w:left="1300" w:hanging="38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Mobileye B.V.</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Har Hotzvim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Shlomo Momo HaLevi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Jerusalem 9777015, Israel</w:t>
      </w:r>
    </w:p>
    <w:p>
      <w:pPr>
        <w:spacing w:after="0" w:line="211" w:lineRule="exact"/>
        <w:rPr>
          <w:sz w:val="20"/>
          <w:szCs w:val="20"/>
          <w:color w:val="auto"/>
        </w:rPr>
      </w:pPr>
    </w:p>
    <w:p>
      <w:pPr>
        <w:spacing w:after="0"/>
        <w:tabs>
          <w:tab w:leader="none" w:pos="900" w:val="left"/>
          <w:tab w:leader="none" w:pos="128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300" w:hanging="38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300" w:right="77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300" w:right="79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300" w:right="72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300" w:right="79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300" w:right="7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300" w:right="79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$0.01 per share ("Class A Common Stock")</w:t>
      </w:r>
    </w:p>
    <w:p>
      <w:pPr>
        <w:spacing w:after="0" w:line="252" w:lineRule="exact"/>
        <w:rPr>
          <w:rFonts w:ascii="Times New Roman" w:cs="Times New Roman" w:eastAsia="Times New Roman" w:hAnsi="Times New Roman"/>
          <w:sz w:val="18"/>
          <w:szCs w:val="18"/>
          <w:color w:val="auto"/>
        </w:rPr>
      </w:pPr>
    </w:p>
    <w:p>
      <w:pPr>
        <w:ind w:left="1300" w:right="8780" w:hanging="388"/>
        <w:spacing w:after="0" w:line="639" w:lineRule="auto"/>
        <w:tabs>
          <w:tab w:leader="none" w:pos="1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60741F104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October 30, 2024,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60741F104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Mobileye Global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2024-10-31T15:47:00Z</dcterms:created>
  <dcterms:modified xsi:type="dcterms:W3CDTF">2024-10-31T15:47:00Z</dcterms:modified>
</cp:coreProperties>
</file>